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6A" w:rsidRPr="007D1A79" w:rsidRDefault="00A0426A" w:rsidP="00A0426A">
      <w:pPr>
        <w:ind w:right="-567"/>
        <w:jc w:val="both"/>
      </w:pPr>
      <w:proofErr w:type="spellStart"/>
      <w:r w:rsidRPr="007D1A79">
        <w:rPr>
          <w:b/>
        </w:rPr>
        <w:t>Epochenprofil</w:t>
      </w:r>
      <w:proofErr w:type="spellEnd"/>
      <w:r w:rsidRPr="007D1A79">
        <w:rPr>
          <w:b/>
        </w:rPr>
        <w:t xml:space="preserve"> Barock </w:t>
      </w:r>
      <w:r w:rsidRPr="007D1A79">
        <w:t>(ca. 1600 – 1700)</w:t>
      </w:r>
      <w:r w:rsidRPr="007D1A79">
        <w:tab/>
      </w:r>
      <w:r w:rsidRPr="007D1A79">
        <w:tab/>
      </w:r>
      <w:r w:rsidRPr="007D1A79">
        <w:tab/>
      </w:r>
    </w:p>
    <w:p w:rsidR="00A0426A" w:rsidRDefault="00A0426A" w:rsidP="00A0426A">
      <w:pPr>
        <w:ind w:right="-567"/>
        <w:rPr>
          <w:b/>
          <w:sz w:val="20"/>
        </w:rPr>
      </w:pPr>
      <w:r>
        <w:rPr>
          <w:sz w:val="20"/>
        </w:rPr>
        <w:t>("Barock" Bezeichnung für abwegige und skurrile Einfä</w:t>
      </w:r>
      <w:r>
        <w:rPr>
          <w:sz w:val="20"/>
        </w:rPr>
        <w:t>l</w:t>
      </w:r>
      <w:r>
        <w:rPr>
          <w:sz w:val="20"/>
        </w:rPr>
        <w:t xml:space="preserve">le)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A0426A" w:rsidRDefault="00A0426A" w:rsidP="00A0426A">
      <w:pPr>
        <w:ind w:right="-567"/>
        <w:rPr>
          <w:sz w:val="20"/>
        </w:rPr>
      </w:pPr>
      <w:r>
        <w:rPr>
          <w:b/>
          <w:sz w:val="20"/>
        </w:rPr>
        <w:t xml:space="preserve">              </w:t>
      </w:r>
      <w:r>
        <w:rPr>
          <w:sz w:val="20"/>
        </w:rPr>
        <w:t xml:space="preserve">Ich sage, weil allein der Tod mich machet frei                                                  </w:t>
      </w:r>
      <w:r w:rsidRPr="00E87465">
        <w:rPr>
          <w:sz w:val="20"/>
        </w:rPr>
        <w:t xml:space="preserve"> </w:t>
      </w:r>
      <w:r>
        <w:rPr>
          <w:sz w:val="20"/>
        </w:rPr>
        <w:t>Mensch, werde wesentlich!</w:t>
      </w:r>
    </w:p>
    <w:p w:rsidR="00A0426A" w:rsidRDefault="00A0426A" w:rsidP="00A0426A">
      <w:pPr>
        <w:ind w:right="-567"/>
        <w:rPr>
          <w:sz w:val="20"/>
        </w:rPr>
      </w:pPr>
      <w:r>
        <w:rPr>
          <w:sz w:val="20"/>
        </w:rPr>
        <w:t xml:space="preserve">              Dass er das beste Ding aus allen Di</w:t>
      </w:r>
      <w:r>
        <w:rPr>
          <w:sz w:val="20"/>
        </w:rPr>
        <w:t>n</w:t>
      </w:r>
      <w:r>
        <w:rPr>
          <w:sz w:val="20"/>
        </w:rPr>
        <w:t>gen sei</w:t>
      </w:r>
      <w:r w:rsidRPr="00E87465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Denn wenn die Welt vergeht,</w:t>
      </w:r>
    </w:p>
    <w:p w:rsidR="00A0426A" w:rsidRDefault="00A0426A" w:rsidP="00A0426A">
      <w:pPr>
        <w:ind w:right="-567"/>
        <w:rPr>
          <w:sz w:val="20"/>
        </w:rPr>
      </w:pPr>
      <w:r>
        <w:rPr>
          <w:sz w:val="20"/>
        </w:rPr>
        <w:t xml:space="preserve">              (Angelus </w:t>
      </w:r>
      <w:proofErr w:type="spellStart"/>
      <w:r>
        <w:rPr>
          <w:sz w:val="20"/>
        </w:rPr>
        <w:t>Silesius</w:t>
      </w:r>
      <w:proofErr w:type="spellEnd"/>
      <w:r>
        <w:rPr>
          <w:sz w:val="20"/>
        </w:rPr>
        <w:t>)</w:t>
      </w:r>
      <w:r w:rsidRPr="00E87465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So fällt der Zufall weg;</w:t>
      </w:r>
    </w:p>
    <w:p w:rsidR="00A0426A" w:rsidRDefault="00A0426A" w:rsidP="00A0426A">
      <w:pPr>
        <w:ind w:right="-56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das Wesen, das besteht</w:t>
      </w:r>
    </w:p>
    <w:p w:rsidR="00A0426A" w:rsidRPr="008B3EA4" w:rsidRDefault="00A0426A" w:rsidP="00A0426A">
      <w:pPr>
        <w:tabs>
          <w:tab w:val="left" w:pos="7155"/>
        </w:tabs>
        <w:ind w:right="-567"/>
        <w:rPr>
          <w:sz w:val="20"/>
        </w:rPr>
      </w:pPr>
      <w:r>
        <w:rPr>
          <w:sz w:val="20"/>
        </w:rPr>
        <w:t xml:space="preserve">    "Epochales" Buch:                                                                                                                  (Angelus </w:t>
      </w:r>
      <w:proofErr w:type="spellStart"/>
      <w:r>
        <w:rPr>
          <w:sz w:val="20"/>
        </w:rPr>
        <w:t>Silesius</w:t>
      </w:r>
      <w:proofErr w:type="spellEnd"/>
      <w:r>
        <w:rPr>
          <w:sz w:val="20"/>
        </w:rPr>
        <w:t>)</w:t>
      </w:r>
    </w:p>
    <w:p w:rsidR="00A0426A" w:rsidRDefault="00A0426A" w:rsidP="00A0426A">
      <w:pPr>
        <w:ind w:right="-567"/>
        <w:rPr>
          <w:sz w:val="20"/>
        </w:rPr>
      </w:pPr>
      <w:r>
        <w:rPr>
          <w:sz w:val="20"/>
        </w:rPr>
        <w:t xml:space="preserve">     1624    "Buch von der Deutschen </w:t>
      </w:r>
      <w:proofErr w:type="spellStart"/>
      <w:r>
        <w:rPr>
          <w:sz w:val="20"/>
        </w:rPr>
        <w:t>Poeterey</w:t>
      </w:r>
      <w:proofErr w:type="spellEnd"/>
      <w:r>
        <w:rPr>
          <w:sz w:val="20"/>
        </w:rPr>
        <w:t xml:space="preserve">"  </w:t>
      </w:r>
    </w:p>
    <w:p w:rsidR="00A0426A" w:rsidRDefault="00A0426A" w:rsidP="00A0426A">
      <w:pPr>
        <w:ind w:right="-567"/>
        <w:jc w:val="both"/>
        <w:rPr>
          <w:sz w:val="20"/>
        </w:rPr>
      </w:pPr>
      <w:r>
        <w:rPr>
          <w:sz w:val="20"/>
        </w:rPr>
        <w:t xml:space="preserve">                 </w:t>
      </w:r>
      <w:r w:rsidRPr="0026003B">
        <w:rPr>
          <w:sz w:val="20"/>
        </w:rPr>
        <w:t>von Martin Opitz</w:t>
      </w:r>
    </w:p>
    <w:p w:rsidR="00A0426A" w:rsidRPr="0026003B" w:rsidRDefault="00A0426A" w:rsidP="00A0426A">
      <w:pPr>
        <w:ind w:right="-567"/>
        <w:jc w:val="both"/>
        <w:rPr>
          <w:sz w:val="20"/>
        </w:rPr>
      </w:pPr>
    </w:p>
    <w:p w:rsidR="00A0426A" w:rsidRPr="002F2832" w:rsidRDefault="00A0426A" w:rsidP="00A0426A">
      <w:pPr>
        <w:ind w:right="-567"/>
        <w:jc w:val="both"/>
        <w:rPr>
          <w:sz w:val="22"/>
        </w:rPr>
      </w:pPr>
      <w:r w:rsidRPr="002F2832">
        <w:rPr>
          <w:b/>
          <w:sz w:val="22"/>
        </w:rPr>
        <w:t>historisch-politischer Hintergrund</w:t>
      </w:r>
      <w:r w:rsidRPr="002F2832">
        <w:rPr>
          <w:sz w:val="22"/>
        </w:rPr>
        <w:t xml:space="preserve">: </w:t>
      </w:r>
      <w:r w:rsidRPr="002F2832">
        <w:rPr>
          <w:sz w:val="22"/>
        </w:rPr>
        <w:tab/>
      </w:r>
      <w:r w:rsidRPr="002F2832">
        <w:rPr>
          <w:sz w:val="22"/>
        </w:rPr>
        <w:tab/>
      </w:r>
      <w:r w:rsidRPr="002F2832">
        <w:rPr>
          <w:sz w:val="22"/>
        </w:rPr>
        <w:tab/>
      </w:r>
    </w:p>
    <w:p w:rsidR="00A0426A" w:rsidRPr="00572232" w:rsidRDefault="00A0426A" w:rsidP="00A0426A">
      <w:pPr>
        <w:ind w:right="-567"/>
        <w:jc w:val="both"/>
        <w:rPr>
          <w:sz w:val="20"/>
        </w:rPr>
      </w:pPr>
    </w:p>
    <w:p w:rsidR="00A0426A" w:rsidRPr="002B6DF9" w:rsidRDefault="00A0426A" w:rsidP="00A0426A">
      <w:pPr>
        <w:ind w:left="851" w:right="-567" w:hanging="567"/>
        <w:jc w:val="both"/>
        <w:rPr>
          <w:sz w:val="20"/>
        </w:rPr>
      </w:pPr>
      <w:r>
        <w:rPr>
          <w:b/>
          <w:sz w:val="20"/>
        </w:rPr>
        <w:t xml:space="preserve">Gesellschaft: </w:t>
      </w:r>
      <w:r>
        <w:rPr>
          <w:sz w:val="20"/>
        </w:rPr>
        <w:t>Aufstieg des Bürgertums in Verwaltung und Justiz auch im Dienst des Fürstentums; Spannung zw</w:t>
      </w:r>
      <w:r>
        <w:rPr>
          <w:sz w:val="20"/>
        </w:rPr>
        <w:t>i</w:t>
      </w:r>
      <w:r>
        <w:rPr>
          <w:sz w:val="20"/>
        </w:rPr>
        <w:t>schen Reich und Territorialstaaten</w:t>
      </w:r>
    </w:p>
    <w:p w:rsidR="00A0426A" w:rsidRDefault="00A0426A" w:rsidP="00A0426A">
      <w:pPr>
        <w:ind w:left="851" w:right="-567" w:hanging="567"/>
        <w:jc w:val="both"/>
        <w:rPr>
          <w:sz w:val="20"/>
        </w:rPr>
      </w:pPr>
      <w:r w:rsidRPr="00572232">
        <w:rPr>
          <w:b/>
          <w:sz w:val="20"/>
        </w:rPr>
        <w:t xml:space="preserve">Gegenreformation </w:t>
      </w:r>
      <w:r w:rsidRPr="00572232">
        <w:rPr>
          <w:sz w:val="20"/>
        </w:rPr>
        <w:t>Konzil von Trient (1545 -1563): Programm zur Erneuerung der katholischen Kirche; Versuch der Eindämmung des Protestantismus; wichtige Rolle dabei: Jesuitenordnen</w:t>
      </w:r>
      <w:r>
        <w:rPr>
          <w:sz w:val="20"/>
        </w:rPr>
        <w:t>; Zeitalter insgesamt religiös g</w:t>
      </w:r>
      <w:r>
        <w:rPr>
          <w:sz w:val="20"/>
        </w:rPr>
        <w:t>e</w:t>
      </w:r>
      <w:r>
        <w:rPr>
          <w:sz w:val="20"/>
        </w:rPr>
        <w:t>prägt: Kampf gegen Verweltlichung, Absage an das autonome Menschenbild der Renaissance; Aufruf zur Besinnung; Hinweis auf die Vergänglichkeit des Irdischen; spätmittelalterliche Gedanke der „</w:t>
      </w:r>
      <w:proofErr w:type="spellStart"/>
      <w:r>
        <w:rPr>
          <w:sz w:val="20"/>
        </w:rPr>
        <w:t>unio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mystica</w:t>
      </w:r>
      <w:proofErr w:type="spellEnd"/>
      <w:r>
        <w:rPr>
          <w:sz w:val="20"/>
        </w:rPr>
        <w:t xml:space="preserve">“ aufgenommen; </w:t>
      </w:r>
    </w:p>
    <w:p w:rsidR="00A0426A" w:rsidRPr="00AA3C37" w:rsidRDefault="00A0426A" w:rsidP="00A0426A">
      <w:pPr>
        <w:ind w:left="851" w:right="-567"/>
        <w:jc w:val="both"/>
        <w:rPr>
          <w:sz w:val="20"/>
        </w:rPr>
      </w:pPr>
      <w:r w:rsidRPr="00AA3C37">
        <w:rPr>
          <w:sz w:val="20"/>
        </w:rPr>
        <w:t>gegen Ende des Jhd. pietistische Strömungen im Protestantismus</w:t>
      </w:r>
    </w:p>
    <w:p w:rsidR="00A0426A" w:rsidRDefault="00A0426A" w:rsidP="00A0426A">
      <w:pPr>
        <w:ind w:left="851" w:right="-567" w:hanging="567"/>
        <w:jc w:val="both"/>
        <w:rPr>
          <w:sz w:val="20"/>
        </w:rPr>
      </w:pPr>
      <w:r w:rsidRPr="00572232">
        <w:rPr>
          <w:b/>
          <w:sz w:val="20"/>
        </w:rPr>
        <w:t xml:space="preserve">Der 30jährige Krieg </w:t>
      </w:r>
      <w:r w:rsidRPr="00572232">
        <w:rPr>
          <w:sz w:val="20"/>
        </w:rPr>
        <w:t>(1618 -1648); katholische „Liga“ (Tilly, Wallenstein) gegen protestantische Union“ (Gustav Adolf von Schweden)</w:t>
      </w:r>
      <w:r>
        <w:rPr>
          <w:sz w:val="20"/>
        </w:rPr>
        <w:t>: Todesangst und Lebenshunger</w:t>
      </w:r>
    </w:p>
    <w:p w:rsidR="00A0426A" w:rsidRPr="0072171F" w:rsidRDefault="00A0426A" w:rsidP="00A0426A">
      <w:pPr>
        <w:ind w:left="851" w:right="-567"/>
        <w:jc w:val="both"/>
        <w:rPr>
          <w:sz w:val="20"/>
        </w:rPr>
      </w:pPr>
      <w:r>
        <w:rPr>
          <w:sz w:val="20"/>
        </w:rPr>
        <w:t>Verdrängung konfessioneller Kriegsziele durch machtpolitische Ziele: vgl. katholisches Frankreich gegen andere katholische Mächte wie Österreich oder Spanien</w:t>
      </w:r>
    </w:p>
    <w:p w:rsidR="00A0426A" w:rsidRPr="00572232" w:rsidRDefault="00A0426A" w:rsidP="00A0426A">
      <w:pPr>
        <w:ind w:left="851" w:right="-567" w:hanging="567"/>
        <w:jc w:val="both"/>
        <w:rPr>
          <w:sz w:val="20"/>
        </w:rPr>
      </w:pPr>
      <w:r w:rsidRPr="00572232">
        <w:rPr>
          <w:b/>
          <w:sz w:val="20"/>
        </w:rPr>
        <w:t>Westfälischer Friede:</w:t>
      </w:r>
      <w:r w:rsidRPr="00572232">
        <w:rPr>
          <w:sz w:val="20"/>
        </w:rPr>
        <w:t xml:space="preserve"> Deutschland ein Scherbenhaufen; deutsche Einheit: eine Fiktion, viele Teilstaaten, Öste</w:t>
      </w:r>
      <w:r w:rsidRPr="00572232">
        <w:rPr>
          <w:sz w:val="20"/>
        </w:rPr>
        <w:t>r</w:t>
      </w:r>
      <w:r w:rsidRPr="00572232">
        <w:rPr>
          <w:sz w:val="20"/>
        </w:rPr>
        <w:t>reich orientiert sich nach Ungarn (Zurückdrängen der Türken nach ihrem Vorstoß nach Wien 1683); Brandenburg-Preußen wird mächtiger Territorialstaat: Großer Ku</w:t>
      </w:r>
      <w:r w:rsidRPr="00572232">
        <w:rPr>
          <w:sz w:val="20"/>
        </w:rPr>
        <w:t>r</w:t>
      </w:r>
      <w:r w:rsidRPr="00572232">
        <w:rPr>
          <w:sz w:val="20"/>
        </w:rPr>
        <w:t>fürst Friedrich Wilhelm (1640 – 1688)</w:t>
      </w:r>
    </w:p>
    <w:p w:rsidR="00A0426A" w:rsidRPr="00572232" w:rsidRDefault="00A0426A" w:rsidP="00A0426A">
      <w:pPr>
        <w:ind w:left="851" w:right="-567" w:hanging="567"/>
        <w:jc w:val="both"/>
        <w:rPr>
          <w:sz w:val="20"/>
        </w:rPr>
      </w:pPr>
      <w:r w:rsidRPr="00572232">
        <w:rPr>
          <w:b/>
          <w:sz w:val="20"/>
        </w:rPr>
        <w:t>Absolutismus</w:t>
      </w:r>
      <w:r w:rsidRPr="00572232">
        <w:rPr>
          <w:sz w:val="20"/>
        </w:rPr>
        <w:t xml:space="preserve"> unbeschränkte Staatsgewalt und Machtfülle in den Händen des Fürsten;</w:t>
      </w:r>
      <w:r>
        <w:rPr>
          <w:sz w:val="20"/>
        </w:rPr>
        <w:t xml:space="preserve"> prunkvolle Repräsentation, kulturelle Führung der Höfe;</w:t>
      </w:r>
      <w:r w:rsidRPr="00572232">
        <w:rPr>
          <w:sz w:val="20"/>
        </w:rPr>
        <w:t xml:space="preserve"> obrigkeitsstaatliches Prinzip, stehendes Heer; Beamtentum (vgl. Sonnenkönig Lu</w:t>
      </w:r>
      <w:r w:rsidRPr="00572232">
        <w:rPr>
          <w:sz w:val="20"/>
        </w:rPr>
        <w:t>d</w:t>
      </w:r>
      <w:r w:rsidRPr="00572232">
        <w:rPr>
          <w:sz w:val="20"/>
        </w:rPr>
        <w:t>wig XIV</w:t>
      </w:r>
      <w:r>
        <w:rPr>
          <w:sz w:val="20"/>
        </w:rPr>
        <w:t>: 1638</w:t>
      </w:r>
      <w:r w:rsidRPr="00572232">
        <w:rPr>
          <w:sz w:val="20"/>
        </w:rPr>
        <w:t xml:space="preserve"> </w:t>
      </w:r>
      <w:r>
        <w:rPr>
          <w:sz w:val="20"/>
        </w:rPr>
        <w:t>–</w:t>
      </w:r>
      <w:r w:rsidRPr="00572232">
        <w:rPr>
          <w:sz w:val="20"/>
        </w:rPr>
        <w:t xml:space="preserve"> 1715</w:t>
      </w:r>
      <w:r>
        <w:rPr>
          <w:sz w:val="20"/>
        </w:rPr>
        <w:t xml:space="preserve"> Vorbild für Europa</w:t>
      </w:r>
      <w:r w:rsidRPr="00572232">
        <w:rPr>
          <w:sz w:val="20"/>
        </w:rPr>
        <w:t>)</w:t>
      </w:r>
    </w:p>
    <w:p w:rsidR="00A0426A" w:rsidRPr="00572232" w:rsidRDefault="00A0426A" w:rsidP="00A0426A">
      <w:pPr>
        <w:ind w:left="851" w:right="-567"/>
        <w:jc w:val="both"/>
        <w:rPr>
          <w:sz w:val="20"/>
        </w:rPr>
      </w:pPr>
      <w:r w:rsidRPr="00572232">
        <w:rPr>
          <w:sz w:val="20"/>
        </w:rPr>
        <w:t xml:space="preserve">Machiavelli: </w:t>
      </w:r>
      <w:r w:rsidRPr="00572232">
        <w:rPr>
          <w:i/>
          <w:sz w:val="20"/>
        </w:rPr>
        <w:t xml:space="preserve">Il </w:t>
      </w:r>
      <w:proofErr w:type="spellStart"/>
      <w:r w:rsidRPr="00572232">
        <w:rPr>
          <w:i/>
          <w:sz w:val="20"/>
        </w:rPr>
        <w:t>Principe</w:t>
      </w:r>
      <w:proofErr w:type="spellEnd"/>
      <w:r w:rsidRPr="00572232">
        <w:rPr>
          <w:i/>
          <w:sz w:val="20"/>
        </w:rPr>
        <w:t xml:space="preserve"> (</w:t>
      </w:r>
      <w:r w:rsidRPr="00572232">
        <w:rPr>
          <w:sz w:val="20"/>
        </w:rPr>
        <w:t>grundlegendes Traktat über die Fürstenerziehung)</w:t>
      </w:r>
    </w:p>
    <w:p w:rsidR="00A0426A" w:rsidRPr="00572232" w:rsidRDefault="00A0426A" w:rsidP="00A0426A">
      <w:pPr>
        <w:ind w:left="284" w:right="-567" w:hanging="284"/>
        <w:jc w:val="both"/>
        <w:rPr>
          <w:sz w:val="20"/>
        </w:rPr>
      </w:pPr>
      <w:r w:rsidRPr="002F2832">
        <w:rPr>
          <w:b/>
          <w:sz w:val="22"/>
        </w:rPr>
        <w:t>Theologie:</w:t>
      </w:r>
      <w:r w:rsidRPr="002F2832">
        <w:rPr>
          <w:sz w:val="22"/>
        </w:rPr>
        <w:t xml:space="preserve"> </w:t>
      </w:r>
      <w:r w:rsidRPr="00572232">
        <w:rPr>
          <w:sz w:val="20"/>
        </w:rPr>
        <w:t>Gott als Ingenieur bzw. als Uhrmacher</w:t>
      </w:r>
      <w:r>
        <w:rPr>
          <w:sz w:val="20"/>
        </w:rPr>
        <w:t>; der große Handwerker bzw. Demiurg</w:t>
      </w:r>
    </w:p>
    <w:p w:rsidR="00A0426A" w:rsidRPr="00572232" w:rsidRDefault="00A0426A" w:rsidP="00A0426A">
      <w:pPr>
        <w:ind w:left="284" w:right="-567" w:hanging="284"/>
        <w:jc w:val="both"/>
        <w:rPr>
          <w:sz w:val="20"/>
        </w:rPr>
      </w:pPr>
      <w:r w:rsidRPr="002F2832">
        <w:rPr>
          <w:b/>
          <w:sz w:val="22"/>
        </w:rPr>
        <w:t>Kunstauffassung</w:t>
      </w:r>
      <w:r w:rsidRPr="00572232">
        <w:rPr>
          <w:b/>
          <w:sz w:val="20"/>
        </w:rPr>
        <w:t xml:space="preserve">: </w:t>
      </w:r>
      <w:r w:rsidRPr="00572232">
        <w:rPr>
          <w:sz w:val="20"/>
        </w:rPr>
        <w:t>Kunst ist erlernbar und muss feste Regeln befolgen,</w:t>
      </w:r>
      <w:r>
        <w:rPr>
          <w:sz w:val="20"/>
        </w:rPr>
        <w:t xml:space="preserve"> Motiv der "</w:t>
      </w:r>
      <w:proofErr w:type="spellStart"/>
      <w:r>
        <w:rPr>
          <w:sz w:val="20"/>
        </w:rPr>
        <w:t>Wolredenheit</w:t>
      </w:r>
      <w:proofErr w:type="spellEnd"/>
      <w:r>
        <w:rPr>
          <w:sz w:val="20"/>
        </w:rPr>
        <w:t>",</w:t>
      </w:r>
      <w:r w:rsidRPr="00572232">
        <w:rPr>
          <w:sz w:val="20"/>
        </w:rPr>
        <w:t xml:space="preserve"> Konjunktur von Po</w:t>
      </w:r>
      <w:r w:rsidRPr="00572232">
        <w:rPr>
          <w:sz w:val="20"/>
        </w:rPr>
        <w:t>e</w:t>
      </w:r>
      <w:r w:rsidRPr="00572232">
        <w:rPr>
          <w:sz w:val="20"/>
        </w:rPr>
        <w:t>tiken und Handbüchern: Poetischer Trichter („Nürnberger Trichter“) von Harsdörffer; Reimregister (</w:t>
      </w:r>
      <w:proofErr w:type="spellStart"/>
      <w:r w:rsidRPr="00572232">
        <w:rPr>
          <w:sz w:val="20"/>
        </w:rPr>
        <w:t>Zesen</w:t>
      </w:r>
      <w:proofErr w:type="spellEnd"/>
      <w:r w:rsidRPr="00572232">
        <w:rPr>
          <w:sz w:val="20"/>
        </w:rPr>
        <w:t xml:space="preserve">) und </w:t>
      </w:r>
      <w:proofErr w:type="spellStart"/>
      <w:r w:rsidRPr="00572232">
        <w:rPr>
          <w:sz w:val="20"/>
        </w:rPr>
        <w:t>Metaphernverzeichnisse</w:t>
      </w:r>
      <w:proofErr w:type="spellEnd"/>
      <w:r w:rsidRPr="00572232">
        <w:rPr>
          <w:sz w:val="20"/>
        </w:rPr>
        <w:t xml:space="preserve"> (Harsdörffer); Ziel: Heben des dichterischen Niveaus, kulturpatriotische Absicht: deutsche Nationalliteratur</w:t>
      </w:r>
      <w:r>
        <w:rPr>
          <w:sz w:val="20"/>
        </w:rPr>
        <w:t xml:space="preserve"> einer Bildungselite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b/>
          <w:sz w:val="20"/>
        </w:rPr>
        <w:t>didaktische Absicht</w:t>
      </w:r>
      <w:r w:rsidRPr="00572232">
        <w:rPr>
          <w:sz w:val="20"/>
        </w:rPr>
        <w:t xml:space="preserve"> auch in den vielen </w:t>
      </w:r>
      <w:r w:rsidRPr="00572232">
        <w:rPr>
          <w:b/>
          <w:sz w:val="20"/>
        </w:rPr>
        <w:t xml:space="preserve">Sprachgesellschaften </w:t>
      </w:r>
      <w:r w:rsidRPr="00572232">
        <w:rPr>
          <w:sz w:val="20"/>
        </w:rPr>
        <w:t>zur Sprachreinheit und Sprachpflege: Verwi</w:t>
      </w:r>
      <w:r w:rsidRPr="00572232">
        <w:rPr>
          <w:sz w:val="20"/>
        </w:rPr>
        <w:t>l</w:t>
      </w:r>
      <w:r w:rsidRPr="00572232">
        <w:rPr>
          <w:sz w:val="20"/>
        </w:rPr>
        <w:t>derung und „Verunreinigung“ der deutschen Sprache als Folge des Krieges (Spanier, Franzosen, Schweden, Kroaten), Verfeinerung der Sprache: taugliches Werkzeug für Wisse</w:t>
      </w:r>
      <w:r w:rsidRPr="00572232">
        <w:rPr>
          <w:sz w:val="20"/>
        </w:rPr>
        <w:t>n</w:t>
      </w:r>
      <w:r w:rsidRPr="00572232">
        <w:rPr>
          <w:sz w:val="20"/>
        </w:rPr>
        <w:t>schaft und Dichtung, hoffähig werden auch in europäischem Rahmen; Eindeutschen von Fremdwörtern (Kloster = No</w:t>
      </w:r>
      <w:r w:rsidRPr="00572232">
        <w:rPr>
          <w:sz w:val="20"/>
        </w:rPr>
        <w:t>n</w:t>
      </w:r>
      <w:r w:rsidRPr="00572232">
        <w:rPr>
          <w:sz w:val="20"/>
        </w:rPr>
        <w:t>nenzwinger etc.)</w:t>
      </w:r>
    </w:p>
    <w:p w:rsidR="00A0426A" w:rsidRPr="002F2832" w:rsidRDefault="00A0426A" w:rsidP="00A0426A">
      <w:pPr>
        <w:ind w:left="284" w:right="-567" w:hanging="284"/>
        <w:jc w:val="both"/>
        <w:rPr>
          <w:sz w:val="22"/>
        </w:rPr>
      </w:pPr>
      <w:r w:rsidRPr="002F2832">
        <w:rPr>
          <w:b/>
          <w:sz w:val="22"/>
        </w:rPr>
        <w:t>literarische Formen/ Textsorten/ Genres:</w:t>
      </w:r>
      <w:r w:rsidRPr="002F2832">
        <w:rPr>
          <w:sz w:val="22"/>
        </w:rPr>
        <w:t xml:space="preserve"> 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  <w:u w:val="single"/>
        </w:rPr>
        <w:t>Lyrik:</w:t>
      </w:r>
      <w:r w:rsidRPr="00572232">
        <w:rPr>
          <w:sz w:val="20"/>
        </w:rPr>
        <w:t xml:space="preserve"> geistliche Lyrik (Kirchenlied</w:t>
      </w:r>
      <w:r>
        <w:rPr>
          <w:sz w:val="20"/>
        </w:rPr>
        <w:t>/ Gerhardt</w:t>
      </w:r>
      <w:r w:rsidRPr="00572232">
        <w:rPr>
          <w:sz w:val="20"/>
        </w:rPr>
        <w:t>, Lehrgedicht), Schäferdichtung (Liebe, Natur, Idylle) Figurengedicht; regelmäßiger Wechsel von Hebung und Senkung, Übereinstimmung von Wort- und Versakzent im Gegensatz zum Latein</w:t>
      </w:r>
      <w:r w:rsidRPr="00572232">
        <w:rPr>
          <w:sz w:val="20"/>
        </w:rPr>
        <w:t>i</w:t>
      </w:r>
      <w:r w:rsidRPr="00572232">
        <w:rPr>
          <w:sz w:val="20"/>
        </w:rPr>
        <w:t>schen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</w:rPr>
        <w:t>Sonett: strenge Formwille, jeder Teil hat Funktion fürs Ganze: 2 Quartette (</w:t>
      </w:r>
      <w:proofErr w:type="spellStart"/>
      <w:r w:rsidRPr="00572232">
        <w:rPr>
          <w:sz w:val="20"/>
        </w:rPr>
        <w:t>abba</w:t>
      </w:r>
      <w:proofErr w:type="spellEnd"/>
      <w:r w:rsidRPr="00572232">
        <w:rPr>
          <w:sz w:val="20"/>
        </w:rPr>
        <w:t xml:space="preserve">, </w:t>
      </w:r>
      <w:proofErr w:type="spellStart"/>
      <w:r w:rsidRPr="00572232">
        <w:rPr>
          <w:sz w:val="20"/>
        </w:rPr>
        <w:t>abba</w:t>
      </w:r>
      <w:proofErr w:type="spellEnd"/>
      <w:r w:rsidRPr="00572232">
        <w:rPr>
          <w:sz w:val="20"/>
        </w:rPr>
        <w:t>, &lt;- Aufgesang) + 2 Te</w:t>
      </w:r>
      <w:r w:rsidRPr="00572232">
        <w:rPr>
          <w:sz w:val="20"/>
        </w:rPr>
        <w:t>r</w:t>
      </w:r>
      <w:r w:rsidRPr="00572232">
        <w:rPr>
          <w:sz w:val="20"/>
        </w:rPr>
        <w:t>zette (</w:t>
      </w:r>
      <w:proofErr w:type="spellStart"/>
      <w:r w:rsidRPr="00572232">
        <w:rPr>
          <w:sz w:val="20"/>
        </w:rPr>
        <w:t>cdc</w:t>
      </w:r>
      <w:proofErr w:type="spellEnd"/>
      <w:r w:rsidRPr="00572232">
        <w:rPr>
          <w:sz w:val="20"/>
        </w:rPr>
        <w:t xml:space="preserve">, </w:t>
      </w:r>
      <w:proofErr w:type="spellStart"/>
      <w:r w:rsidRPr="00572232">
        <w:rPr>
          <w:sz w:val="20"/>
        </w:rPr>
        <w:t>dcd</w:t>
      </w:r>
      <w:proofErr w:type="spellEnd"/>
      <w:r w:rsidRPr="00572232">
        <w:rPr>
          <w:sz w:val="20"/>
        </w:rPr>
        <w:t xml:space="preserve"> &lt;- Abgesang); Gegensätze + ihre „Lösung“ bzw. Versöhnung oder epigrammatische Pointe </w:t>
      </w:r>
      <w:r w:rsidRPr="00572232">
        <w:rPr>
          <w:sz w:val="20"/>
        </w:rPr>
        <w:t>o</w:t>
      </w:r>
      <w:r w:rsidRPr="00572232">
        <w:rPr>
          <w:sz w:val="20"/>
        </w:rPr>
        <w:t>der Ausklang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</w:rPr>
        <w:t>Alexandriner: sechshebiger Jambus mit Zäsur nach 3. Hebung</w:t>
      </w:r>
    </w:p>
    <w:p w:rsidR="00A0426A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</w:rPr>
        <w:t>Stilmittel: Allegorie, Metapher</w:t>
      </w:r>
      <w:r>
        <w:rPr>
          <w:sz w:val="20"/>
        </w:rPr>
        <w:t>n(</w:t>
      </w:r>
      <w:proofErr w:type="spellStart"/>
      <w:r>
        <w:rPr>
          <w:sz w:val="20"/>
        </w:rPr>
        <w:t>ballung</w:t>
      </w:r>
      <w:proofErr w:type="spellEnd"/>
      <w:r>
        <w:rPr>
          <w:sz w:val="20"/>
        </w:rPr>
        <w:t>)</w:t>
      </w:r>
      <w:r w:rsidRPr="00572232">
        <w:rPr>
          <w:sz w:val="20"/>
        </w:rPr>
        <w:t xml:space="preserve">, </w:t>
      </w:r>
      <w:r>
        <w:rPr>
          <w:sz w:val="20"/>
        </w:rPr>
        <w:t xml:space="preserve">Beispiel- und Vergleichsketten, Häufung/ Reihung, </w:t>
      </w:r>
      <w:proofErr w:type="spellStart"/>
      <w:r>
        <w:rPr>
          <w:sz w:val="20"/>
        </w:rPr>
        <w:t>Enumeratio</w:t>
      </w:r>
      <w:proofErr w:type="spellEnd"/>
      <w:r w:rsidRPr="00572232">
        <w:rPr>
          <w:sz w:val="20"/>
        </w:rPr>
        <w:t xml:space="preserve"> </w:t>
      </w:r>
      <w:r>
        <w:rPr>
          <w:sz w:val="20"/>
        </w:rPr>
        <w:t>und Per</w:t>
      </w:r>
      <w:r>
        <w:rPr>
          <w:sz w:val="20"/>
        </w:rPr>
        <w:t>i</w:t>
      </w:r>
      <w:r>
        <w:rPr>
          <w:sz w:val="20"/>
        </w:rPr>
        <w:t>phrase</w:t>
      </w:r>
      <w:r w:rsidRPr="00572232">
        <w:rPr>
          <w:sz w:val="20"/>
        </w:rPr>
        <w:t>(-&gt; Schwulst)</w:t>
      </w:r>
      <w:r>
        <w:rPr>
          <w:sz w:val="20"/>
        </w:rPr>
        <w:t xml:space="preserve">, Steigerung durch Verzicht auf Verbindungspartikel (Asyndeta); </w:t>
      </w:r>
      <w:proofErr w:type="spellStart"/>
      <w:r>
        <w:rPr>
          <w:sz w:val="20"/>
        </w:rPr>
        <w:t>Hyperbolik</w:t>
      </w:r>
      <w:proofErr w:type="spellEnd"/>
      <w:r>
        <w:rPr>
          <w:sz w:val="20"/>
        </w:rPr>
        <w:t xml:space="preserve">; Pointen oder </w:t>
      </w:r>
      <w:proofErr w:type="spellStart"/>
      <w:r>
        <w:rPr>
          <w:sz w:val="20"/>
        </w:rPr>
        <w:t>co</w:t>
      </w:r>
      <w:r>
        <w:rPr>
          <w:sz w:val="20"/>
        </w:rPr>
        <w:t>n</w:t>
      </w:r>
      <w:r>
        <w:rPr>
          <w:sz w:val="20"/>
        </w:rPr>
        <w:t>cetto</w:t>
      </w:r>
      <w:proofErr w:type="spellEnd"/>
      <w:r>
        <w:rPr>
          <w:sz w:val="20"/>
        </w:rPr>
        <w:t xml:space="preserve"> am Textende </w:t>
      </w:r>
    </w:p>
    <w:p w:rsidR="00A0426A" w:rsidRDefault="00A0426A" w:rsidP="00A0426A">
      <w:pPr>
        <w:ind w:left="284" w:right="-567"/>
        <w:jc w:val="both"/>
        <w:rPr>
          <w:sz w:val="20"/>
        </w:rPr>
      </w:pPr>
      <w:r>
        <w:rPr>
          <w:sz w:val="20"/>
        </w:rPr>
        <w:t>Kirchenlied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>
        <w:rPr>
          <w:sz w:val="20"/>
        </w:rPr>
        <w:t>Predigt (Abraham á Santa Clara)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  <w:u w:val="single"/>
        </w:rPr>
        <w:t>Drama</w:t>
      </w:r>
      <w:r w:rsidRPr="00572232">
        <w:rPr>
          <w:sz w:val="20"/>
        </w:rPr>
        <w:t xml:space="preserve"> (Jesuitendrama, Tragödie und Komödie [Gryphius]); soziale Kriterien für </w:t>
      </w:r>
      <w:proofErr w:type="spellStart"/>
      <w:r w:rsidRPr="00572232">
        <w:rPr>
          <w:sz w:val="20"/>
        </w:rPr>
        <w:t>dramatis</w:t>
      </w:r>
      <w:proofErr w:type="spellEnd"/>
      <w:r w:rsidRPr="00572232">
        <w:rPr>
          <w:sz w:val="20"/>
        </w:rPr>
        <w:t xml:space="preserve"> </w:t>
      </w:r>
      <w:proofErr w:type="spellStart"/>
      <w:r w:rsidRPr="00572232">
        <w:rPr>
          <w:sz w:val="20"/>
        </w:rPr>
        <w:t>personae</w:t>
      </w:r>
      <w:proofErr w:type="spellEnd"/>
      <w:r w:rsidRPr="00572232">
        <w:rPr>
          <w:sz w:val="20"/>
        </w:rPr>
        <w:t xml:space="preserve"> in Tr</w:t>
      </w:r>
      <w:r w:rsidRPr="00572232">
        <w:rPr>
          <w:sz w:val="20"/>
        </w:rPr>
        <w:t>a</w:t>
      </w:r>
      <w:r w:rsidRPr="00572232">
        <w:rPr>
          <w:sz w:val="20"/>
        </w:rPr>
        <w:t>gödie und Komödie (Standesvorbehalt, große Fallhöhe)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  <w:u w:val="single"/>
        </w:rPr>
        <w:t>Epik</w:t>
      </w:r>
      <w:r w:rsidRPr="00572232">
        <w:rPr>
          <w:sz w:val="20"/>
        </w:rPr>
        <w:t xml:space="preserve"> (Schelmenroman [Simplizissimus</w:t>
      </w:r>
      <w:r>
        <w:rPr>
          <w:sz w:val="20"/>
        </w:rPr>
        <w:t>: Weltfülle in Stationenreihung, dann aber Weltentsagung in Einsiedlerklause</w:t>
      </w:r>
      <w:r w:rsidRPr="00572232">
        <w:rPr>
          <w:sz w:val="20"/>
        </w:rPr>
        <w:t xml:space="preserve">], heroisch-galanter Roman, Predigt [Abraham a </w:t>
      </w:r>
      <w:proofErr w:type="spellStart"/>
      <w:r w:rsidRPr="00572232">
        <w:rPr>
          <w:sz w:val="20"/>
        </w:rPr>
        <w:t>Sancta</w:t>
      </w:r>
      <w:proofErr w:type="spellEnd"/>
      <w:r w:rsidRPr="00572232">
        <w:rPr>
          <w:sz w:val="20"/>
        </w:rPr>
        <w:t xml:space="preserve"> Cl</w:t>
      </w:r>
      <w:r w:rsidRPr="00572232">
        <w:rPr>
          <w:sz w:val="20"/>
        </w:rPr>
        <w:t>a</w:t>
      </w:r>
      <w:r w:rsidRPr="00572232">
        <w:rPr>
          <w:sz w:val="20"/>
        </w:rPr>
        <w:t xml:space="preserve">ra]; </w:t>
      </w:r>
    </w:p>
    <w:p w:rsidR="00A0426A" w:rsidRPr="00572232" w:rsidRDefault="00A0426A" w:rsidP="00A0426A">
      <w:pPr>
        <w:ind w:left="284" w:right="-567"/>
        <w:jc w:val="both"/>
        <w:rPr>
          <w:sz w:val="20"/>
          <w:u w:val="single"/>
        </w:rPr>
      </w:pPr>
      <w:r w:rsidRPr="00572232">
        <w:rPr>
          <w:sz w:val="20"/>
          <w:u w:val="single"/>
        </w:rPr>
        <w:t>Emblematik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  <w:u w:val="single"/>
        </w:rPr>
        <w:t>Epigramme:</w:t>
      </w:r>
      <w:r w:rsidRPr="00572232">
        <w:rPr>
          <w:sz w:val="20"/>
        </w:rPr>
        <w:t xml:space="preserve"> Instrumente der Reformation und Gegenreformation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b/>
          <w:sz w:val="20"/>
        </w:rPr>
        <w:t>insgesamt:</w:t>
      </w:r>
      <w:r w:rsidRPr="00572232">
        <w:rPr>
          <w:sz w:val="20"/>
        </w:rPr>
        <w:t xml:space="preserve"> genaue Abgrenzung der </w:t>
      </w:r>
      <w:r>
        <w:rPr>
          <w:sz w:val="20"/>
        </w:rPr>
        <w:t xml:space="preserve">Gattungen (Opitz: Buch von der </w:t>
      </w:r>
      <w:proofErr w:type="spellStart"/>
      <w:r>
        <w:rPr>
          <w:sz w:val="20"/>
        </w:rPr>
        <w:t>t</w:t>
      </w:r>
      <w:r w:rsidRPr="00572232">
        <w:rPr>
          <w:sz w:val="20"/>
        </w:rPr>
        <w:t>eutschen</w:t>
      </w:r>
      <w:proofErr w:type="spellEnd"/>
      <w:r w:rsidRPr="00572232">
        <w:rPr>
          <w:sz w:val="20"/>
        </w:rPr>
        <w:t xml:space="preserve"> </w:t>
      </w:r>
      <w:proofErr w:type="spellStart"/>
      <w:r w:rsidRPr="00572232">
        <w:rPr>
          <w:sz w:val="20"/>
        </w:rPr>
        <w:t>Poeterey</w:t>
      </w:r>
      <w:proofErr w:type="spellEnd"/>
      <w:r w:rsidRPr="00572232">
        <w:rPr>
          <w:sz w:val="20"/>
        </w:rPr>
        <w:t>, 1624), Untersuchung des Nutzens von Stilmitteln für religiöse, moralische und Bildung</w:t>
      </w:r>
      <w:r w:rsidRPr="00572232">
        <w:rPr>
          <w:sz w:val="20"/>
        </w:rPr>
        <w:t>s</w:t>
      </w:r>
      <w:r w:rsidRPr="00572232">
        <w:rPr>
          <w:sz w:val="20"/>
        </w:rPr>
        <w:t>zwecke</w:t>
      </w:r>
    </w:p>
    <w:p w:rsidR="00A0426A" w:rsidRDefault="00A0426A" w:rsidP="00A0426A">
      <w:pPr>
        <w:ind w:right="-567"/>
        <w:jc w:val="both"/>
        <w:rPr>
          <w:b/>
          <w:sz w:val="22"/>
        </w:rPr>
      </w:pPr>
    </w:p>
    <w:p w:rsidR="00A0426A" w:rsidRDefault="00A0426A" w:rsidP="00A0426A">
      <w:pPr>
        <w:ind w:right="-567"/>
        <w:jc w:val="both"/>
        <w:rPr>
          <w:b/>
          <w:sz w:val="22"/>
        </w:rPr>
      </w:pPr>
    </w:p>
    <w:p w:rsidR="00A0426A" w:rsidRPr="002F2832" w:rsidRDefault="00A0426A" w:rsidP="00A0426A">
      <w:pPr>
        <w:ind w:right="-567"/>
        <w:jc w:val="both"/>
        <w:rPr>
          <w:b/>
          <w:sz w:val="22"/>
        </w:rPr>
      </w:pPr>
      <w:r w:rsidRPr="002F2832">
        <w:rPr>
          <w:b/>
          <w:sz w:val="22"/>
        </w:rPr>
        <w:t xml:space="preserve">wichtige Vertreter: 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b/>
          <w:sz w:val="20"/>
        </w:rPr>
        <w:t xml:space="preserve">Lyrik: </w:t>
      </w:r>
      <w:r w:rsidRPr="00572232">
        <w:rPr>
          <w:sz w:val="20"/>
        </w:rPr>
        <w:t xml:space="preserve">Martin Opitz, Paul Fleming, Andreas Gryphius, Christian Hofmann von </w:t>
      </w:r>
      <w:proofErr w:type="spellStart"/>
      <w:r w:rsidRPr="00572232">
        <w:rPr>
          <w:sz w:val="20"/>
        </w:rPr>
        <w:t>Hofmannswaldau</w:t>
      </w:r>
      <w:proofErr w:type="spellEnd"/>
      <w:r w:rsidRPr="00572232">
        <w:rPr>
          <w:sz w:val="20"/>
        </w:rPr>
        <w:t xml:space="preserve">, Paul Gerhardt, Angelus </w:t>
      </w:r>
      <w:proofErr w:type="spellStart"/>
      <w:r w:rsidRPr="00572232">
        <w:rPr>
          <w:sz w:val="20"/>
        </w:rPr>
        <w:t>Silesius</w:t>
      </w:r>
      <w:proofErr w:type="spellEnd"/>
      <w:r w:rsidRPr="00572232">
        <w:rPr>
          <w:sz w:val="20"/>
        </w:rPr>
        <w:t xml:space="preserve"> 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b/>
          <w:sz w:val="20"/>
        </w:rPr>
        <w:t xml:space="preserve">Drama: </w:t>
      </w:r>
      <w:r w:rsidRPr="00572232">
        <w:rPr>
          <w:sz w:val="20"/>
        </w:rPr>
        <w:t xml:space="preserve">Jakob </w:t>
      </w:r>
      <w:proofErr w:type="spellStart"/>
      <w:r w:rsidRPr="00572232">
        <w:rPr>
          <w:sz w:val="20"/>
        </w:rPr>
        <w:t>Bidermann</w:t>
      </w:r>
      <w:proofErr w:type="spellEnd"/>
      <w:r w:rsidRPr="00572232">
        <w:rPr>
          <w:sz w:val="20"/>
        </w:rPr>
        <w:t>, Andreas Gryphius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b/>
          <w:sz w:val="20"/>
        </w:rPr>
        <w:t>Epik:</w:t>
      </w:r>
      <w:r w:rsidRPr="00572232">
        <w:rPr>
          <w:sz w:val="20"/>
        </w:rPr>
        <w:t xml:space="preserve"> Hans Jakob Christoph von Grimmelshausen, Christian Reuter (</w:t>
      </w:r>
      <w:proofErr w:type="spellStart"/>
      <w:r w:rsidRPr="00572232">
        <w:rPr>
          <w:i/>
          <w:sz w:val="20"/>
        </w:rPr>
        <w:t>Schelmuffsky</w:t>
      </w:r>
      <w:proofErr w:type="spellEnd"/>
      <w:r w:rsidRPr="00572232">
        <w:rPr>
          <w:sz w:val="20"/>
        </w:rPr>
        <w:t>)</w:t>
      </w:r>
    </w:p>
    <w:p w:rsidR="00A0426A" w:rsidRPr="00572232" w:rsidRDefault="00A0426A" w:rsidP="00A0426A">
      <w:pPr>
        <w:ind w:left="284" w:right="-567" w:hanging="284"/>
        <w:jc w:val="both"/>
        <w:rPr>
          <w:sz w:val="20"/>
        </w:rPr>
      </w:pPr>
      <w:r w:rsidRPr="002F2832">
        <w:rPr>
          <w:b/>
          <w:sz w:val="22"/>
        </w:rPr>
        <w:t xml:space="preserve">Motive: </w:t>
      </w:r>
      <w:r w:rsidRPr="00572232">
        <w:rPr>
          <w:sz w:val="20"/>
        </w:rPr>
        <w:t xml:space="preserve">Krieg und Not als Grunderfahrung: </w:t>
      </w:r>
      <w:proofErr w:type="spellStart"/>
      <w:r w:rsidRPr="00572232">
        <w:rPr>
          <w:i/>
          <w:sz w:val="20"/>
        </w:rPr>
        <w:t>memento</w:t>
      </w:r>
      <w:proofErr w:type="spellEnd"/>
      <w:r w:rsidRPr="00572232">
        <w:rPr>
          <w:i/>
          <w:sz w:val="20"/>
        </w:rPr>
        <w:t xml:space="preserve"> </w:t>
      </w:r>
      <w:proofErr w:type="spellStart"/>
      <w:r w:rsidRPr="00572232">
        <w:rPr>
          <w:i/>
          <w:sz w:val="20"/>
        </w:rPr>
        <w:t>mori</w:t>
      </w:r>
      <w:proofErr w:type="spellEnd"/>
      <w:r w:rsidRPr="00572232">
        <w:rPr>
          <w:i/>
          <w:sz w:val="20"/>
        </w:rPr>
        <w:t xml:space="preserve">, </w:t>
      </w:r>
      <w:proofErr w:type="spellStart"/>
      <w:r w:rsidRPr="00572232">
        <w:rPr>
          <w:i/>
          <w:sz w:val="20"/>
        </w:rPr>
        <w:t>vanitas</w:t>
      </w:r>
      <w:proofErr w:type="spellEnd"/>
      <w:r w:rsidRPr="00572232">
        <w:rPr>
          <w:sz w:val="20"/>
        </w:rPr>
        <w:t xml:space="preserve"> – Gedanke: </w:t>
      </w:r>
      <w:r>
        <w:rPr>
          <w:sz w:val="20"/>
        </w:rPr>
        <w:t xml:space="preserve">Wandelbarkeit/ </w:t>
      </w:r>
      <w:r w:rsidRPr="00572232">
        <w:rPr>
          <w:sz w:val="20"/>
        </w:rPr>
        <w:t>Vergänglichkeit und Eitelkeit</w:t>
      </w:r>
      <w:r>
        <w:rPr>
          <w:sz w:val="20"/>
        </w:rPr>
        <w:t>/ Nichtigkeit</w:t>
      </w:r>
      <w:r w:rsidRPr="00572232">
        <w:rPr>
          <w:sz w:val="20"/>
        </w:rPr>
        <w:t xml:space="preserve"> alles Irdischen, adieu – Welt – Motiv, Ewigkeit und Wichtigkeit des Jenseits, Leben als Seefahrt oder „</w:t>
      </w:r>
      <w:proofErr w:type="spellStart"/>
      <w:r w:rsidRPr="00572232">
        <w:rPr>
          <w:sz w:val="20"/>
        </w:rPr>
        <w:t>Rennebahn</w:t>
      </w:r>
      <w:proofErr w:type="spellEnd"/>
      <w:r w:rsidRPr="00572232">
        <w:rPr>
          <w:sz w:val="20"/>
        </w:rPr>
        <w:t>“, Welt als Jammertal, Existenz als Schauspiel</w:t>
      </w:r>
      <w:r>
        <w:rPr>
          <w:sz w:val="20"/>
        </w:rPr>
        <w:t>; aber auch "</w:t>
      </w:r>
      <w:proofErr w:type="spellStart"/>
      <w:r>
        <w:rPr>
          <w:sz w:val="20"/>
        </w:rPr>
        <w:t>carpe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diem</w:t>
      </w:r>
      <w:proofErr w:type="spellEnd"/>
      <w:r>
        <w:rPr>
          <w:sz w:val="20"/>
        </w:rPr>
        <w:t>" (antithetisches L</w:t>
      </w:r>
      <w:r>
        <w:rPr>
          <w:sz w:val="20"/>
        </w:rPr>
        <w:t>e</w:t>
      </w:r>
      <w:r>
        <w:rPr>
          <w:sz w:val="20"/>
        </w:rPr>
        <w:t xml:space="preserve">bensgefühl); </w:t>
      </w:r>
      <w:proofErr w:type="spellStart"/>
      <w:r>
        <w:rPr>
          <w:sz w:val="20"/>
        </w:rPr>
        <w:t>theatrum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mundi</w:t>
      </w:r>
      <w:proofErr w:type="spellEnd"/>
      <w:r>
        <w:rPr>
          <w:sz w:val="20"/>
        </w:rPr>
        <w:t xml:space="preserve"> - Welt als Bühne</w:t>
      </w:r>
    </w:p>
    <w:p w:rsidR="00A0426A" w:rsidRDefault="00A0426A" w:rsidP="00A0426A">
      <w:pPr>
        <w:ind w:left="284" w:right="-567"/>
        <w:jc w:val="both"/>
        <w:rPr>
          <w:sz w:val="20"/>
        </w:rPr>
      </w:pPr>
      <w:r w:rsidRPr="00572232">
        <w:rPr>
          <w:b/>
          <w:sz w:val="20"/>
        </w:rPr>
        <w:t xml:space="preserve">insgesamt: </w:t>
      </w:r>
      <w:r>
        <w:rPr>
          <w:sz w:val="20"/>
        </w:rPr>
        <w:t xml:space="preserve">Spannung/ Antithetik/ </w:t>
      </w:r>
      <w:r w:rsidRPr="00572232">
        <w:rPr>
          <w:sz w:val="20"/>
        </w:rPr>
        <w:t>Polarität zwischen Lebensgier und Todesbangen, Weltfreude und Jenseitssehnsuch</w:t>
      </w:r>
      <w:r>
        <w:rPr>
          <w:sz w:val="20"/>
        </w:rPr>
        <w:t>t</w:t>
      </w:r>
      <w:r w:rsidRPr="00572232">
        <w:rPr>
          <w:sz w:val="20"/>
        </w:rPr>
        <w:t>, höfische Ku</w:t>
      </w:r>
      <w:r w:rsidRPr="00572232">
        <w:rPr>
          <w:sz w:val="20"/>
        </w:rPr>
        <w:t>l</w:t>
      </w:r>
      <w:r w:rsidRPr="00572232">
        <w:rPr>
          <w:sz w:val="20"/>
        </w:rPr>
        <w:t>tur und bürgerliches Standesbewusstsein</w:t>
      </w:r>
    </w:p>
    <w:p w:rsidR="00A0426A" w:rsidRPr="002F2832" w:rsidRDefault="00A0426A" w:rsidP="00A0426A">
      <w:pPr>
        <w:ind w:right="-567"/>
        <w:jc w:val="both"/>
        <w:rPr>
          <w:b/>
          <w:sz w:val="22"/>
        </w:rPr>
      </w:pPr>
      <w:r w:rsidRPr="002F2832">
        <w:rPr>
          <w:b/>
          <w:sz w:val="22"/>
        </w:rPr>
        <w:t>Allgemeine Kulturtendenzen:</w:t>
      </w:r>
    </w:p>
    <w:p w:rsidR="00A0426A" w:rsidRDefault="00A0426A" w:rsidP="00A0426A">
      <w:pPr>
        <w:ind w:left="284" w:right="-567"/>
        <w:jc w:val="both"/>
        <w:rPr>
          <w:sz w:val="20"/>
        </w:rPr>
      </w:pPr>
      <w:r>
        <w:rPr>
          <w:sz w:val="20"/>
        </w:rPr>
        <w:t xml:space="preserve">Bemühen um Literatursprache; Pflege des Hochdeutschen; Reinigung von Fremdwörtern (Sprachgesellschaften: Fruchtbringende Gesellschaft, Pegnitzschäfer, </w:t>
      </w:r>
      <w:proofErr w:type="spellStart"/>
      <w:r>
        <w:rPr>
          <w:sz w:val="20"/>
        </w:rPr>
        <w:t>Elbschwanorden</w:t>
      </w:r>
      <w:proofErr w:type="spellEnd"/>
      <w:r>
        <w:rPr>
          <w:sz w:val="20"/>
        </w:rPr>
        <w:t>, Fruchtbringender Palmenorden, Aufrichtige Ta</w:t>
      </w:r>
      <w:r>
        <w:rPr>
          <w:sz w:val="20"/>
        </w:rPr>
        <w:t>n</w:t>
      </w:r>
      <w:r>
        <w:rPr>
          <w:sz w:val="20"/>
        </w:rPr>
        <w:t>nengesellschaft);</w:t>
      </w:r>
    </w:p>
    <w:p w:rsidR="00A0426A" w:rsidRPr="00327B2A" w:rsidRDefault="00A0426A" w:rsidP="00A0426A">
      <w:pPr>
        <w:ind w:left="284" w:right="-567"/>
        <w:jc w:val="both"/>
        <w:rPr>
          <w:sz w:val="20"/>
        </w:rPr>
      </w:pPr>
      <w:r>
        <w:rPr>
          <w:sz w:val="20"/>
        </w:rPr>
        <w:t>Harsdörffer (Nürnberg): Poetischer (Nürnberger)Trichter; Schnellkurs für zukünftige Dichter</w:t>
      </w:r>
    </w:p>
    <w:p w:rsidR="00A0426A" w:rsidRPr="00572232" w:rsidRDefault="00A0426A" w:rsidP="00A0426A">
      <w:pPr>
        <w:ind w:left="284" w:right="-567" w:hanging="284"/>
        <w:jc w:val="both"/>
        <w:rPr>
          <w:sz w:val="20"/>
        </w:rPr>
      </w:pPr>
      <w:r w:rsidRPr="00572232">
        <w:rPr>
          <w:b/>
          <w:sz w:val="20"/>
        </w:rPr>
        <w:t xml:space="preserve">Möglichkeiten des Einstiegs: </w:t>
      </w:r>
      <w:r w:rsidRPr="00572232">
        <w:rPr>
          <w:sz w:val="20"/>
        </w:rPr>
        <w:t xml:space="preserve">Gedichte, s. o.; Gemälde: David </w:t>
      </w:r>
      <w:proofErr w:type="spellStart"/>
      <w:r w:rsidRPr="00572232">
        <w:rPr>
          <w:sz w:val="20"/>
        </w:rPr>
        <w:t>Bailly</w:t>
      </w:r>
      <w:proofErr w:type="spellEnd"/>
      <w:r w:rsidRPr="00572232">
        <w:rPr>
          <w:sz w:val="20"/>
        </w:rPr>
        <w:t xml:space="preserve"> </w:t>
      </w:r>
      <w:r w:rsidRPr="00572232">
        <w:rPr>
          <w:i/>
          <w:sz w:val="20"/>
        </w:rPr>
        <w:t xml:space="preserve">Selbstbildnis mit </w:t>
      </w:r>
      <w:proofErr w:type="spellStart"/>
      <w:r w:rsidRPr="00572232">
        <w:rPr>
          <w:i/>
          <w:sz w:val="20"/>
        </w:rPr>
        <w:t>Vanitassymbolen</w:t>
      </w:r>
      <w:proofErr w:type="spellEnd"/>
      <w:r w:rsidRPr="00572232">
        <w:rPr>
          <w:sz w:val="20"/>
        </w:rPr>
        <w:t xml:space="preserve">, </w:t>
      </w:r>
      <w:proofErr w:type="spellStart"/>
      <w:r w:rsidRPr="00572232">
        <w:rPr>
          <w:sz w:val="20"/>
        </w:rPr>
        <w:t>Edwaert</w:t>
      </w:r>
      <w:proofErr w:type="spellEnd"/>
      <w:r w:rsidRPr="00572232">
        <w:rPr>
          <w:sz w:val="20"/>
        </w:rPr>
        <w:t xml:space="preserve"> </w:t>
      </w:r>
      <w:proofErr w:type="spellStart"/>
      <w:r w:rsidRPr="00572232">
        <w:rPr>
          <w:sz w:val="20"/>
        </w:rPr>
        <w:t>Colyer</w:t>
      </w:r>
      <w:proofErr w:type="spellEnd"/>
      <w:r w:rsidRPr="00572232">
        <w:rPr>
          <w:sz w:val="20"/>
        </w:rPr>
        <w:t xml:space="preserve">: </w:t>
      </w:r>
      <w:r w:rsidRPr="00572232">
        <w:rPr>
          <w:i/>
          <w:sz w:val="20"/>
        </w:rPr>
        <w:t xml:space="preserve">Vanitas </w:t>
      </w:r>
      <w:r w:rsidRPr="00572232">
        <w:rPr>
          <w:sz w:val="20"/>
        </w:rPr>
        <w:t>(</w:t>
      </w:r>
      <w:proofErr w:type="spellStart"/>
      <w:r w:rsidRPr="00572232">
        <w:rPr>
          <w:sz w:val="20"/>
        </w:rPr>
        <w:t>bsv</w:t>
      </w:r>
      <w:proofErr w:type="spellEnd"/>
      <w:r w:rsidRPr="00572232">
        <w:rPr>
          <w:sz w:val="20"/>
        </w:rPr>
        <w:t xml:space="preserve"> – Sprachbuch 9, S. 127)</w:t>
      </w:r>
    </w:p>
    <w:p w:rsidR="00A0426A" w:rsidRPr="00572232" w:rsidRDefault="00A0426A" w:rsidP="00A0426A">
      <w:pPr>
        <w:ind w:left="284" w:right="-567" w:hanging="284"/>
        <w:jc w:val="both"/>
        <w:rPr>
          <w:b/>
          <w:sz w:val="20"/>
        </w:rPr>
      </w:pPr>
      <w:r w:rsidRPr="00572232">
        <w:rPr>
          <w:b/>
          <w:sz w:val="20"/>
        </w:rPr>
        <w:t>Europäische Dichter: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</w:rPr>
        <w:t>Spanien: Calderon, Lope de Vega, Cervantes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</w:rPr>
        <w:t>Frankreich: Corneille, Racine, Moliere</w:t>
      </w:r>
    </w:p>
    <w:p w:rsidR="00A0426A" w:rsidRPr="00572232" w:rsidRDefault="00A0426A" w:rsidP="00A0426A">
      <w:pPr>
        <w:ind w:left="284" w:right="-567"/>
        <w:jc w:val="both"/>
        <w:rPr>
          <w:sz w:val="20"/>
        </w:rPr>
      </w:pPr>
      <w:r w:rsidRPr="00572232">
        <w:rPr>
          <w:sz w:val="20"/>
        </w:rPr>
        <w:t>England: Milton, J. Bunyan</w:t>
      </w:r>
    </w:p>
    <w:p w:rsidR="00B53D7E" w:rsidRDefault="00B53D7E"/>
    <w:sectPr w:rsidR="00B53D7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compat/>
  <w:rsids>
    <w:rsidRoot w:val="00A0426A"/>
    <w:rsid w:val="00A0426A"/>
    <w:rsid w:val="00B5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42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1</cp:revision>
  <dcterms:created xsi:type="dcterms:W3CDTF">2021-11-30T16:17:00Z</dcterms:created>
  <dcterms:modified xsi:type="dcterms:W3CDTF">2021-11-30T16:20:00Z</dcterms:modified>
</cp:coreProperties>
</file>