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FC63" w14:textId="77777777" w:rsidR="00D17A0F" w:rsidRDefault="00D17A0F" w:rsidP="00F80723">
      <w:pPr>
        <w:spacing w:before="120"/>
        <w:ind w:right="144"/>
        <w:jc w:val="center"/>
        <w:rPr>
          <w:rFonts w:ascii="Garamond" w:hAnsi="Garamond" w:cs="Arial"/>
          <w:b/>
          <w:color w:val="404040" w:themeColor="text1" w:themeTint="BF"/>
          <w:sz w:val="40"/>
          <w:szCs w:val="40"/>
        </w:rPr>
      </w:pPr>
    </w:p>
    <w:p w14:paraId="286E0079" w14:textId="611AAF25" w:rsidR="00D17A0F" w:rsidRDefault="00D17A0F" w:rsidP="00F80723">
      <w:pPr>
        <w:spacing w:before="120"/>
        <w:ind w:right="144"/>
        <w:jc w:val="center"/>
        <w:rPr>
          <w:rFonts w:ascii="Garamond" w:hAnsi="Garamond" w:cs="Arial"/>
          <w:b/>
          <w:color w:val="404040" w:themeColor="text1" w:themeTint="BF"/>
          <w:sz w:val="40"/>
          <w:szCs w:val="40"/>
        </w:rPr>
      </w:pPr>
      <w:r>
        <w:rPr>
          <w:rFonts w:ascii="Garamond" w:hAnsi="Garamond" w:cs="Arial"/>
          <w:b/>
          <w:noProof/>
          <w:color w:val="404040" w:themeColor="text1" w:themeTint="BF"/>
          <w:sz w:val="40"/>
          <w:szCs w:val="40"/>
        </w:rPr>
        <w:drawing>
          <wp:inline distT="0" distB="0" distL="0" distR="0" wp14:anchorId="57BE1BA5" wp14:editId="56DE0FA5">
            <wp:extent cx="1741714" cy="873143"/>
            <wp:effectExtent l="0" t="0" r="0" b="3175"/>
            <wp:docPr id="2114327369" name="Picture 2"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327369" name="Picture 2" descr="A blue and green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741714" cy="873143"/>
                    </a:xfrm>
                    <a:prstGeom prst="rect">
                      <a:avLst/>
                    </a:prstGeom>
                  </pic:spPr>
                </pic:pic>
              </a:graphicData>
            </a:graphic>
          </wp:inline>
        </w:drawing>
      </w:r>
    </w:p>
    <w:p w14:paraId="20AFF4D0" w14:textId="240F9F0E" w:rsidR="009D6168" w:rsidRPr="00D17A0F" w:rsidRDefault="009D6168" w:rsidP="00F80723">
      <w:pPr>
        <w:spacing w:before="120"/>
        <w:ind w:right="144"/>
        <w:jc w:val="center"/>
        <w:rPr>
          <w:rFonts w:ascii="Garamond" w:hAnsi="Garamond" w:cs="Arial"/>
          <w:b/>
          <w:color w:val="002060"/>
          <w:sz w:val="40"/>
          <w:szCs w:val="40"/>
        </w:rPr>
      </w:pPr>
      <w:r w:rsidRPr="00D17A0F">
        <w:rPr>
          <w:rFonts w:ascii="Garamond" w:hAnsi="Garamond" w:cs="Arial"/>
          <w:b/>
          <w:color w:val="002060"/>
          <w:sz w:val="40"/>
          <w:szCs w:val="40"/>
        </w:rPr>
        <w:t>Estate Planning</w:t>
      </w:r>
      <w:r w:rsidR="004B7910">
        <w:rPr>
          <w:rFonts w:ascii="Garamond" w:hAnsi="Garamond" w:cs="Arial"/>
          <w:b/>
          <w:color w:val="002060"/>
          <w:sz w:val="40"/>
          <w:szCs w:val="40"/>
        </w:rPr>
        <w:t xml:space="preserve"> Timeline and</w:t>
      </w:r>
      <w:r w:rsidRPr="00D17A0F">
        <w:rPr>
          <w:rFonts w:ascii="Garamond" w:hAnsi="Garamond" w:cs="Arial"/>
          <w:b/>
          <w:color w:val="002060"/>
          <w:sz w:val="40"/>
          <w:szCs w:val="40"/>
        </w:rPr>
        <w:t xml:space="preserve"> </w:t>
      </w:r>
      <w:r w:rsidR="00F80723" w:rsidRPr="00D17A0F">
        <w:rPr>
          <w:rFonts w:ascii="Garamond" w:hAnsi="Garamond" w:cs="Arial"/>
          <w:b/>
          <w:color w:val="002060"/>
          <w:sz w:val="40"/>
          <w:szCs w:val="40"/>
        </w:rPr>
        <w:t>Lexicon</w:t>
      </w:r>
    </w:p>
    <w:p w14:paraId="04F66262" w14:textId="77777777" w:rsidR="00E529A5" w:rsidRDefault="00E529A5" w:rsidP="0077618E">
      <w:pPr>
        <w:ind w:left="576" w:right="576"/>
        <w:jc w:val="center"/>
        <w:rPr>
          <w:rFonts w:ascii="Garamond" w:hAnsi="Garamond" w:cs="Arial"/>
        </w:rPr>
      </w:pPr>
    </w:p>
    <w:p w14:paraId="6B7FC70C" w14:textId="405E6C92" w:rsidR="00996634" w:rsidRDefault="00872AC6" w:rsidP="000B5143">
      <w:pPr>
        <w:ind w:right="576"/>
        <w:rPr>
          <w:rFonts w:ascii="Garamond" w:eastAsia="Georgia" w:hAnsi="Garamond"/>
          <w:color w:val="000000" w:themeColor="text1"/>
        </w:rPr>
      </w:pPr>
      <w:r>
        <w:rPr>
          <w:rFonts w:ascii="Garamond" w:hAnsi="Garamond" w:cs="Arial"/>
        </w:rPr>
        <w:t>Estate</w:t>
      </w:r>
      <w:r w:rsidR="0077618E" w:rsidRPr="000B5143">
        <w:rPr>
          <w:rFonts w:ascii="Garamond" w:eastAsia="Georgia" w:hAnsi="Garamond"/>
          <w:color w:val="000000" w:themeColor="text1"/>
        </w:rPr>
        <w:t xml:space="preserve"> planning is not the last step on a continuum</w:t>
      </w:r>
      <w:r w:rsidR="00C76F31" w:rsidRPr="000B5143">
        <w:rPr>
          <w:rFonts w:ascii="Garamond" w:eastAsia="Georgia" w:hAnsi="Garamond"/>
          <w:color w:val="000000" w:themeColor="text1"/>
        </w:rPr>
        <w:t xml:space="preserve"> of life</w:t>
      </w:r>
      <w:r w:rsidR="0077618E" w:rsidRPr="000B5143">
        <w:rPr>
          <w:rFonts w:ascii="Garamond" w:eastAsia="Georgia" w:hAnsi="Garamond"/>
          <w:color w:val="000000" w:themeColor="text1"/>
        </w:rPr>
        <w:t xml:space="preserve">. </w:t>
      </w:r>
      <w:r w:rsidR="00C76F31" w:rsidRPr="000B5143">
        <w:rPr>
          <w:rFonts w:ascii="Garamond" w:eastAsia="Georgia" w:hAnsi="Garamond"/>
          <w:color w:val="000000" w:themeColor="text1"/>
        </w:rPr>
        <w:t>It’s an important protective step that evolves over your life, from your early adulthood to end.</w:t>
      </w:r>
      <w:r>
        <w:rPr>
          <w:rFonts w:ascii="Garamond" w:eastAsia="Georgia" w:hAnsi="Garamond"/>
          <w:color w:val="000000" w:themeColor="text1"/>
        </w:rPr>
        <w:t xml:space="preserve"> Many people mistakenly believe they do not need to begin estate planning</w:t>
      </w:r>
      <w:r w:rsidR="009F373C">
        <w:rPr>
          <w:rFonts w:ascii="Garamond" w:eastAsia="Georgia" w:hAnsi="Garamond"/>
          <w:color w:val="000000" w:themeColor="text1"/>
        </w:rPr>
        <w:t>, or specifically, the development of estate planning documents</w:t>
      </w:r>
      <w:r w:rsidR="00B403E1">
        <w:rPr>
          <w:rFonts w:ascii="Garamond" w:eastAsia="Georgia" w:hAnsi="Garamond"/>
          <w:color w:val="000000" w:themeColor="text1"/>
        </w:rPr>
        <w:t xml:space="preserve"> to include a </w:t>
      </w:r>
      <w:r w:rsidR="00996634">
        <w:rPr>
          <w:rFonts w:ascii="Garamond" w:eastAsia="Georgia" w:hAnsi="Garamond"/>
          <w:color w:val="000000" w:themeColor="text1"/>
        </w:rPr>
        <w:t>W</w:t>
      </w:r>
      <w:r w:rsidR="00B403E1">
        <w:rPr>
          <w:rFonts w:ascii="Garamond" w:eastAsia="Georgia" w:hAnsi="Garamond"/>
          <w:color w:val="000000" w:themeColor="text1"/>
        </w:rPr>
        <w:t>ill, Power of Attorney,</w:t>
      </w:r>
      <w:r w:rsidR="00996634">
        <w:rPr>
          <w:rFonts w:ascii="Garamond" w:eastAsia="Georgia" w:hAnsi="Garamond"/>
          <w:color w:val="000000" w:themeColor="text1"/>
        </w:rPr>
        <w:t xml:space="preserve"> Healthcare Proxy, and end of life directives</w:t>
      </w:r>
      <w:r w:rsidR="009F373C">
        <w:rPr>
          <w:rFonts w:ascii="Garamond" w:eastAsia="Georgia" w:hAnsi="Garamond"/>
          <w:color w:val="000000" w:themeColor="text1"/>
        </w:rPr>
        <w:t xml:space="preserve">, until later in life. </w:t>
      </w:r>
      <w:r w:rsidR="00996634">
        <w:rPr>
          <w:rFonts w:ascii="Garamond" w:eastAsia="Georgia" w:hAnsi="Garamond"/>
          <w:color w:val="000000" w:themeColor="text1"/>
        </w:rPr>
        <w:t xml:space="preserve">This is a critical error. </w:t>
      </w:r>
    </w:p>
    <w:p w14:paraId="574DE98A" w14:textId="77777777" w:rsidR="00996634" w:rsidRDefault="00996634" w:rsidP="000B5143">
      <w:pPr>
        <w:ind w:right="576"/>
        <w:rPr>
          <w:rFonts w:ascii="Garamond" w:eastAsia="Georgia" w:hAnsi="Garamond"/>
          <w:color w:val="000000" w:themeColor="text1"/>
        </w:rPr>
      </w:pPr>
    </w:p>
    <w:p w14:paraId="58009F5E" w14:textId="200412B2" w:rsidR="0077618E" w:rsidRPr="000B5143" w:rsidRDefault="0077618E" w:rsidP="000B5143">
      <w:pPr>
        <w:ind w:right="576"/>
        <w:rPr>
          <w:rFonts w:ascii="Garamond" w:eastAsia="Georgia" w:hAnsi="Garamond"/>
          <w:color w:val="000000" w:themeColor="text1"/>
        </w:rPr>
      </w:pPr>
      <w:r w:rsidRPr="000B5143">
        <w:rPr>
          <w:rFonts w:ascii="Garamond" w:eastAsia="Georgia" w:hAnsi="Garamond"/>
          <w:color w:val="000000" w:themeColor="text1"/>
        </w:rPr>
        <w:t>If you own anything or are responsible for anyone,</w:t>
      </w:r>
      <w:r w:rsidR="000B5143">
        <w:rPr>
          <w:rFonts w:ascii="Garamond" w:eastAsia="Georgia" w:hAnsi="Garamond"/>
          <w:color w:val="000000" w:themeColor="text1"/>
        </w:rPr>
        <w:t xml:space="preserve"> </w:t>
      </w:r>
      <w:r w:rsidRPr="000B5143">
        <w:rPr>
          <w:rFonts w:ascii="Garamond" w:eastAsia="Georgia" w:hAnsi="Garamond"/>
          <w:color w:val="000000" w:themeColor="text1"/>
        </w:rPr>
        <w:t>you should have an estate plan.</w:t>
      </w:r>
    </w:p>
    <w:p w14:paraId="409CE697" w14:textId="4C921574" w:rsidR="00EE722D" w:rsidRPr="000B5143" w:rsidRDefault="00EE722D" w:rsidP="00F80723">
      <w:pPr>
        <w:spacing w:before="120"/>
        <w:rPr>
          <w:rFonts w:ascii="Garamond" w:hAnsi="Garamond" w:cs="Arial"/>
        </w:rPr>
      </w:pPr>
    </w:p>
    <w:p w14:paraId="55BF11AD" w14:textId="2D5647AF" w:rsidR="003B1138" w:rsidRDefault="000B5143" w:rsidP="00F80723">
      <w:pPr>
        <w:spacing w:before="120"/>
        <w:rPr>
          <w:rFonts w:ascii="Garamond" w:hAnsi="Garamond" w:cs="Arial"/>
        </w:rPr>
      </w:pPr>
      <w:r>
        <w:rPr>
          <w:noProof/>
        </w:rPr>
        <mc:AlternateContent>
          <mc:Choice Requires="wps">
            <w:drawing>
              <wp:anchor distT="0" distB="0" distL="114300" distR="114300" simplePos="0" relativeHeight="251675648" behindDoc="0" locked="0" layoutInCell="1" allowOverlap="1" wp14:anchorId="1744E0AB" wp14:editId="0D770627">
                <wp:simplePos x="0" y="0"/>
                <wp:positionH relativeFrom="column">
                  <wp:posOffset>-643738</wp:posOffset>
                </wp:positionH>
                <wp:positionV relativeFrom="paragraph">
                  <wp:posOffset>227533</wp:posOffset>
                </wp:positionV>
                <wp:extent cx="1696720" cy="1068019"/>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1068019"/>
                        </a:xfrm>
                        <a:prstGeom prst="rect">
                          <a:avLst/>
                        </a:prstGeom>
                        <a:solidFill>
                          <a:srgbClr val="FFFFFF"/>
                        </a:solidFill>
                        <a:ln w="9525">
                          <a:noFill/>
                          <a:miter lim="800000"/>
                          <a:headEnd/>
                          <a:tailEnd/>
                        </a:ln>
                      </wps:spPr>
                      <wps:txbx>
                        <w:txbxContent>
                          <w:p w14:paraId="2DDFAE1D" w14:textId="77777777" w:rsidR="003B1138" w:rsidRPr="000B5143" w:rsidRDefault="003B1138" w:rsidP="003B1138">
                            <w:pPr>
                              <w:jc w:val="right"/>
                              <w:rPr>
                                <w:rFonts w:ascii="Georgia" w:hAnsi="Georgia"/>
                                <w:b/>
                                <w:bCs/>
                              </w:rPr>
                            </w:pPr>
                            <w:r w:rsidRPr="000B5143">
                              <w:rPr>
                                <w:rFonts w:ascii="Georgia" w:hAnsi="Georgia"/>
                                <w:b/>
                                <w:bCs/>
                              </w:rPr>
                              <w:t>Not this:</w:t>
                            </w:r>
                          </w:p>
                          <w:p w14:paraId="79274F32" w14:textId="77777777" w:rsidR="003B1138" w:rsidRDefault="003B1138" w:rsidP="003B1138">
                            <w:pPr>
                              <w:jc w:val="right"/>
                              <w:rPr>
                                <w:rFonts w:ascii="Georgia" w:hAnsi="Georgia"/>
                                <w:b/>
                                <w:bCs/>
                                <w:sz w:val="36"/>
                                <w:szCs w:val="36"/>
                              </w:rPr>
                            </w:pPr>
                          </w:p>
                          <w:p w14:paraId="741627FF" w14:textId="77777777" w:rsidR="003B1138" w:rsidRDefault="003B1138" w:rsidP="003B1138">
                            <w:pPr>
                              <w:jc w:val="right"/>
                              <w:rPr>
                                <w:rFonts w:ascii="Georgia" w:hAnsi="Georgia"/>
                                <w:b/>
                                <w:bCs/>
                                <w:sz w:val="36"/>
                                <w:szCs w:val="36"/>
                              </w:rPr>
                            </w:pPr>
                          </w:p>
                          <w:p w14:paraId="3079C12A" w14:textId="77777777" w:rsidR="003B1138" w:rsidRPr="000B5143" w:rsidRDefault="003B1138" w:rsidP="003B1138">
                            <w:pPr>
                              <w:jc w:val="right"/>
                              <w:rPr>
                                <w:rFonts w:ascii="Georgia" w:hAnsi="Georgia"/>
                                <w:b/>
                                <w:bCs/>
                              </w:rPr>
                            </w:pPr>
                            <w:r w:rsidRPr="000B5143">
                              <w:rPr>
                                <w:rFonts w:ascii="Georgia" w:hAnsi="Georgia"/>
                                <w:b/>
                                <w:bCs/>
                              </w:rPr>
                              <w:t>But this:</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744E0AB" id="_x0000_t202" coordsize="21600,21600" o:spt="202" path="m,l,21600r21600,l21600,xe">
                <v:stroke joinstyle="miter"/>
                <v:path gradientshapeok="t" o:connecttype="rect"/>
              </v:shapetype>
              <v:shape id="Text Box 2" o:spid="_x0000_s1026" type="#_x0000_t202" style="position:absolute;margin-left:-50.7pt;margin-top:17.9pt;width:133.6pt;height:84.1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" stroked="f">
                <v:textbox>
                  <w:txbxContent>
                    <w:p w14:paraId="2DDFAE1D" w14:textId="77777777" w:rsidR="003B1138" w:rsidRPr="000B5143" w:rsidRDefault="003B1138" w:rsidP="003B1138">
                      <w:pPr>
                        <w:jc w:val="right"/>
                        <w:rPr>
                          <w:rFonts w:ascii="Georgia" w:hAnsi="Georgia"/>
                          <w:b/>
                          <w:bCs/>
                        </w:rPr>
                      </w:pPr>
                      <w:r w:rsidRPr="000B5143">
                        <w:rPr>
                          <w:rFonts w:ascii="Georgia" w:hAnsi="Georgia"/>
                          <w:b/>
                          <w:bCs/>
                        </w:rPr>
                        <w:t>Not this:</w:t>
                      </w:r>
                    </w:p>
                    <w:p w14:paraId="79274F32" w14:textId="77777777" w:rsidR="003B1138" w:rsidRDefault="003B1138" w:rsidP="003B1138">
                      <w:pPr>
                        <w:jc w:val="right"/>
                        <w:rPr>
                          <w:rFonts w:ascii="Georgia" w:hAnsi="Georgia"/>
                          <w:b/>
                          <w:bCs/>
                          <w:sz w:val="36"/>
                          <w:szCs w:val="36"/>
                        </w:rPr>
                      </w:pPr>
                    </w:p>
                    <w:p w14:paraId="741627FF" w14:textId="77777777" w:rsidR="003B1138" w:rsidRDefault="003B1138" w:rsidP="003B1138">
                      <w:pPr>
                        <w:jc w:val="right"/>
                        <w:rPr>
                          <w:rFonts w:ascii="Georgia" w:hAnsi="Georgia"/>
                          <w:b/>
                          <w:bCs/>
                          <w:sz w:val="36"/>
                          <w:szCs w:val="36"/>
                        </w:rPr>
                      </w:pPr>
                    </w:p>
                    <w:p w14:paraId="3079C12A" w14:textId="77777777" w:rsidR="003B1138" w:rsidRPr="000B5143" w:rsidRDefault="003B1138" w:rsidP="003B1138">
                      <w:pPr>
                        <w:jc w:val="right"/>
                        <w:rPr>
                          <w:rFonts w:ascii="Georgia" w:hAnsi="Georgia"/>
                          <w:b/>
                          <w:bCs/>
                        </w:rPr>
                      </w:pPr>
                      <w:r w:rsidRPr="000B5143">
                        <w:rPr>
                          <w:rFonts w:ascii="Georgia" w:hAnsi="Georgia"/>
                          <w:b/>
                          <w:bCs/>
                        </w:rPr>
                        <w:t>But this:</w:t>
                      </w:r>
                    </w:p>
                  </w:txbxContent>
                </v:textbox>
              </v:shape>
            </w:pict>
          </mc:Fallback>
        </mc:AlternateContent>
      </w:r>
      <w:r>
        <w:rPr>
          <w:noProof/>
        </w:rPr>
        <w:drawing>
          <wp:anchor distT="0" distB="0" distL="114300" distR="114300" simplePos="0" relativeHeight="251673600" behindDoc="0" locked="0" layoutInCell="1" allowOverlap="1" wp14:anchorId="44AC04AA" wp14:editId="50ED3311">
            <wp:simplePos x="0" y="0"/>
            <wp:positionH relativeFrom="column">
              <wp:posOffset>1397203</wp:posOffset>
            </wp:positionH>
            <wp:positionV relativeFrom="paragraph">
              <wp:posOffset>117805</wp:posOffset>
            </wp:positionV>
            <wp:extent cx="4059936" cy="549060"/>
            <wp:effectExtent l="0" t="0" r="0" b="0"/>
            <wp:wrapNone/>
            <wp:docPr id="856553269"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10;&#10;Description automatically generated with medium confidenc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3453" cy="556298"/>
                    </a:xfrm>
                    <a:prstGeom prst="rect">
                      <a:avLst/>
                    </a:prstGeom>
                  </pic:spPr>
                </pic:pic>
              </a:graphicData>
            </a:graphic>
            <wp14:sizeRelH relativeFrom="margin">
              <wp14:pctWidth>0</wp14:pctWidth>
            </wp14:sizeRelH>
            <wp14:sizeRelV relativeFrom="margin">
              <wp14:pctHeight>0</wp14:pctHeight>
            </wp14:sizeRelV>
          </wp:anchor>
        </w:drawing>
      </w:r>
    </w:p>
    <w:p w14:paraId="4A3583FD" w14:textId="4183E946" w:rsidR="003B1138" w:rsidRDefault="003B1138" w:rsidP="00F80723">
      <w:pPr>
        <w:spacing w:before="120"/>
        <w:rPr>
          <w:rFonts w:ascii="Garamond" w:hAnsi="Garamond" w:cs="Arial"/>
        </w:rPr>
      </w:pPr>
    </w:p>
    <w:p w14:paraId="0AD0EC33" w14:textId="031D2AAC" w:rsidR="003B1138" w:rsidRDefault="003B1138" w:rsidP="00F80723">
      <w:pPr>
        <w:spacing w:before="120"/>
        <w:rPr>
          <w:rFonts w:ascii="Garamond" w:hAnsi="Garamond" w:cs="Arial"/>
        </w:rPr>
      </w:pPr>
    </w:p>
    <w:p w14:paraId="451CE62B" w14:textId="71C7FA61" w:rsidR="003B1138" w:rsidRDefault="000B5143" w:rsidP="00F80723">
      <w:pPr>
        <w:spacing w:before="120"/>
        <w:rPr>
          <w:rFonts w:ascii="Garamond" w:hAnsi="Garamond" w:cs="Arial"/>
        </w:rPr>
      </w:pPr>
      <w:r>
        <w:rPr>
          <w:noProof/>
        </w:rPr>
        <w:drawing>
          <wp:anchor distT="0" distB="0" distL="114300" distR="114300" simplePos="0" relativeHeight="251674624" behindDoc="0" locked="0" layoutInCell="1" allowOverlap="1" wp14:anchorId="0DE68FF3" wp14:editId="0AA30224">
            <wp:simplePos x="0" y="0"/>
            <wp:positionH relativeFrom="column">
              <wp:posOffset>1426210</wp:posOffset>
            </wp:positionH>
            <wp:positionV relativeFrom="paragraph">
              <wp:posOffset>120574</wp:posOffset>
            </wp:positionV>
            <wp:extent cx="3408883" cy="847254"/>
            <wp:effectExtent l="0" t="0" r="1270" b="0"/>
            <wp:wrapNone/>
            <wp:docPr id="10" name="Picture 2"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imeline&#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08883" cy="847254"/>
                    </a:xfrm>
                    <a:prstGeom prst="rect">
                      <a:avLst/>
                    </a:prstGeom>
                  </pic:spPr>
                </pic:pic>
              </a:graphicData>
            </a:graphic>
            <wp14:sizeRelH relativeFrom="margin">
              <wp14:pctWidth>0</wp14:pctWidth>
            </wp14:sizeRelH>
            <wp14:sizeRelV relativeFrom="margin">
              <wp14:pctHeight>0</wp14:pctHeight>
            </wp14:sizeRelV>
          </wp:anchor>
        </w:drawing>
      </w:r>
    </w:p>
    <w:p w14:paraId="0ED6C022" w14:textId="4139B44F" w:rsidR="00C76F31" w:rsidRDefault="00C76F31" w:rsidP="00F80723">
      <w:pPr>
        <w:spacing w:before="120"/>
        <w:rPr>
          <w:rFonts w:ascii="Garamond" w:hAnsi="Garamond" w:cs="Arial"/>
        </w:rPr>
      </w:pPr>
    </w:p>
    <w:p w14:paraId="09699B70" w14:textId="7C696155" w:rsidR="00C76F31" w:rsidRPr="00D17A0F" w:rsidRDefault="00C76F31" w:rsidP="00F80723">
      <w:pPr>
        <w:spacing w:before="120"/>
        <w:rPr>
          <w:rFonts w:ascii="Garamond" w:hAnsi="Garamond" w:cs="Arial"/>
        </w:rPr>
      </w:pPr>
    </w:p>
    <w:p w14:paraId="3A60104F" w14:textId="77777777" w:rsidR="003B1138" w:rsidRDefault="003B1138" w:rsidP="0077618E">
      <w:pPr>
        <w:spacing w:before="120"/>
        <w:rPr>
          <w:rFonts w:ascii="Garamond" w:hAnsi="Garamond" w:cs="Arial"/>
        </w:rPr>
      </w:pPr>
    </w:p>
    <w:p w14:paraId="4FC090EE" w14:textId="77777777" w:rsidR="003B1138" w:rsidRDefault="003B1138" w:rsidP="0077618E">
      <w:pPr>
        <w:spacing w:before="120"/>
        <w:rPr>
          <w:rFonts w:ascii="Garamond" w:hAnsi="Garamond" w:cs="Arial"/>
        </w:rPr>
      </w:pPr>
    </w:p>
    <w:p w14:paraId="292D497B" w14:textId="14E36BF3" w:rsidR="0077618E" w:rsidRDefault="00C0127C" w:rsidP="0077618E">
      <w:pPr>
        <w:spacing w:before="120"/>
        <w:rPr>
          <w:rFonts w:ascii="Garamond" w:hAnsi="Garamond" w:cs="Arial"/>
        </w:rPr>
      </w:pPr>
      <w:r>
        <w:rPr>
          <w:rFonts w:ascii="Garamond" w:hAnsi="Garamond" w:cs="Arial"/>
        </w:rPr>
        <w:t>People are sometimes hesitant to move forward with estate planning</w:t>
      </w:r>
      <w:r w:rsidR="00714608">
        <w:rPr>
          <w:rFonts w:ascii="Garamond" w:hAnsi="Garamond" w:cs="Arial"/>
        </w:rPr>
        <w:t>, in part,</w:t>
      </w:r>
      <w:r>
        <w:rPr>
          <w:rFonts w:ascii="Garamond" w:hAnsi="Garamond" w:cs="Arial"/>
        </w:rPr>
        <w:t xml:space="preserve"> because they </w:t>
      </w:r>
      <w:r w:rsidR="002B6FE2">
        <w:rPr>
          <w:rFonts w:ascii="Garamond" w:hAnsi="Garamond" w:cs="Arial"/>
        </w:rPr>
        <w:t xml:space="preserve">don’t understand the terms used. To help you complete this important step in protecting your family and your assets, </w:t>
      </w:r>
      <w:r w:rsidR="00083E51">
        <w:rPr>
          <w:rFonts w:ascii="Garamond" w:hAnsi="Garamond" w:cs="Arial"/>
        </w:rPr>
        <w:t xml:space="preserve">a simple lexicon of the most common terms </w:t>
      </w:r>
      <w:r w:rsidR="0077618E" w:rsidRPr="00D17A0F">
        <w:rPr>
          <w:rFonts w:ascii="Garamond" w:hAnsi="Garamond" w:cs="Arial"/>
        </w:rPr>
        <w:t>that may come up in your estate planning discussions</w:t>
      </w:r>
      <w:r w:rsidR="006833A4">
        <w:rPr>
          <w:rFonts w:ascii="Garamond" w:hAnsi="Garamond" w:cs="Arial"/>
        </w:rPr>
        <w:t xml:space="preserve"> is included below</w:t>
      </w:r>
      <w:r w:rsidR="0077618E" w:rsidRPr="00D17A0F">
        <w:rPr>
          <w:rFonts w:ascii="Garamond" w:hAnsi="Garamond" w:cs="Arial"/>
        </w:rPr>
        <w:t>. Estate laws vary from state to state</w:t>
      </w:r>
      <w:r w:rsidR="0077618E">
        <w:rPr>
          <w:rFonts w:ascii="Garamond" w:hAnsi="Garamond" w:cs="Arial"/>
        </w:rPr>
        <w:t xml:space="preserve">, so it’s important to contact a qualified estate lawyer when having your estate documents drawn up. </w:t>
      </w:r>
    </w:p>
    <w:p w14:paraId="1A1A0609" w14:textId="77777777" w:rsidR="00B10ED8" w:rsidRDefault="00B10ED8" w:rsidP="00F80723">
      <w:pPr>
        <w:spacing w:before="120"/>
        <w:rPr>
          <w:rFonts w:ascii="Garamond" w:hAnsi="Garamond" w:cs="Arial"/>
        </w:rPr>
      </w:pPr>
    </w:p>
    <w:p w14:paraId="5FC29506" w14:textId="77777777" w:rsidR="00D8751B" w:rsidRPr="00503D4B" w:rsidRDefault="00D8751B" w:rsidP="00F23F30">
      <w:pPr>
        <w:pStyle w:val="ListParagraph"/>
        <w:numPr>
          <w:ilvl w:val="0"/>
          <w:numId w:val="5"/>
        </w:numPr>
        <w:rPr>
          <w:rFonts w:ascii="Garamond" w:hAnsi="Garamond" w:cs="Arial"/>
        </w:rPr>
      </w:pPr>
      <w:r w:rsidRPr="00D8751B">
        <w:rPr>
          <w:rFonts w:ascii="Garamond" w:hAnsi="Garamond" w:cs="Arial"/>
          <w:b/>
          <w:color w:val="002060"/>
        </w:rPr>
        <w:t>Beneficiary</w:t>
      </w:r>
      <w:r w:rsidRPr="00D8751B">
        <w:rPr>
          <w:rFonts w:ascii="Garamond" w:hAnsi="Garamond" w:cs="Arial"/>
          <w:color w:val="002060"/>
        </w:rPr>
        <w:t xml:space="preserve"> </w:t>
      </w:r>
      <w:r w:rsidRPr="00F47F85">
        <w:rPr>
          <w:rFonts w:ascii="Garamond" w:hAnsi="Garamond" w:cs="Arial"/>
        </w:rPr>
        <w:t>- someone named to receive benefits under a provision in a Will</w:t>
      </w:r>
      <w:r>
        <w:rPr>
          <w:rFonts w:ascii="Garamond" w:hAnsi="Garamond" w:cs="Arial"/>
        </w:rPr>
        <w:t>. This may be an individual such as a spouse or a decedent’s children, an entity like a charitable organization or a trust, or an estate. Minor children are usually not named as beneficiaries as they are not legally able to manage large sums of money.</w:t>
      </w:r>
    </w:p>
    <w:p w14:paraId="46DC0356" w14:textId="77777777" w:rsidR="00D8751B" w:rsidRPr="001E5027" w:rsidRDefault="00D8751B" w:rsidP="00F23F30">
      <w:pPr>
        <w:pStyle w:val="ListParagraph"/>
        <w:numPr>
          <w:ilvl w:val="1"/>
          <w:numId w:val="5"/>
        </w:numPr>
        <w:rPr>
          <w:rFonts w:ascii="Garamond" w:hAnsi="Garamond" w:cs="Arial"/>
        </w:rPr>
      </w:pPr>
      <w:r>
        <w:rPr>
          <w:rFonts w:ascii="Garamond" w:hAnsi="Garamond" w:cs="Arial"/>
          <w:b/>
        </w:rPr>
        <w:t xml:space="preserve">Primary beneficiary – </w:t>
      </w:r>
      <w:r>
        <w:rPr>
          <w:rFonts w:ascii="Garamond" w:hAnsi="Garamond" w:cs="Arial"/>
          <w:bCs/>
        </w:rPr>
        <w:t>first to receive assets specified</w:t>
      </w:r>
    </w:p>
    <w:p w14:paraId="0178D343" w14:textId="77777777" w:rsidR="00D8751B" w:rsidRPr="00F47F85" w:rsidRDefault="00D8751B" w:rsidP="00F23F30">
      <w:pPr>
        <w:pStyle w:val="ListParagraph"/>
        <w:numPr>
          <w:ilvl w:val="1"/>
          <w:numId w:val="5"/>
        </w:numPr>
        <w:rPr>
          <w:rFonts w:ascii="Garamond" w:hAnsi="Garamond" w:cs="Arial"/>
        </w:rPr>
      </w:pPr>
      <w:r>
        <w:rPr>
          <w:rFonts w:ascii="Garamond" w:hAnsi="Garamond" w:cs="Arial"/>
          <w:b/>
        </w:rPr>
        <w:t>Secondary/contingent beneficiary –</w:t>
      </w:r>
      <w:r>
        <w:rPr>
          <w:rFonts w:ascii="Garamond" w:hAnsi="Garamond" w:cs="Arial"/>
        </w:rPr>
        <w:t xml:space="preserve"> receives assets in the event primary beneficiaries predecease the person on whom the will is written, or otherwise refuse or cannot collect the assets.</w:t>
      </w:r>
    </w:p>
    <w:p w14:paraId="47B75848" w14:textId="77777777" w:rsidR="00D8751B" w:rsidRDefault="00D8751B" w:rsidP="00F23F30">
      <w:pPr>
        <w:rPr>
          <w:rFonts w:ascii="Garamond" w:hAnsi="Garamond" w:cs="Arial"/>
        </w:rPr>
      </w:pPr>
    </w:p>
    <w:p w14:paraId="39E62E5C" w14:textId="77777777" w:rsidR="00D8751B" w:rsidRPr="00DD6E35" w:rsidRDefault="00D8751B" w:rsidP="00F23F30">
      <w:pPr>
        <w:pStyle w:val="ListParagraph"/>
        <w:numPr>
          <w:ilvl w:val="0"/>
          <w:numId w:val="5"/>
        </w:numPr>
        <w:rPr>
          <w:rFonts w:ascii="Garamond" w:hAnsi="Garamond" w:cs="Arial"/>
        </w:rPr>
      </w:pPr>
      <w:r w:rsidRPr="00D8751B">
        <w:rPr>
          <w:rFonts w:ascii="Garamond" w:hAnsi="Garamond" w:cs="Arial"/>
          <w:b/>
          <w:color w:val="002060"/>
        </w:rPr>
        <w:lastRenderedPageBreak/>
        <w:t xml:space="preserve">Beneficiary Designation </w:t>
      </w:r>
      <w:r w:rsidRPr="00DD6E35">
        <w:rPr>
          <w:rFonts w:ascii="Garamond" w:hAnsi="Garamond" w:cs="Arial"/>
        </w:rPr>
        <w:t>- name</w:t>
      </w:r>
      <w:r>
        <w:rPr>
          <w:rFonts w:ascii="Garamond" w:hAnsi="Garamond" w:cs="Arial"/>
        </w:rPr>
        <w:t>s</w:t>
      </w:r>
      <w:r w:rsidRPr="00DD6E35">
        <w:rPr>
          <w:rFonts w:ascii="Garamond" w:hAnsi="Garamond" w:cs="Arial"/>
        </w:rPr>
        <w:t xml:space="preserve"> and designate</w:t>
      </w:r>
      <w:r>
        <w:rPr>
          <w:rFonts w:ascii="Garamond" w:hAnsi="Garamond" w:cs="Arial"/>
        </w:rPr>
        <w:t>s</w:t>
      </w:r>
      <w:r w:rsidRPr="00DD6E35">
        <w:rPr>
          <w:rFonts w:ascii="Garamond" w:hAnsi="Garamond" w:cs="Arial"/>
        </w:rPr>
        <w:t xml:space="preserve"> beneficiaries of assets from life insurance policies</w:t>
      </w:r>
      <w:r>
        <w:rPr>
          <w:rFonts w:ascii="Garamond" w:hAnsi="Garamond" w:cs="Arial"/>
        </w:rPr>
        <w:t xml:space="preserve">, </w:t>
      </w:r>
      <w:r w:rsidRPr="00DD6E35">
        <w:rPr>
          <w:rFonts w:ascii="Garamond" w:hAnsi="Garamond" w:cs="Arial"/>
        </w:rPr>
        <w:t>Retirement Plans (Individual Retirement Accounts–IRAs; 401k</w:t>
      </w:r>
      <w:r>
        <w:rPr>
          <w:rFonts w:ascii="Garamond" w:hAnsi="Garamond" w:cs="Arial"/>
        </w:rPr>
        <w:t xml:space="preserve">s or other employer plans), </w:t>
      </w:r>
      <w:r w:rsidRPr="00DD6E35">
        <w:rPr>
          <w:rFonts w:ascii="Garamond" w:hAnsi="Garamond" w:cs="Arial"/>
        </w:rPr>
        <w:t>annuity agreements</w:t>
      </w:r>
      <w:r>
        <w:rPr>
          <w:rFonts w:ascii="Garamond" w:hAnsi="Garamond" w:cs="Arial"/>
        </w:rPr>
        <w:t>, and other financial vehicles</w:t>
      </w:r>
      <w:r w:rsidRPr="00DD6E35">
        <w:rPr>
          <w:rFonts w:ascii="Garamond" w:hAnsi="Garamond" w:cs="Arial"/>
        </w:rPr>
        <w:t>. These benefits also avoid probate because they pass directly to the beneficiaries without going through the Will.</w:t>
      </w:r>
    </w:p>
    <w:p w14:paraId="54CC3A52" w14:textId="77777777" w:rsidR="00D8751B" w:rsidRDefault="00D8751B" w:rsidP="00F23F30">
      <w:pPr>
        <w:rPr>
          <w:rFonts w:ascii="Garamond" w:hAnsi="Garamond" w:cs="Arial"/>
        </w:rPr>
      </w:pPr>
    </w:p>
    <w:p w14:paraId="01605EDD" w14:textId="65E4A014" w:rsidR="00D8751B" w:rsidRDefault="00D8751B" w:rsidP="00F23F30">
      <w:pPr>
        <w:pStyle w:val="ListParagraph"/>
        <w:numPr>
          <w:ilvl w:val="0"/>
          <w:numId w:val="5"/>
        </w:numPr>
        <w:rPr>
          <w:rFonts w:ascii="Garamond" w:hAnsi="Garamond" w:cs="Arial"/>
        </w:rPr>
      </w:pPr>
      <w:r w:rsidRPr="00D8751B">
        <w:rPr>
          <w:rFonts w:ascii="Garamond" w:hAnsi="Garamond" w:cs="Arial"/>
          <w:b/>
          <w:color w:val="002060"/>
        </w:rPr>
        <w:t xml:space="preserve">Estate Tax </w:t>
      </w:r>
      <w:r w:rsidRPr="00852F16">
        <w:rPr>
          <w:rFonts w:ascii="Garamond" w:hAnsi="Garamond" w:cs="Arial"/>
        </w:rPr>
        <w:t xml:space="preserve">- a transfer tax that is imposed by the Federal and/or State governments on assets that pass </w:t>
      </w:r>
      <w:proofErr w:type="gramStart"/>
      <w:r w:rsidRPr="00852F16">
        <w:rPr>
          <w:rFonts w:ascii="Garamond" w:hAnsi="Garamond" w:cs="Arial"/>
        </w:rPr>
        <w:t>as a result of</w:t>
      </w:r>
      <w:proofErr w:type="gramEnd"/>
      <w:r w:rsidRPr="00852F16">
        <w:rPr>
          <w:rFonts w:ascii="Garamond" w:hAnsi="Garamond" w:cs="Arial"/>
        </w:rPr>
        <w:t xml:space="preserve"> someone’s death. </w:t>
      </w:r>
      <w:r>
        <w:rPr>
          <w:rFonts w:ascii="Garamond" w:hAnsi="Garamond" w:cs="Arial"/>
        </w:rPr>
        <w:t xml:space="preserve">In 2026, there is an </w:t>
      </w:r>
      <w:r w:rsidRPr="00852F16">
        <w:rPr>
          <w:rFonts w:ascii="Garamond" w:hAnsi="Garamond" w:cs="Arial"/>
        </w:rPr>
        <w:t xml:space="preserve">exemption that eliminates </w:t>
      </w:r>
      <w:r>
        <w:rPr>
          <w:rFonts w:ascii="Garamond" w:hAnsi="Garamond" w:cs="Arial"/>
        </w:rPr>
        <w:t xml:space="preserve">Federal </w:t>
      </w:r>
      <w:r w:rsidRPr="00852F16">
        <w:rPr>
          <w:rFonts w:ascii="Garamond" w:hAnsi="Garamond" w:cs="Arial"/>
        </w:rPr>
        <w:t>taxes if the estate is under $</w:t>
      </w:r>
      <w:r>
        <w:rPr>
          <w:rFonts w:ascii="Garamond" w:hAnsi="Garamond" w:cs="Arial"/>
        </w:rPr>
        <w:t xml:space="preserve">15 </w:t>
      </w:r>
      <w:r w:rsidRPr="00852F16">
        <w:rPr>
          <w:rFonts w:ascii="Garamond" w:hAnsi="Garamond" w:cs="Arial"/>
        </w:rPr>
        <w:t>million</w:t>
      </w:r>
      <w:r>
        <w:rPr>
          <w:rFonts w:ascii="Garamond" w:hAnsi="Garamond" w:cs="Arial"/>
        </w:rPr>
        <w:t xml:space="preserve"> for single people, $30 million for married couples. A</w:t>
      </w:r>
      <w:r w:rsidRPr="00852F16">
        <w:rPr>
          <w:rFonts w:ascii="Garamond" w:hAnsi="Garamond" w:cs="Arial"/>
        </w:rPr>
        <w:t xml:space="preserve">bout 14 states have their own estate tax laws, and a few others have an </w:t>
      </w:r>
      <w:r w:rsidRPr="00230AF9">
        <w:rPr>
          <w:rFonts w:ascii="Garamond" w:hAnsi="Garamond" w:cs="Arial"/>
          <w:bCs/>
        </w:rPr>
        <w:t>“inheritance” tax</w:t>
      </w:r>
      <w:r w:rsidRPr="00852F16">
        <w:rPr>
          <w:rFonts w:ascii="Garamond" w:hAnsi="Garamond" w:cs="Arial"/>
        </w:rPr>
        <w:t xml:space="preserve"> that is assessed at varying rates depending on the relationship that the decedent had with the person who inherits the money. </w:t>
      </w:r>
      <w:r w:rsidR="00000DCC">
        <w:rPr>
          <w:rFonts w:ascii="Garamond" w:hAnsi="Garamond" w:cs="Arial"/>
        </w:rPr>
        <w:t>(</w:t>
      </w:r>
      <w:r w:rsidR="00000DCC" w:rsidRPr="00000DCC">
        <w:rPr>
          <w:rFonts w:ascii="Garamond" w:hAnsi="Garamond" w:cs="Arial"/>
        </w:rPr>
        <w:t>https://taxfoundation.org/data/all/state/estate-inheritance-taxes/</w:t>
      </w:r>
      <w:r w:rsidR="00000DCC">
        <w:rPr>
          <w:rFonts w:ascii="Garamond" w:hAnsi="Garamond" w:cs="Arial"/>
        </w:rPr>
        <w:t>)</w:t>
      </w:r>
    </w:p>
    <w:p w14:paraId="26A6C3B0" w14:textId="77777777" w:rsidR="00230AF9" w:rsidRDefault="00230AF9" w:rsidP="00F23F30">
      <w:pPr>
        <w:pStyle w:val="ListParagraph"/>
        <w:ind w:left="360"/>
        <w:rPr>
          <w:rFonts w:ascii="Garamond" w:hAnsi="Garamond" w:cs="Arial"/>
        </w:rPr>
      </w:pPr>
    </w:p>
    <w:p w14:paraId="6924040C" w14:textId="6BA150D4" w:rsidR="00D8751B" w:rsidRDefault="00D8751B" w:rsidP="00F23F30">
      <w:pPr>
        <w:pStyle w:val="ListParagraph"/>
        <w:ind w:left="360"/>
        <w:rPr>
          <w:rFonts w:ascii="Garamond" w:hAnsi="Garamond" w:cs="Arial"/>
        </w:rPr>
      </w:pPr>
      <w:r w:rsidRPr="00852F16">
        <w:rPr>
          <w:rFonts w:ascii="Garamond" w:hAnsi="Garamond" w:cs="Arial"/>
        </w:rPr>
        <w:t>Assets that pass to a spouse or to a charity are usually exempt from the tax at both the Federal and State levels.</w:t>
      </w:r>
    </w:p>
    <w:p w14:paraId="0FE28DA3" w14:textId="77777777" w:rsidR="00D8751B" w:rsidRDefault="00D8751B" w:rsidP="00F23F30">
      <w:pPr>
        <w:rPr>
          <w:rFonts w:ascii="Garamond" w:hAnsi="Garamond" w:cs="Arial"/>
        </w:rPr>
      </w:pPr>
    </w:p>
    <w:p w14:paraId="0179384F" w14:textId="77777777" w:rsidR="00D8751B" w:rsidRPr="00F47F85" w:rsidRDefault="00D8751B" w:rsidP="00F23F30">
      <w:pPr>
        <w:pStyle w:val="ListParagraph"/>
        <w:numPr>
          <w:ilvl w:val="0"/>
          <w:numId w:val="5"/>
        </w:numPr>
        <w:rPr>
          <w:rFonts w:ascii="Garamond" w:hAnsi="Garamond" w:cs="Arial"/>
        </w:rPr>
      </w:pPr>
      <w:r w:rsidRPr="00D8751B">
        <w:rPr>
          <w:rFonts w:ascii="Garamond" w:hAnsi="Garamond" w:cs="Arial"/>
          <w:b/>
          <w:color w:val="002060"/>
        </w:rPr>
        <w:t>Executor/Personal Representative</w:t>
      </w:r>
      <w:r w:rsidRPr="00D8751B">
        <w:rPr>
          <w:rFonts w:ascii="Garamond" w:hAnsi="Garamond" w:cs="Arial"/>
          <w:color w:val="002060"/>
        </w:rPr>
        <w:t xml:space="preserve"> </w:t>
      </w:r>
      <w:r w:rsidRPr="00F47F85">
        <w:rPr>
          <w:rFonts w:ascii="Garamond" w:hAnsi="Garamond" w:cs="Arial"/>
        </w:rPr>
        <w:t>(“PR”) - person who is named in a Will and who is appointed by the Probate Court (in NYS, referred to as Surrogate’s Court) to handle the administration of the assets of a deceased person. Once appointed by the Court, the Executor/PR is the legal representative of the deceased person (the “Testator”) and can transact any business, pay bills, sell assets, file tax returns, and distribute the estate to the beneficiaries.</w:t>
      </w:r>
    </w:p>
    <w:p w14:paraId="4DC45EE4" w14:textId="77777777" w:rsidR="00D8751B" w:rsidRDefault="00D8751B" w:rsidP="00F23F30">
      <w:pPr>
        <w:rPr>
          <w:rFonts w:ascii="Garamond" w:hAnsi="Garamond" w:cs="Arial"/>
        </w:rPr>
      </w:pPr>
    </w:p>
    <w:p w14:paraId="4D173053" w14:textId="0984E490" w:rsidR="00D8751B" w:rsidRPr="00EE0BB2" w:rsidRDefault="00D8751B" w:rsidP="00F23F30">
      <w:pPr>
        <w:pStyle w:val="ListParagraph"/>
        <w:numPr>
          <w:ilvl w:val="0"/>
          <w:numId w:val="11"/>
        </w:numPr>
        <w:rPr>
          <w:rFonts w:ascii="Garamond" w:hAnsi="Garamond" w:cs="Arial"/>
        </w:rPr>
      </w:pPr>
      <w:r w:rsidRPr="00D8751B">
        <w:rPr>
          <w:rFonts w:ascii="Garamond" w:hAnsi="Garamond" w:cs="Arial"/>
          <w:b/>
          <w:color w:val="002060"/>
        </w:rPr>
        <w:t>Gift Tax</w:t>
      </w:r>
      <w:r w:rsidRPr="00D8751B">
        <w:rPr>
          <w:rFonts w:ascii="Garamond" w:hAnsi="Garamond" w:cs="Arial"/>
          <w:color w:val="002060"/>
        </w:rPr>
        <w:t xml:space="preserve"> </w:t>
      </w:r>
      <w:r w:rsidRPr="005F7D2A">
        <w:rPr>
          <w:rFonts w:ascii="Garamond" w:hAnsi="Garamond" w:cs="Arial"/>
        </w:rPr>
        <w:t xml:space="preserve">- a tax imposed by the Federal or State Governments on assets that </w:t>
      </w:r>
      <w:r w:rsidRPr="005F7D2A">
        <w:rPr>
          <w:rFonts w:ascii="Garamond" w:hAnsi="Garamond" w:cs="Arial"/>
        </w:rPr>
        <w:br/>
        <w:t>are transferred during lifetime. New York State does not have a gift tax. The Federal estate tax exemption applies as do the exemptions for transfers to a spouse and charity. In addition, minimal gifts (</w:t>
      </w:r>
      <w:r>
        <w:rPr>
          <w:rFonts w:ascii="Garamond" w:hAnsi="Garamond" w:cs="Arial"/>
        </w:rPr>
        <w:t xml:space="preserve">2026 level set at gifts </w:t>
      </w:r>
      <w:r w:rsidRPr="005F7D2A">
        <w:rPr>
          <w:rFonts w:ascii="Garamond" w:hAnsi="Garamond" w:cs="Arial"/>
        </w:rPr>
        <w:t>under $1</w:t>
      </w:r>
      <w:r>
        <w:rPr>
          <w:rFonts w:ascii="Garamond" w:hAnsi="Garamond" w:cs="Arial"/>
        </w:rPr>
        <w:t>9</w:t>
      </w:r>
      <w:r w:rsidRPr="005F7D2A">
        <w:rPr>
          <w:rFonts w:ascii="Garamond" w:hAnsi="Garamond" w:cs="Arial"/>
        </w:rPr>
        <w:t>,000 per year) are not reportable.</w:t>
      </w:r>
      <w:r>
        <w:rPr>
          <w:rFonts w:ascii="Garamond" w:hAnsi="Garamond" w:cs="Arial"/>
        </w:rPr>
        <w:t xml:space="preserve"> The $19,000 reportable exemption applies to a gift from </w:t>
      </w:r>
      <w:proofErr w:type="gramStart"/>
      <w:r>
        <w:rPr>
          <w:rFonts w:ascii="Garamond" w:hAnsi="Garamond" w:cs="Arial"/>
        </w:rPr>
        <w:t>an</w:t>
      </w:r>
      <w:proofErr w:type="gramEnd"/>
      <w:r>
        <w:rPr>
          <w:rFonts w:ascii="Garamond" w:hAnsi="Garamond" w:cs="Arial"/>
        </w:rPr>
        <w:t xml:space="preserve"> individual to another individual. For example, parents can each give $19,000 to each of their children, or $38,000 per child in one year. The gift exemption amount usually increases each year.</w:t>
      </w:r>
      <w:r w:rsidR="002B7147">
        <w:rPr>
          <w:rFonts w:ascii="Garamond" w:hAnsi="Garamond" w:cs="Arial"/>
        </w:rPr>
        <w:t xml:space="preserve"> (</w:t>
      </w:r>
      <w:r w:rsidR="002B7147" w:rsidRPr="002B7147">
        <w:rPr>
          <w:rFonts w:ascii="Garamond" w:hAnsi="Garamond" w:cs="Arial"/>
        </w:rPr>
        <w:t>www.irs.gov/businesses/small-businesses-self-employed/frequently-asked-questions-on-gift-taxes</w:t>
      </w:r>
      <w:r w:rsidR="002B7147">
        <w:rPr>
          <w:rFonts w:ascii="Garamond" w:hAnsi="Garamond" w:cs="Arial"/>
        </w:rPr>
        <w:t>)</w:t>
      </w:r>
    </w:p>
    <w:p w14:paraId="14319469" w14:textId="77777777" w:rsidR="00D8751B" w:rsidRDefault="00D8751B" w:rsidP="00F23F30">
      <w:pPr>
        <w:rPr>
          <w:rFonts w:ascii="Garamond" w:hAnsi="Garamond" w:cs="Arial"/>
        </w:rPr>
      </w:pPr>
    </w:p>
    <w:p w14:paraId="3C18E997" w14:textId="77777777" w:rsidR="00D8751B" w:rsidRPr="00DD6E35" w:rsidRDefault="00D8751B" w:rsidP="00F23F30">
      <w:pPr>
        <w:pStyle w:val="ListParagraph"/>
        <w:numPr>
          <w:ilvl w:val="0"/>
          <w:numId w:val="5"/>
        </w:numPr>
        <w:rPr>
          <w:rFonts w:ascii="Garamond" w:hAnsi="Garamond" w:cs="Arial"/>
        </w:rPr>
      </w:pPr>
      <w:r w:rsidRPr="00D8751B">
        <w:rPr>
          <w:rFonts w:ascii="Garamond" w:hAnsi="Garamond" w:cs="Arial"/>
          <w:b/>
          <w:color w:val="002060"/>
        </w:rPr>
        <w:t>Health Care Proxy</w:t>
      </w:r>
      <w:r w:rsidRPr="00D8751B">
        <w:rPr>
          <w:rFonts w:ascii="Garamond" w:hAnsi="Garamond" w:cs="Arial"/>
          <w:color w:val="002060"/>
        </w:rPr>
        <w:t xml:space="preserve"> </w:t>
      </w:r>
      <w:r w:rsidRPr="00DD6E35">
        <w:rPr>
          <w:rFonts w:ascii="Garamond" w:hAnsi="Garamond" w:cs="Arial"/>
        </w:rPr>
        <w:t>- a document that authorizes a person (“Health Care Agent”) to make health care decisions for someone else and to receive medical information from doctors, hospitals and other health care providers. It is important to include language that allows the Agent to have access to medical information that otherwise would be limited under Federal health privacy laws included in the Health Insurance Portability and Protection Act of 1996, known as “HIPPA.”</w:t>
      </w:r>
    </w:p>
    <w:p w14:paraId="02CAE0A6" w14:textId="77777777" w:rsidR="00D8751B" w:rsidRDefault="00D8751B" w:rsidP="00F23F30">
      <w:pPr>
        <w:rPr>
          <w:rFonts w:ascii="Garamond" w:hAnsi="Garamond" w:cs="Arial"/>
        </w:rPr>
      </w:pPr>
    </w:p>
    <w:p w14:paraId="6B123C20" w14:textId="77777777" w:rsidR="00D8751B" w:rsidRDefault="00D8751B" w:rsidP="00F23F30">
      <w:pPr>
        <w:pStyle w:val="ListParagraph"/>
        <w:numPr>
          <w:ilvl w:val="0"/>
          <w:numId w:val="5"/>
        </w:numPr>
        <w:rPr>
          <w:rFonts w:ascii="Garamond" w:hAnsi="Garamond" w:cs="Arial"/>
        </w:rPr>
      </w:pPr>
      <w:r w:rsidRPr="00D8751B">
        <w:rPr>
          <w:rFonts w:ascii="Garamond" w:hAnsi="Garamond" w:cs="Arial"/>
          <w:b/>
          <w:color w:val="002060"/>
        </w:rPr>
        <w:t>Joint Ownership with Right of Survivorship</w:t>
      </w:r>
      <w:r w:rsidRPr="00852F16">
        <w:rPr>
          <w:rFonts w:ascii="Garamond" w:hAnsi="Garamond" w:cs="Arial"/>
        </w:rPr>
        <w:t xml:space="preserve"> – usually identified as JTWRS or Joint Tenancy with Right of Survivorship; some financial accounts or real estate (land and houses) can be titled such that more than one person is shown to be the owner. The account or deed can be drafted to direct that, on the death of one of the multiple named people, the other is intended to own the whole account or property. Usually, no further legal proceedings are required to transfer legal title after the death of one of the owners. These assets are outside of the control of the terms of the Will.  </w:t>
      </w:r>
      <w:r w:rsidRPr="00852F16">
        <w:rPr>
          <w:rFonts w:ascii="Garamond" w:hAnsi="Garamond" w:cs="Arial"/>
          <w:bCs/>
        </w:rPr>
        <w:t>Care should be taken</w:t>
      </w:r>
      <w:r w:rsidRPr="00852F16">
        <w:rPr>
          <w:rFonts w:ascii="Garamond" w:hAnsi="Garamond" w:cs="Arial"/>
        </w:rPr>
        <w:t xml:space="preserve"> to clarify intention of truly joint ownership vs allowing another to have access to accounts for bill paying a management – better handled through Power of Attorney. </w:t>
      </w:r>
    </w:p>
    <w:p w14:paraId="493E0352" w14:textId="77777777" w:rsidR="00D8751B" w:rsidRDefault="00D8751B" w:rsidP="00F23F30">
      <w:pPr>
        <w:rPr>
          <w:rFonts w:ascii="Garamond" w:hAnsi="Garamond" w:cs="Arial"/>
        </w:rPr>
      </w:pPr>
    </w:p>
    <w:p w14:paraId="179051B0" w14:textId="77777777" w:rsidR="00D8751B" w:rsidRPr="00DD6E35" w:rsidRDefault="00D8751B" w:rsidP="00F23F30">
      <w:pPr>
        <w:pStyle w:val="ListParagraph"/>
        <w:numPr>
          <w:ilvl w:val="0"/>
          <w:numId w:val="5"/>
        </w:numPr>
        <w:rPr>
          <w:rFonts w:ascii="Garamond" w:hAnsi="Garamond" w:cs="Arial"/>
        </w:rPr>
      </w:pPr>
      <w:r w:rsidRPr="00D8751B">
        <w:rPr>
          <w:rFonts w:ascii="Garamond" w:hAnsi="Garamond" w:cs="Arial"/>
          <w:b/>
          <w:color w:val="002060"/>
        </w:rPr>
        <w:lastRenderedPageBreak/>
        <w:t>Living Will</w:t>
      </w:r>
      <w:r w:rsidRPr="00D8751B">
        <w:rPr>
          <w:rFonts w:ascii="Garamond" w:hAnsi="Garamond" w:cs="Arial"/>
          <w:color w:val="002060"/>
        </w:rPr>
        <w:t xml:space="preserve"> </w:t>
      </w:r>
      <w:r w:rsidRPr="00DD6E35">
        <w:rPr>
          <w:rFonts w:ascii="Garamond" w:hAnsi="Garamond" w:cs="Arial"/>
        </w:rPr>
        <w:t>- more properly referred to as a “</w:t>
      </w:r>
      <w:r w:rsidRPr="00DD6E35">
        <w:rPr>
          <w:rFonts w:ascii="Garamond" w:hAnsi="Garamond" w:cs="Arial"/>
          <w:b/>
        </w:rPr>
        <w:t>Health Care Decisions Declaration</w:t>
      </w:r>
      <w:r w:rsidRPr="00DD6E35">
        <w:rPr>
          <w:rFonts w:ascii="Garamond" w:hAnsi="Garamond" w:cs="Arial"/>
        </w:rPr>
        <w:t xml:space="preserve">” </w:t>
      </w:r>
      <w:r>
        <w:rPr>
          <w:rFonts w:ascii="Garamond" w:hAnsi="Garamond" w:cs="Arial"/>
        </w:rPr>
        <w:t xml:space="preserve">to avoid confusion </w:t>
      </w:r>
      <w:r w:rsidRPr="00DD6E35">
        <w:rPr>
          <w:rFonts w:ascii="Garamond" w:hAnsi="Garamond" w:cs="Arial"/>
        </w:rPr>
        <w:t>with a Last Will and Testament or a Living Trust. It is a companion document to the Health Care Proxy. Whereas the former appoints an individual as a proxy or agent who can make Health Care Decisions, the Living Will gives actual guidance as to how the Agent’s discretion is to be exercised–such as: do not resuscitate me, or do not use life prolonging treatment if my condition is imminently terminal, but provide medication that will minimize my pain; withhold feeding and hydration tubes, etc.</w:t>
      </w:r>
    </w:p>
    <w:p w14:paraId="2AB908B8" w14:textId="77777777" w:rsidR="00D8751B" w:rsidRDefault="00D8751B" w:rsidP="00F23F30">
      <w:pPr>
        <w:rPr>
          <w:rFonts w:ascii="Garamond" w:hAnsi="Garamond" w:cs="Arial"/>
        </w:rPr>
      </w:pPr>
    </w:p>
    <w:p w14:paraId="58452A59" w14:textId="77777777" w:rsidR="00D8751B" w:rsidRPr="00DD6E35" w:rsidRDefault="00D8751B" w:rsidP="00F23F30">
      <w:pPr>
        <w:pStyle w:val="ListParagraph"/>
        <w:numPr>
          <w:ilvl w:val="0"/>
          <w:numId w:val="5"/>
        </w:numPr>
        <w:rPr>
          <w:rFonts w:ascii="Garamond" w:hAnsi="Garamond" w:cs="Arial"/>
        </w:rPr>
      </w:pPr>
      <w:r w:rsidRPr="00D8751B">
        <w:rPr>
          <w:rFonts w:ascii="Garamond" w:hAnsi="Garamond" w:cs="Arial"/>
          <w:b/>
          <w:color w:val="002060"/>
        </w:rPr>
        <w:t>Power of Attorney</w:t>
      </w:r>
      <w:r w:rsidRPr="00D8751B">
        <w:rPr>
          <w:rFonts w:ascii="Garamond" w:hAnsi="Garamond" w:cs="Arial"/>
          <w:color w:val="002060"/>
        </w:rPr>
        <w:t xml:space="preserve"> </w:t>
      </w:r>
      <w:r w:rsidRPr="00DD6E35">
        <w:rPr>
          <w:rFonts w:ascii="Garamond" w:hAnsi="Garamond" w:cs="Arial"/>
        </w:rPr>
        <w:t>- a document that appoint</w:t>
      </w:r>
      <w:r>
        <w:rPr>
          <w:rFonts w:ascii="Garamond" w:hAnsi="Garamond" w:cs="Arial"/>
        </w:rPr>
        <w:t>s</w:t>
      </w:r>
      <w:r w:rsidRPr="00DD6E35">
        <w:rPr>
          <w:rFonts w:ascii="Garamond" w:hAnsi="Garamond" w:cs="Arial"/>
        </w:rPr>
        <w:t xml:space="preserve"> someone as an agent</w:t>
      </w:r>
      <w:r>
        <w:rPr>
          <w:rFonts w:ascii="Garamond" w:hAnsi="Garamond" w:cs="Arial"/>
        </w:rPr>
        <w:t>, or Attorney in Fact,</w:t>
      </w:r>
      <w:r w:rsidRPr="00DD6E35">
        <w:rPr>
          <w:rFonts w:ascii="Garamond" w:hAnsi="Garamond" w:cs="Arial"/>
        </w:rPr>
        <w:t xml:space="preserve"> empowered to manage the financial</w:t>
      </w:r>
      <w:r>
        <w:rPr>
          <w:rFonts w:ascii="Garamond" w:hAnsi="Garamond" w:cs="Arial"/>
        </w:rPr>
        <w:t xml:space="preserve"> and/or legal</w:t>
      </w:r>
      <w:r w:rsidRPr="00DD6E35">
        <w:rPr>
          <w:rFonts w:ascii="Garamond" w:hAnsi="Garamond" w:cs="Arial"/>
        </w:rPr>
        <w:t xml:space="preserve"> affairs </w:t>
      </w:r>
      <w:r>
        <w:rPr>
          <w:rFonts w:ascii="Garamond" w:hAnsi="Garamond" w:cs="Arial"/>
        </w:rPr>
        <w:t xml:space="preserve">(but not health care decisions) </w:t>
      </w:r>
      <w:r w:rsidRPr="00DD6E35">
        <w:rPr>
          <w:rFonts w:ascii="Garamond" w:hAnsi="Garamond" w:cs="Arial"/>
        </w:rPr>
        <w:t xml:space="preserve">of the person who signs the document </w:t>
      </w:r>
      <w:r>
        <w:rPr>
          <w:rFonts w:ascii="Garamond" w:hAnsi="Garamond" w:cs="Arial"/>
        </w:rPr>
        <w:t xml:space="preserve">during their lifetime. </w:t>
      </w:r>
    </w:p>
    <w:p w14:paraId="70768A98" w14:textId="77777777" w:rsidR="00D8751B" w:rsidRDefault="00D8751B" w:rsidP="00F23F30">
      <w:pPr>
        <w:pStyle w:val="ListParagraph"/>
        <w:numPr>
          <w:ilvl w:val="1"/>
          <w:numId w:val="10"/>
        </w:numPr>
        <w:rPr>
          <w:rFonts w:ascii="Garamond" w:hAnsi="Garamond" w:cs="Arial"/>
        </w:rPr>
      </w:pPr>
      <w:r w:rsidRPr="00DD6E35">
        <w:rPr>
          <w:rFonts w:ascii="Garamond" w:hAnsi="Garamond" w:cs="Arial"/>
          <w:b/>
        </w:rPr>
        <w:t>Durable power of attorney</w:t>
      </w:r>
      <w:r w:rsidRPr="00DD6E35">
        <w:rPr>
          <w:rFonts w:ascii="Garamond" w:hAnsi="Garamond" w:cs="Arial"/>
        </w:rPr>
        <w:t xml:space="preserve"> - is a phrase that indicates that the Power of Attorney is effective even if the </w:t>
      </w:r>
      <w:proofErr w:type="gramStart"/>
      <w:r w:rsidRPr="00DD6E35">
        <w:rPr>
          <w:rFonts w:ascii="Garamond" w:hAnsi="Garamond" w:cs="Arial"/>
        </w:rPr>
        <w:t>Principal</w:t>
      </w:r>
      <w:proofErr w:type="gramEnd"/>
      <w:r w:rsidRPr="00DD6E35">
        <w:rPr>
          <w:rFonts w:ascii="Garamond" w:hAnsi="Garamond" w:cs="Arial"/>
        </w:rPr>
        <w:t xml:space="preserve"> becomes incapacitated and </w:t>
      </w:r>
      <w:proofErr w:type="gramStart"/>
      <w:r w:rsidRPr="00DD6E35">
        <w:rPr>
          <w:rFonts w:ascii="Garamond" w:hAnsi="Garamond" w:cs="Arial"/>
        </w:rPr>
        <w:t>no</w:t>
      </w:r>
      <w:proofErr w:type="gramEnd"/>
      <w:r w:rsidRPr="00DD6E35">
        <w:rPr>
          <w:rFonts w:ascii="Garamond" w:hAnsi="Garamond" w:cs="Arial"/>
        </w:rPr>
        <w:t xml:space="preserve"> longer able to change it.</w:t>
      </w:r>
    </w:p>
    <w:p w14:paraId="0EAFE980" w14:textId="77777777" w:rsidR="00D8751B" w:rsidRPr="00DD6E35" w:rsidRDefault="00D8751B" w:rsidP="00F23F30">
      <w:pPr>
        <w:pStyle w:val="ListParagraph"/>
        <w:numPr>
          <w:ilvl w:val="1"/>
          <w:numId w:val="10"/>
        </w:numPr>
        <w:rPr>
          <w:rFonts w:ascii="Garamond" w:hAnsi="Garamond" w:cs="Arial"/>
        </w:rPr>
      </w:pPr>
      <w:r>
        <w:rPr>
          <w:rFonts w:ascii="Garamond" w:hAnsi="Garamond" w:cs="Arial"/>
          <w:b/>
        </w:rPr>
        <w:t>Springing power of attorney</w:t>
      </w:r>
      <w:r>
        <w:rPr>
          <w:rFonts w:ascii="Garamond" w:hAnsi="Garamond" w:cs="Arial"/>
          <w:bCs/>
        </w:rPr>
        <w:t xml:space="preserve"> - </w:t>
      </w:r>
      <w:r w:rsidRPr="007E1BD3">
        <w:rPr>
          <w:rFonts w:ascii="Garamond" w:hAnsi="Garamond" w:cs="Arial"/>
          <w:bCs/>
        </w:rPr>
        <w:t>becomes effective only when a specific, predefined event occurs, such as a doctor certifying the principal is mentally or physically incapacitated. </w:t>
      </w:r>
    </w:p>
    <w:p w14:paraId="5CEBAC7D" w14:textId="77777777" w:rsidR="00D8751B" w:rsidRDefault="00D8751B" w:rsidP="00F23F30">
      <w:pPr>
        <w:rPr>
          <w:rFonts w:ascii="Garamond" w:hAnsi="Garamond" w:cs="Arial"/>
        </w:rPr>
      </w:pPr>
    </w:p>
    <w:p w14:paraId="23FA55BC" w14:textId="77777777" w:rsidR="00D8751B" w:rsidRPr="00E3681B" w:rsidRDefault="00D8751B" w:rsidP="00F23F30">
      <w:pPr>
        <w:pStyle w:val="ListParagraph"/>
        <w:numPr>
          <w:ilvl w:val="0"/>
          <w:numId w:val="5"/>
        </w:numPr>
        <w:rPr>
          <w:rFonts w:ascii="Garamond" w:hAnsi="Garamond" w:cs="Arial"/>
          <w:sz w:val="22"/>
          <w:szCs w:val="22"/>
        </w:rPr>
      </w:pPr>
      <w:r w:rsidRPr="00D8751B">
        <w:rPr>
          <w:rFonts w:ascii="Garamond" w:hAnsi="Garamond" w:cs="Arial"/>
          <w:b/>
          <w:color w:val="002060"/>
        </w:rPr>
        <w:t>Probate</w:t>
      </w:r>
      <w:r w:rsidRPr="00D8751B">
        <w:rPr>
          <w:rFonts w:ascii="Garamond" w:hAnsi="Garamond" w:cs="Arial"/>
          <w:color w:val="002060"/>
        </w:rPr>
        <w:t xml:space="preserve"> </w:t>
      </w:r>
      <w:r w:rsidRPr="00F47F85">
        <w:rPr>
          <w:rFonts w:ascii="Garamond" w:hAnsi="Garamond" w:cs="Arial"/>
        </w:rPr>
        <w:t xml:space="preserve">- the legal process of delivering the originally signed Will to the Probate Court and proving to the Court’s satisfaction that this particular legal document is the most recently signed Will; and, that it was properly signed in front of witnesses by the person at a time when he/she was competent and not under any improper influence from any third party. When the Court is satisfied that </w:t>
      </w:r>
      <w:proofErr w:type="gramStart"/>
      <w:r w:rsidRPr="00F47F85">
        <w:rPr>
          <w:rFonts w:ascii="Garamond" w:hAnsi="Garamond" w:cs="Arial"/>
        </w:rPr>
        <w:t>all of</w:t>
      </w:r>
      <w:proofErr w:type="gramEnd"/>
      <w:r w:rsidRPr="00F47F85">
        <w:rPr>
          <w:rFonts w:ascii="Garamond" w:hAnsi="Garamond" w:cs="Arial"/>
        </w:rPr>
        <w:t xml:space="preserve"> the formalities have been followed and that there are no questions as to the mental capacity of the Testator at the time the Will was signed, the court “admits the Will to Probate” and appoints the person named in that Will to act as Executor</w:t>
      </w:r>
      <w:r>
        <w:rPr>
          <w:rFonts w:ascii="Garamond" w:hAnsi="Garamond" w:cs="Arial"/>
        </w:rPr>
        <w:t xml:space="preserve">. </w:t>
      </w:r>
    </w:p>
    <w:p w14:paraId="73692697" w14:textId="77777777" w:rsidR="00D8751B" w:rsidRPr="00D17A0F" w:rsidRDefault="00D8751B" w:rsidP="00F23F30">
      <w:pPr>
        <w:rPr>
          <w:rFonts w:ascii="Garamond" w:hAnsi="Garamond" w:cs="Arial"/>
        </w:rPr>
      </w:pPr>
    </w:p>
    <w:p w14:paraId="45FC94C8" w14:textId="773A86BD" w:rsidR="00322389" w:rsidRPr="00322389" w:rsidRDefault="00322389" w:rsidP="00F23F30">
      <w:pPr>
        <w:pStyle w:val="ListParagraph"/>
        <w:numPr>
          <w:ilvl w:val="0"/>
          <w:numId w:val="5"/>
        </w:numPr>
        <w:rPr>
          <w:rFonts w:ascii="Garamond" w:hAnsi="Garamond" w:cs="Arial"/>
        </w:rPr>
      </w:pPr>
      <w:r w:rsidRPr="0012464A">
        <w:rPr>
          <w:rFonts w:ascii="Garamond" w:hAnsi="Garamond" w:cs="Arial"/>
          <w:b/>
          <w:bCs/>
          <w:color w:val="002060"/>
        </w:rPr>
        <w:t>Trust</w:t>
      </w:r>
      <w:r w:rsidRPr="0012464A">
        <w:rPr>
          <w:rFonts w:ascii="Garamond" w:hAnsi="Garamond" w:cs="Arial"/>
          <w:color w:val="002060"/>
        </w:rPr>
        <w:t xml:space="preserve"> </w:t>
      </w:r>
      <w:r>
        <w:rPr>
          <w:rFonts w:ascii="Garamond" w:hAnsi="Garamond" w:cs="Arial"/>
        </w:rPr>
        <w:t xml:space="preserve">– </w:t>
      </w:r>
      <w:r w:rsidR="00463DDF" w:rsidRPr="00463DDF">
        <w:rPr>
          <w:rFonts w:ascii="Garamond" w:hAnsi="Garamond" w:cs="Arial"/>
        </w:rPr>
        <w:t xml:space="preserve">a fiduciary legal arrangement </w:t>
      </w:r>
      <w:r w:rsidR="00463DDF">
        <w:rPr>
          <w:rFonts w:ascii="Garamond" w:hAnsi="Garamond" w:cs="Arial"/>
        </w:rPr>
        <w:t>in which</w:t>
      </w:r>
      <w:r w:rsidR="00463DDF" w:rsidRPr="00463DDF">
        <w:rPr>
          <w:rFonts w:ascii="Garamond" w:hAnsi="Garamond" w:cs="Arial"/>
        </w:rPr>
        <w:t xml:space="preserve"> a </w:t>
      </w:r>
      <w:r w:rsidR="00463DDF">
        <w:rPr>
          <w:rFonts w:ascii="Garamond" w:hAnsi="Garamond" w:cs="Arial"/>
        </w:rPr>
        <w:t xml:space="preserve">grantor or </w:t>
      </w:r>
      <w:r w:rsidR="00463DDF" w:rsidRPr="00463DDF">
        <w:rPr>
          <w:rFonts w:ascii="Garamond" w:hAnsi="Garamond" w:cs="Arial"/>
        </w:rPr>
        <w:t>settlor transfers assets</w:t>
      </w:r>
      <w:r w:rsidR="00463DDF">
        <w:rPr>
          <w:rFonts w:ascii="Garamond" w:hAnsi="Garamond" w:cs="Arial"/>
        </w:rPr>
        <w:t xml:space="preserve"> into a financial </w:t>
      </w:r>
      <w:r w:rsidR="00474F6D">
        <w:rPr>
          <w:rFonts w:ascii="Garamond" w:hAnsi="Garamond" w:cs="Arial"/>
        </w:rPr>
        <w:t xml:space="preserve">account to be managed by a named </w:t>
      </w:r>
      <w:r w:rsidR="00463DDF" w:rsidRPr="00463DDF">
        <w:rPr>
          <w:rFonts w:ascii="Garamond" w:hAnsi="Garamond" w:cs="Arial"/>
        </w:rPr>
        <w:t>trustee for the benefit of a</w:t>
      </w:r>
      <w:r w:rsidR="00474F6D">
        <w:rPr>
          <w:rFonts w:ascii="Garamond" w:hAnsi="Garamond" w:cs="Arial"/>
        </w:rPr>
        <w:t xml:space="preserve"> named</w:t>
      </w:r>
      <w:r w:rsidR="00463DDF" w:rsidRPr="00463DDF">
        <w:rPr>
          <w:rFonts w:ascii="Garamond" w:hAnsi="Garamond" w:cs="Arial"/>
        </w:rPr>
        <w:t xml:space="preserve"> beneficiary</w:t>
      </w:r>
      <w:r w:rsidR="00474F6D">
        <w:rPr>
          <w:rFonts w:ascii="Garamond" w:hAnsi="Garamond" w:cs="Arial"/>
        </w:rPr>
        <w:t xml:space="preserve"> or beneficiaries</w:t>
      </w:r>
      <w:r w:rsidR="00463DDF" w:rsidRPr="00463DDF">
        <w:rPr>
          <w:rFonts w:ascii="Garamond" w:hAnsi="Garamond" w:cs="Arial"/>
        </w:rPr>
        <w:t xml:space="preserve">. It offers benefits like asset protection, control over inheritance distribution, tax efficiency, and bypassing probate. </w:t>
      </w:r>
      <w:r w:rsidR="00DD24A9">
        <w:rPr>
          <w:rFonts w:ascii="Garamond" w:hAnsi="Garamond" w:cs="Arial"/>
        </w:rPr>
        <w:t xml:space="preserve">There are many types of trusts, usually defined by </w:t>
      </w:r>
      <w:r w:rsidR="003E626A">
        <w:rPr>
          <w:rFonts w:ascii="Garamond" w:hAnsi="Garamond" w:cs="Arial"/>
        </w:rPr>
        <w:t>the grantor’s intent, who the beneficiary is, and how the assets are handled at distribution. A few types include:</w:t>
      </w:r>
    </w:p>
    <w:p w14:paraId="2CF04BCF" w14:textId="77777777" w:rsidR="00DD24A9" w:rsidRPr="00B962FD" w:rsidRDefault="00DD24A9" w:rsidP="00DD24A9">
      <w:pPr>
        <w:pStyle w:val="ListParagraph"/>
        <w:numPr>
          <w:ilvl w:val="1"/>
          <w:numId w:val="5"/>
        </w:numPr>
        <w:spacing w:before="120"/>
        <w:rPr>
          <w:rFonts w:ascii="Garamond" w:hAnsi="Garamond" w:cs="Arial"/>
        </w:rPr>
      </w:pPr>
      <w:r w:rsidRPr="00DD24A9">
        <w:rPr>
          <w:rFonts w:ascii="Garamond" w:hAnsi="Garamond" w:cs="Arial"/>
          <w:b/>
        </w:rPr>
        <w:t>Charitable Trust</w:t>
      </w:r>
      <w:r w:rsidRPr="00B962FD">
        <w:rPr>
          <w:rFonts w:ascii="Garamond" w:hAnsi="Garamond" w:cs="Arial"/>
        </w:rPr>
        <w:t xml:space="preserve"> - a trust that can be created either during lifetime or after death (testamentary charitable trust) that makes a provision to pay out for charity either currently or after </w:t>
      </w:r>
      <w:proofErr w:type="gramStart"/>
      <w:r w:rsidRPr="00B962FD">
        <w:rPr>
          <w:rFonts w:ascii="Garamond" w:hAnsi="Garamond" w:cs="Arial"/>
        </w:rPr>
        <w:t>a period of time</w:t>
      </w:r>
      <w:proofErr w:type="gramEnd"/>
      <w:r w:rsidRPr="00B962FD">
        <w:rPr>
          <w:rFonts w:ascii="Garamond" w:hAnsi="Garamond" w:cs="Arial"/>
        </w:rPr>
        <w:t xml:space="preserve"> or specific lifetimes. </w:t>
      </w:r>
      <w:proofErr w:type="gramStart"/>
      <w:r w:rsidRPr="00B962FD">
        <w:rPr>
          <w:rFonts w:ascii="Garamond" w:hAnsi="Garamond" w:cs="Arial"/>
        </w:rPr>
        <w:t>The trust</w:t>
      </w:r>
      <w:proofErr w:type="gramEnd"/>
      <w:r w:rsidRPr="00B962FD">
        <w:rPr>
          <w:rFonts w:ascii="Garamond" w:hAnsi="Garamond" w:cs="Arial"/>
        </w:rPr>
        <w:t xml:space="preserve"> can also be drafted to benefit family or other individuals who can receive income during their lifetimes. </w:t>
      </w:r>
    </w:p>
    <w:p w14:paraId="2410FC6D" w14:textId="77777777" w:rsidR="00637B91" w:rsidRPr="007B7296" w:rsidRDefault="00637B91" w:rsidP="00637B91">
      <w:pPr>
        <w:pStyle w:val="ListParagraph"/>
        <w:numPr>
          <w:ilvl w:val="0"/>
          <w:numId w:val="12"/>
        </w:numPr>
        <w:spacing w:before="120"/>
        <w:ind w:left="1080"/>
        <w:rPr>
          <w:rFonts w:ascii="Garamond" w:hAnsi="Garamond" w:cs="Arial"/>
        </w:rPr>
      </w:pPr>
      <w:r w:rsidRPr="00637B91">
        <w:rPr>
          <w:rFonts w:ascii="Garamond" w:hAnsi="Garamond" w:cs="Arial"/>
          <w:b/>
        </w:rPr>
        <w:t>Living Trust (Lifetime Trust)</w:t>
      </w:r>
      <w:r w:rsidRPr="00D8751B">
        <w:rPr>
          <w:rFonts w:ascii="Garamond" w:hAnsi="Garamond" w:cs="Arial"/>
          <w:color w:val="002060"/>
        </w:rPr>
        <w:t xml:space="preserve"> </w:t>
      </w:r>
      <w:r w:rsidRPr="00DD6E35">
        <w:rPr>
          <w:rFonts w:ascii="Garamond" w:hAnsi="Garamond" w:cs="Arial"/>
        </w:rPr>
        <w:t>- a trust that is set up during lifetime that is commonly used to benefit the person who set it up and a spouse and/or other loved ones.</w:t>
      </w:r>
      <w:r>
        <w:rPr>
          <w:rFonts w:ascii="Garamond" w:hAnsi="Garamond" w:cs="Arial"/>
        </w:rPr>
        <w:t xml:space="preserve"> </w:t>
      </w:r>
      <w:r w:rsidRPr="00B90288">
        <w:rPr>
          <w:rFonts w:ascii="Garamond" w:hAnsi="Garamond" w:cs="Arial"/>
        </w:rPr>
        <w:t>A trust is essentially a contract between the person who sets it up</w:t>
      </w:r>
      <w:r>
        <w:rPr>
          <w:rFonts w:ascii="Garamond" w:hAnsi="Garamond" w:cs="Arial"/>
        </w:rPr>
        <w:t xml:space="preserve"> (Grantor)</w:t>
      </w:r>
      <w:r w:rsidRPr="00B90288">
        <w:rPr>
          <w:rFonts w:ascii="Garamond" w:hAnsi="Garamond" w:cs="Arial"/>
        </w:rPr>
        <w:t xml:space="preserve"> </w:t>
      </w:r>
      <w:r w:rsidRPr="007B7296">
        <w:rPr>
          <w:rFonts w:ascii="Garamond" w:hAnsi="Garamond" w:cs="Arial"/>
        </w:rPr>
        <w:t>and the person or bank that is named as the Trustee. The fact that both the Grantor and the Trustee sign the trust document is why it is called a trust “agreement.” A living trust can be “Revocable” such that the agreement can be changed, modified or terminated (revoked); or “Irrevocable” such that the terms of the agreement cannot be changed</w:t>
      </w:r>
      <w:r>
        <w:rPr>
          <w:rFonts w:ascii="Garamond" w:hAnsi="Garamond" w:cs="Arial"/>
        </w:rPr>
        <w:t xml:space="preserve"> or terminated without the consent of all beneficiaries</w:t>
      </w:r>
      <w:r w:rsidRPr="007B7296">
        <w:rPr>
          <w:rFonts w:ascii="Garamond" w:hAnsi="Garamond" w:cs="Arial"/>
        </w:rPr>
        <w:t>.</w:t>
      </w:r>
    </w:p>
    <w:p w14:paraId="3AB0B7EA" w14:textId="77777777" w:rsidR="00637B91" w:rsidRPr="00637B91" w:rsidRDefault="00637B91" w:rsidP="00637B91">
      <w:pPr>
        <w:spacing w:before="120"/>
        <w:ind w:left="1080"/>
        <w:rPr>
          <w:rFonts w:ascii="Garamond" w:hAnsi="Garamond" w:cs="Arial"/>
        </w:rPr>
      </w:pPr>
      <w:r w:rsidRPr="00637B91">
        <w:rPr>
          <w:rFonts w:ascii="Garamond" w:hAnsi="Garamond" w:cs="Arial"/>
          <w:bCs/>
        </w:rPr>
        <w:t>Only</w:t>
      </w:r>
      <w:r w:rsidRPr="00637B91">
        <w:rPr>
          <w:rFonts w:ascii="Garamond" w:hAnsi="Garamond" w:cs="Arial"/>
          <w:b/>
        </w:rPr>
        <w:t xml:space="preserve"> </w:t>
      </w:r>
      <w:r w:rsidRPr="00637B91">
        <w:rPr>
          <w:rFonts w:ascii="Garamond" w:hAnsi="Garamond" w:cs="Arial"/>
        </w:rPr>
        <w:t xml:space="preserve">assets that are re-titled into the name of the Living Trust before death will be controlled by the terms of that trust document and can pass to subsequent beneficiaries without having to go through, and be subject to some of the delays in, the Probate </w:t>
      </w:r>
      <w:r w:rsidRPr="00637B91">
        <w:rPr>
          <w:rFonts w:ascii="Garamond" w:hAnsi="Garamond" w:cs="Arial"/>
        </w:rPr>
        <w:lastRenderedPageBreak/>
        <w:t>process. The assets that are held in this type of trust are said to “avoid probate” which is sometimes seen as a more costly and slower process of managing the assets of someone who has died.</w:t>
      </w:r>
    </w:p>
    <w:p w14:paraId="26AC0AD8" w14:textId="00F805A1" w:rsidR="00B10ED8" w:rsidRPr="00637B91" w:rsidRDefault="00B10ED8" w:rsidP="003E626A">
      <w:pPr>
        <w:pStyle w:val="ListParagraph"/>
        <w:numPr>
          <w:ilvl w:val="0"/>
          <w:numId w:val="12"/>
        </w:numPr>
        <w:spacing w:before="120"/>
        <w:ind w:left="1080"/>
        <w:rPr>
          <w:rFonts w:ascii="Garamond" w:hAnsi="Garamond" w:cs="Arial"/>
        </w:rPr>
      </w:pPr>
      <w:r w:rsidRPr="00637B91">
        <w:rPr>
          <w:rFonts w:ascii="Garamond" w:hAnsi="Garamond" w:cs="Arial"/>
          <w:b/>
        </w:rPr>
        <w:t>Testamentary Trust</w:t>
      </w:r>
      <w:r w:rsidRPr="00637B91">
        <w:rPr>
          <w:rFonts w:ascii="Garamond" w:hAnsi="Garamond" w:cs="Arial"/>
        </w:rPr>
        <w:t xml:space="preserve"> - a trust that is described </w:t>
      </w:r>
      <w:r w:rsidR="00E16B38" w:rsidRPr="00637B91">
        <w:rPr>
          <w:rFonts w:ascii="Garamond" w:hAnsi="Garamond" w:cs="Arial"/>
        </w:rPr>
        <w:t>and created within the terms of a Will.</w:t>
      </w:r>
      <w:r w:rsidR="00AB2489" w:rsidRPr="00637B91">
        <w:rPr>
          <w:rFonts w:ascii="Garamond" w:hAnsi="Garamond" w:cs="Arial"/>
        </w:rPr>
        <w:t xml:space="preserve"> </w:t>
      </w:r>
      <w:r w:rsidRPr="00637B91">
        <w:rPr>
          <w:rFonts w:ascii="Garamond" w:hAnsi="Garamond" w:cs="Arial"/>
        </w:rPr>
        <w:t>This type of trust is not funded until</w:t>
      </w:r>
      <w:r w:rsidR="00811203" w:rsidRPr="00637B91">
        <w:rPr>
          <w:rFonts w:ascii="Garamond" w:hAnsi="Garamond" w:cs="Arial"/>
        </w:rPr>
        <w:t>:</w:t>
      </w:r>
    </w:p>
    <w:p w14:paraId="3128C508" w14:textId="77777777" w:rsidR="00E16B38" w:rsidRPr="00DD6E35" w:rsidRDefault="00E16B38" w:rsidP="00F23F30">
      <w:pPr>
        <w:pStyle w:val="ListParagraph"/>
        <w:numPr>
          <w:ilvl w:val="3"/>
          <w:numId w:val="13"/>
        </w:numPr>
        <w:ind w:left="1440"/>
        <w:rPr>
          <w:rFonts w:ascii="Garamond" w:hAnsi="Garamond" w:cs="Arial"/>
        </w:rPr>
      </w:pPr>
      <w:r w:rsidRPr="00DD6E35">
        <w:rPr>
          <w:rFonts w:ascii="Garamond" w:hAnsi="Garamond" w:cs="Arial"/>
        </w:rPr>
        <w:t>The creator of the trust has died; and</w:t>
      </w:r>
    </w:p>
    <w:p w14:paraId="041B7F1B" w14:textId="77777777" w:rsidR="00B10ED8" w:rsidRPr="00DD6E35" w:rsidRDefault="00B10ED8" w:rsidP="00F23F30">
      <w:pPr>
        <w:pStyle w:val="ListParagraph"/>
        <w:numPr>
          <w:ilvl w:val="3"/>
          <w:numId w:val="13"/>
        </w:numPr>
        <w:ind w:left="1440"/>
        <w:rPr>
          <w:rFonts w:ascii="Garamond" w:hAnsi="Garamond" w:cs="Arial"/>
        </w:rPr>
      </w:pPr>
      <w:proofErr w:type="gramStart"/>
      <w:r w:rsidRPr="00DD6E35">
        <w:rPr>
          <w:rFonts w:ascii="Garamond" w:hAnsi="Garamond" w:cs="Arial"/>
        </w:rPr>
        <w:t>The Will</w:t>
      </w:r>
      <w:proofErr w:type="gramEnd"/>
      <w:r w:rsidRPr="00DD6E35">
        <w:rPr>
          <w:rFonts w:ascii="Garamond" w:hAnsi="Garamond" w:cs="Arial"/>
        </w:rPr>
        <w:t xml:space="preserve"> is admitted to probate; and</w:t>
      </w:r>
    </w:p>
    <w:p w14:paraId="2DE7CEF4" w14:textId="2FD4402A" w:rsidR="00B10ED8" w:rsidRDefault="00E16B38" w:rsidP="00F23F30">
      <w:pPr>
        <w:pStyle w:val="ListParagraph"/>
        <w:numPr>
          <w:ilvl w:val="3"/>
          <w:numId w:val="13"/>
        </w:numPr>
        <w:ind w:left="1440"/>
        <w:rPr>
          <w:rFonts w:ascii="Garamond" w:hAnsi="Garamond" w:cs="Arial"/>
        </w:rPr>
      </w:pPr>
      <w:r w:rsidRPr="00DD6E35">
        <w:rPr>
          <w:rFonts w:ascii="Garamond" w:hAnsi="Garamond" w:cs="Arial"/>
        </w:rPr>
        <w:t>T</w:t>
      </w:r>
      <w:r w:rsidR="00B10ED8" w:rsidRPr="00DD6E35">
        <w:rPr>
          <w:rFonts w:ascii="Garamond" w:hAnsi="Garamond" w:cs="Arial"/>
        </w:rPr>
        <w:t>he probate estate is ready to be distributed (usually after the decedent‘s debts and any estate or income taxes have been paid.</w:t>
      </w:r>
    </w:p>
    <w:p w14:paraId="0EF43989" w14:textId="77777777" w:rsidR="00D8751B" w:rsidRPr="007B7296" w:rsidRDefault="00D8751B" w:rsidP="00D8751B">
      <w:pPr>
        <w:pStyle w:val="ListParagraph"/>
        <w:numPr>
          <w:ilvl w:val="0"/>
          <w:numId w:val="5"/>
        </w:numPr>
        <w:spacing w:before="120"/>
        <w:rPr>
          <w:rFonts w:ascii="Garamond" w:hAnsi="Garamond" w:cs="Arial"/>
        </w:rPr>
      </w:pPr>
      <w:r w:rsidRPr="00D8751B">
        <w:rPr>
          <w:rFonts w:ascii="Garamond" w:hAnsi="Garamond" w:cs="Arial"/>
          <w:b/>
          <w:bCs/>
          <w:color w:val="002060"/>
        </w:rPr>
        <w:t>Trustee</w:t>
      </w:r>
      <w:r w:rsidRPr="00D8751B">
        <w:rPr>
          <w:rFonts w:ascii="Garamond" w:hAnsi="Garamond" w:cs="Arial"/>
          <w:color w:val="002060"/>
        </w:rPr>
        <w:t xml:space="preserve"> </w:t>
      </w:r>
      <w:r w:rsidRPr="007B7296">
        <w:rPr>
          <w:rFonts w:ascii="Garamond" w:hAnsi="Garamond" w:cs="Arial"/>
        </w:rPr>
        <w:t xml:space="preserve">– individual who agrees to hold, invest, administer, and distribute the assets that are transferred into the name of the trust, all according to the terms that are in the trust instrument. </w:t>
      </w:r>
    </w:p>
    <w:p w14:paraId="70F4B51F" w14:textId="61031B04" w:rsidR="00F80723" w:rsidRPr="00920BB8" w:rsidRDefault="00B10ED8" w:rsidP="00920BB8">
      <w:pPr>
        <w:pStyle w:val="ListParagraph"/>
        <w:numPr>
          <w:ilvl w:val="0"/>
          <w:numId w:val="5"/>
        </w:numPr>
        <w:spacing w:before="120"/>
        <w:rPr>
          <w:rFonts w:ascii="Garamond" w:hAnsi="Garamond" w:cs="Arial"/>
        </w:rPr>
      </w:pPr>
      <w:r w:rsidRPr="003E626A">
        <w:rPr>
          <w:rFonts w:ascii="Garamond" w:hAnsi="Garamond" w:cs="Arial"/>
          <w:b/>
          <w:color w:val="002060"/>
        </w:rPr>
        <w:t>Transfer on Death</w:t>
      </w:r>
      <w:r w:rsidRPr="003E626A">
        <w:rPr>
          <w:rFonts w:ascii="Garamond" w:hAnsi="Garamond" w:cs="Arial"/>
          <w:color w:val="002060"/>
        </w:rPr>
        <w:t xml:space="preserve"> or </w:t>
      </w:r>
      <w:r w:rsidRPr="003E626A">
        <w:rPr>
          <w:rFonts w:ascii="Garamond" w:hAnsi="Garamond" w:cs="Arial"/>
          <w:b/>
          <w:color w:val="002060"/>
        </w:rPr>
        <w:t>Pay on Death</w:t>
      </w:r>
      <w:r w:rsidR="000A42E9" w:rsidRPr="003E626A">
        <w:rPr>
          <w:rFonts w:ascii="Garamond" w:hAnsi="Garamond" w:cs="Arial"/>
          <w:color w:val="002060"/>
        </w:rPr>
        <w:t xml:space="preserve"> </w:t>
      </w:r>
      <w:r w:rsidR="000848D6" w:rsidRPr="00DD6E35">
        <w:rPr>
          <w:rFonts w:ascii="Garamond" w:hAnsi="Garamond" w:cs="Arial"/>
        </w:rPr>
        <w:t>accounts</w:t>
      </w:r>
      <w:r w:rsidR="00F80723" w:rsidRPr="00DD6E35">
        <w:rPr>
          <w:rFonts w:ascii="Garamond" w:hAnsi="Garamond" w:cs="Arial"/>
        </w:rPr>
        <w:t xml:space="preserve"> - </w:t>
      </w:r>
      <w:r w:rsidRPr="00DD6E35">
        <w:rPr>
          <w:rFonts w:ascii="Garamond" w:hAnsi="Garamond" w:cs="Arial"/>
        </w:rPr>
        <w:t>a</w:t>
      </w:r>
      <w:r w:rsidR="0085797A" w:rsidRPr="00DD6E35">
        <w:rPr>
          <w:rFonts w:ascii="Garamond" w:hAnsi="Garamond" w:cs="Arial"/>
        </w:rPr>
        <w:t xml:space="preserve">n account registration option </w:t>
      </w:r>
      <w:r w:rsidRPr="00DD6E35">
        <w:rPr>
          <w:rFonts w:ascii="Garamond" w:hAnsi="Garamond" w:cs="Arial"/>
        </w:rPr>
        <w:t>that allows bank accounts</w:t>
      </w:r>
      <w:r w:rsidR="003E626A">
        <w:rPr>
          <w:rFonts w:ascii="Garamond" w:hAnsi="Garamond" w:cs="Arial"/>
        </w:rPr>
        <w:t xml:space="preserve"> </w:t>
      </w:r>
      <w:r w:rsidRPr="00DD6E35">
        <w:rPr>
          <w:rFonts w:ascii="Garamond" w:hAnsi="Garamond" w:cs="Arial"/>
        </w:rPr>
        <w:t xml:space="preserve">and </w:t>
      </w:r>
      <w:r w:rsidR="005E17A8">
        <w:rPr>
          <w:rFonts w:ascii="Garamond" w:hAnsi="Garamond" w:cs="Arial"/>
        </w:rPr>
        <w:t>investment</w:t>
      </w:r>
      <w:r w:rsidRPr="00DD6E35">
        <w:rPr>
          <w:rFonts w:ascii="Garamond" w:hAnsi="Garamond" w:cs="Arial"/>
        </w:rPr>
        <w:t xml:space="preserve"> accounts that are held with a broker to pass to one or more named beneficiaries without those assets first having to pass through the decedent’s “Probate Estate” (pass </w:t>
      </w:r>
      <w:r w:rsidR="003E626A">
        <w:rPr>
          <w:rFonts w:ascii="Garamond" w:hAnsi="Garamond" w:cs="Arial"/>
        </w:rPr>
        <w:t>outside</w:t>
      </w:r>
      <w:r w:rsidRPr="00DD6E35">
        <w:rPr>
          <w:rFonts w:ascii="Garamond" w:hAnsi="Garamond" w:cs="Arial"/>
        </w:rPr>
        <w:t xml:space="preserve"> his/her Will). To accomplish this, the account owner </w:t>
      </w:r>
      <w:r w:rsidR="0085797A" w:rsidRPr="00DD6E35">
        <w:rPr>
          <w:rFonts w:ascii="Garamond" w:hAnsi="Garamond" w:cs="Arial"/>
        </w:rPr>
        <w:t>must</w:t>
      </w:r>
      <w:r w:rsidRPr="00DD6E35">
        <w:rPr>
          <w:rFonts w:ascii="Garamond" w:hAnsi="Garamond" w:cs="Arial"/>
        </w:rPr>
        <w:t xml:space="preserve"> complete a </w:t>
      </w:r>
      <w:r w:rsidR="00920BB8">
        <w:rPr>
          <w:rFonts w:ascii="Garamond" w:hAnsi="Garamond" w:cs="Arial"/>
        </w:rPr>
        <w:t xml:space="preserve">beneficiary designation </w:t>
      </w:r>
      <w:r w:rsidRPr="00DD6E35">
        <w:rPr>
          <w:rFonts w:ascii="Garamond" w:hAnsi="Garamond" w:cs="Arial"/>
        </w:rPr>
        <w:t xml:space="preserve">form that names </w:t>
      </w:r>
      <w:r w:rsidR="0085797A" w:rsidRPr="00DD6E35">
        <w:rPr>
          <w:rFonts w:ascii="Garamond" w:hAnsi="Garamond" w:cs="Arial"/>
        </w:rPr>
        <w:t xml:space="preserve">the persons whom the account owner wishes to </w:t>
      </w:r>
      <w:r w:rsidRPr="00DD6E35">
        <w:rPr>
          <w:rFonts w:ascii="Garamond" w:hAnsi="Garamond" w:cs="Arial"/>
        </w:rPr>
        <w:t xml:space="preserve">receive the assets after </w:t>
      </w:r>
      <w:r w:rsidR="0085797A" w:rsidRPr="00DD6E35">
        <w:rPr>
          <w:rFonts w:ascii="Garamond" w:hAnsi="Garamond" w:cs="Arial"/>
        </w:rPr>
        <w:t>his or her</w:t>
      </w:r>
      <w:r w:rsidRPr="00DD6E35">
        <w:rPr>
          <w:rFonts w:ascii="Garamond" w:hAnsi="Garamond" w:cs="Arial"/>
        </w:rPr>
        <w:t xml:space="preserve"> death</w:t>
      </w:r>
      <w:r w:rsidR="0085797A" w:rsidRPr="00DD6E35">
        <w:rPr>
          <w:rFonts w:ascii="Garamond" w:hAnsi="Garamond" w:cs="Arial"/>
        </w:rPr>
        <w:t>.</w:t>
      </w:r>
    </w:p>
    <w:p w14:paraId="04C243C2" w14:textId="77777777" w:rsidR="00D8751B" w:rsidRPr="00DD6E35" w:rsidRDefault="00D8751B" w:rsidP="00D8751B">
      <w:pPr>
        <w:pStyle w:val="ListParagraph"/>
        <w:numPr>
          <w:ilvl w:val="0"/>
          <w:numId w:val="5"/>
        </w:numPr>
        <w:spacing w:before="120"/>
        <w:rPr>
          <w:rFonts w:ascii="Garamond" w:hAnsi="Garamond" w:cs="Arial"/>
        </w:rPr>
      </w:pPr>
      <w:r w:rsidRPr="00D8751B">
        <w:rPr>
          <w:rFonts w:ascii="Garamond" w:hAnsi="Garamond" w:cs="Arial"/>
          <w:b/>
          <w:color w:val="002060"/>
        </w:rPr>
        <w:t xml:space="preserve">Will </w:t>
      </w:r>
      <w:r w:rsidRPr="00DD6E35">
        <w:rPr>
          <w:rFonts w:ascii="Garamond" w:hAnsi="Garamond" w:cs="Arial"/>
        </w:rPr>
        <w:t>(Last Will and Testament) - a legal document signed in front of witnesses. The Will is intended to control the distribution of the assets that may be in the name of the deceased person (also call the “Decedent” or “Testator”) at the time of death. The Will also designates one or more people to be responsible for handling the administration of the estate (see “Executor/ Personal Representative”, below).</w:t>
      </w:r>
    </w:p>
    <w:p w14:paraId="17613086" w14:textId="77777777" w:rsidR="00593A18" w:rsidRPr="00DD6E35" w:rsidRDefault="00593A18" w:rsidP="00F80723">
      <w:pPr>
        <w:spacing w:before="120"/>
        <w:rPr>
          <w:rFonts w:ascii="Garamond" w:hAnsi="Garamond" w:cs="Arial"/>
          <w:i/>
        </w:rPr>
      </w:pPr>
    </w:p>
    <w:p w14:paraId="068F4F89" w14:textId="794D744E" w:rsidR="00593A18" w:rsidRPr="00E101BD" w:rsidRDefault="006833A4" w:rsidP="00F80723">
      <w:pPr>
        <w:spacing w:before="120"/>
        <w:rPr>
          <w:rFonts w:ascii="Garamond" w:hAnsi="Garamond" w:cs="Arial"/>
          <w:b/>
          <w:bCs/>
          <w:i/>
          <w:color w:val="002060"/>
        </w:rPr>
      </w:pPr>
      <w:r>
        <w:rPr>
          <w:rFonts w:ascii="Garamond" w:hAnsi="Garamond" w:cs="Arial"/>
          <w:iCs/>
        </w:rPr>
        <w:t xml:space="preserve">Estate planning </w:t>
      </w:r>
      <w:r w:rsidR="00E101BD">
        <w:rPr>
          <w:rFonts w:ascii="Garamond" w:hAnsi="Garamond" w:cs="Arial"/>
          <w:iCs/>
        </w:rPr>
        <w:t xml:space="preserve">processes and terminology are extensive and complex. A more detailed glossary is available at the American Bar Association’s website at </w:t>
      </w:r>
      <w:hyperlink r:id="rId10" w:history="1">
        <w:hyperlink r:id="rId11" w:history="1">
          <w:r w:rsidR="00E101BD" w:rsidRPr="00003C15">
            <w:rPr>
              <w:rStyle w:val="Hyperlink"/>
              <w:rFonts w:ascii="Garamond" w:hAnsi="Garamond" w:cs="Arial"/>
              <w:b/>
              <w:bCs/>
              <w:i/>
              <w:sz w:val="22"/>
              <w:szCs w:val="22"/>
            </w:rPr>
            <w:t>www.americanbar.org/groups/real_property_trust_estate/resources/estate-planning/glossary/</w:t>
          </w:r>
        </w:hyperlink>
      </w:hyperlink>
    </w:p>
    <w:p w14:paraId="42EAFFDB" w14:textId="77777777" w:rsidR="00593A18" w:rsidRDefault="00593A18" w:rsidP="00F80723">
      <w:pPr>
        <w:spacing w:before="120"/>
        <w:rPr>
          <w:rFonts w:ascii="Garamond" w:hAnsi="Garamond" w:cs="Arial"/>
          <w:i/>
        </w:rPr>
      </w:pPr>
    </w:p>
    <w:p w14:paraId="46041703" w14:textId="1C2620A7" w:rsidR="00B21B50" w:rsidRPr="007537E1" w:rsidRDefault="00DC759A" w:rsidP="00B21B50">
      <w:pPr>
        <w:spacing w:before="120"/>
        <w:rPr>
          <w:rFonts w:ascii="Garamond" w:hAnsi="Garamond" w:cs="Arial"/>
          <w:b/>
          <w:bCs/>
          <w:i/>
        </w:rPr>
      </w:pPr>
      <w:r>
        <w:rPr>
          <w:rFonts w:ascii="Garamond" w:hAnsi="Garamond" w:cs="Arial"/>
          <w:b/>
          <w:bCs/>
          <w:i/>
        </w:rPr>
        <w:t>This information</w:t>
      </w:r>
      <w:r w:rsidR="00B21B50" w:rsidRPr="007537E1">
        <w:rPr>
          <w:rFonts w:ascii="Garamond" w:hAnsi="Garamond" w:cs="Arial"/>
          <w:b/>
          <w:bCs/>
          <w:i/>
        </w:rPr>
        <w:t xml:space="preserve"> is not intended to be legal or tax advice and may not be relied upon for tax decisions. </w:t>
      </w:r>
      <w:r w:rsidR="00B21B50">
        <w:rPr>
          <w:rFonts w:ascii="Garamond" w:hAnsi="Garamond" w:cs="Arial"/>
          <w:b/>
          <w:bCs/>
          <w:i/>
        </w:rPr>
        <w:t>Guardian</w:t>
      </w:r>
      <w:r>
        <w:rPr>
          <w:rFonts w:ascii="Garamond" w:hAnsi="Garamond" w:cs="Arial"/>
          <w:b/>
          <w:bCs/>
          <w:i/>
        </w:rPr>
        <w:t xml:space="preserve">, its subsidiaries, agents and employees do not provide tax, legal, or accounting advice. </w:t>
      </w:r>
      <w:r w:rsidR="00B21B50" w:rsidRPr="007537E1">
        <w:rPr>
          <w:rFonts w:ascii="Garamond" w:hAnsi="Garamond" w:cs="Arial"/>
          <w:b/>
          <w:bCs/>
          <w:i/>
        </w:rPr>
        <w:t>Always contact your tax or legal advisor to see if the ideas discussed in this article are appropriate for you.</w:t>
      </w:r>
    </w:p>
    <w:p w14:paraId="25C8D921" w14:textId="77777777" w:rsidR="00003C15" w:rsidRPr="00DD6E35" w:rsidRDefault="00003C15" w:rsidP="00F80723">
      <w:pPr>
        <w:spacing w:before="120"/>
        <w:rPr>
          <w:rFonts w:ascii="Garamond" w:hAnsi="Garamond" w:cs="Arial"/>
          <w:i/>
        </w:rPr>
      </w:pPr>
    </w:p>
    <w:p w14:paraId="08D253A6" w14:textId="77777777" w:rsidR="007D205F" w:rsidRPr="00DD6E35" w:rsidRDefault="007D205F" w:rsidP="00F80723">
      <w:pPr>
        <w:spacing w:before="120"/>
        <w:rPr>
          <w:rFonts w:ascii="Garamond" w:hAnsi="Garamond" w:cs="Arial"/>
        </w:rPr>
      </w:pPr>
    </w:p>
    <w:p w14:paraId="66A14018" w14:textId="32606057" w:rsidR="007537E1" w:rsidRPr="00AF7C79" w:rsidRDefault="007537E1" w:rsidP="007537E1">
      <w:pPr>
        <w:rPr>
          <w:rFonts w:ascii="Garamond" w:hAnsi="Garamond"/>
        </w:rPr>
      </w:pPr>
      <w:r>
        <w:rPr>
          <w:rFonts w:ascii="Garamond" w:hAnsi="Garamond"/>
        </w:rPr>
        <w:t xml:space="preserve">Lydia Palmer, </w:t>
      </w:r>
      <w:r w:rsidRPr="00A354DF">
        <w:rPr>
          <w:rFonts w:ascii="Garamond" w:hAnsi="Garamond"/>
        </w:rPr>
        <w:t>Registered Representative and Financial Advisor of Park Avenue Securities LLC (PAS). OSJ: 600 DELAWARE AVENUE, BUFFALO NY, 14202, 716-8177109. Securities products and advisory services offered through PAS, member FINRA, SIPC. Financial Representative of The Guardian Life Insurance Company of America® (Guardian), New York, NY. PAS is a wholly owned subsidiary of Guardian. Higher Purpose Financial is not an affiliate or subsidiary of PAS or Guardian</w:t>
      </w:r>
      <w:r w:rsidRPr="00434537">
        <w:rPr>
          <w:rFonts w:ascii="Garamond" w:hAnsi="Garamond"/>
        </w:rPr>
        <w:t>.</w:t>
      </w:r>
      <w:r w:rsidR="00D8751B" w:rsidRPr="00434537">
        <w:rPr>
          <w:rFonts w:ascii="Garamond" w:hAnsi="Garamond"/>
        </w:rPr>
        <w:t xml:space="preserve"> </w:t>
      </w:r>
      <w:r w:rsidR="00434537" w:rsidRPr="00434537">
        <w:rPr>
          <w:rFonts w:ascii="Garamond" w:hAnsi="Garamond"/>
        </w:rPr>
        <w:t>8872479.1</w:t>
      </w:r>
      <w:r>
        <w:rPr>
          <w:rFonts w:ascii="Garamond" w:hAnsi="Garamond"/>
        </w:rPr>
        <w:t xml:space="preserve"> </w:t>
      </w:r>
      <w:r w:rsidRPr="00357756">
        <w:rPr>
          <w:rFonts w:ascii="Garamond" w:hAnsi="Garamond"/>
        </w:rPr>
        <w:t xml:space="preserve"> Exp </w:t>
      </w:r>
    </w:p>
    <w:p w14:paraId="07DFBA7C" w14:textId="77777777" w:rsidR="003519BB" w:rsidRPr="00DD6E35" w:rsidRDefault="00506AE9" w:rsidP="00F80723">
      <w:pPr>
        <w:spacing w:before="120"/>
        <w:rPr>
          <w:rFonts w:ascii="Garamond" w:hAnsi="Garamond" w:cs="Arial"/>
          <w:sz w:val="16"/>
          <w:szCs w:val="16"/>
        </w:rPr>
      </w:pPr>
      <w:r w:rsidRPr="00DD6E35">
        <w:rPr>
          <w:rFonts w:ascii="Garamond" w:hAnsi="Garamond" w:cs="Arial"/>
          <w:noProof/>
          <w:sz w:val="16"/>
          <w:szCs w:val="16"/>
        </w:rPr>
        <w:drawing>
          <wp:anchor distT="0" distB="0" distL="114300" distR="114300" simplePos="0" relativeHeight="251671552" behindDoc="0" locked="0" layoutInCell="1" allowOverlap="1" wp14:anchorId="3B823458" wp14:editId="0D1EE0B3">
            <wp:simplePos x="0" y="0"/>
            <wp:positionH relativeFrom="column">
              <wp:posOffset>4515485</wp:posOffset>
            </wp:positionH>
            <wp:positionV relativeFrom="paragraph">
              <wp:posOffset>3849370</wp:posOffset>
            </wp:positionV>
            <wp:extent cx="734695" cy="219075"/>
            <wp:effectExtent l="0" t="0" r="825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T logo_WHIT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34695" cy="219075"/>
                    </a:xfrm>
                    <a:prstGeom prst="rect">
                      <a:avLst/>
                    </a:prstGeom>
                  </pic:spPr>
                </pic:pic>
              </a:graphicData>
            </a:graphic>
            <wp14:sizeRelH relativeFrom="page">
              <wp14:pctWidth>0</wp14:pctWidth>
            </wp14:sizeRelH>
            <wp14:sizeRelV relativeFrom="page">
              <wp14:pctHeight>0</wp14:pctHeight>
            </wp14:sizeRelV>
          </wp:anchor>
        </w:drawing>
      </w:r>
    </w:p>
    <w:p w14:paraId="2D01DCD9" w14:textId="77777777" w:rsidR="00F80723" w:rsidRPr="00DD6E35" w:rsidRDefault="00F80723" w:rsidP="00F80723">
      <w:pPr>
        <w:spacing w:before="120"/>
        <w:rPr>
          <w:rFonts w:ascii="Garamond" w:hAnsi="Garamond" w:cs="Arial"/>
          <w:sz w:val="16"/>
          <w:szCs w:val="16"/>
        </w:rPr>
      </w:pPr>
    </w:p>
    <w:sectPr w:rsidR="00F80723" w:rsidRPr="00DD6E35" w:rsidSect="00383F8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C175A" w14:textId="77777777" w:rsidR="00DA40C9" w:rsidRDefault="00DA40C9" w:rsidP="00F80723">
      <w:r>
        <w:separator/>
      </w:r>
    </w:p>
  </w:endnote>
  <w:endnote w:type="continuationSeparator" w:id="0">
    <w:p w14:paraId="1468E9B2" w14:textId="77777777" w:rsidR="00DA40C9" w:rsidRDefault="00DA40C9" w:rsidP="00F80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BF3BC" w14:textId="13090653" w:rsidR="00F80723" w:rsidRDefault="00F80723" w:rsidP="00F8072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59358" w14:textId="77777777" w:rsidR="00DA40C9" w:rsidRDefault="00DA40C9" w:rsidP="00F80723">
      <w:r>
        <w:separator/>
      </w:r>
    </w:p>
  </w:footnote>
  <w:footnote w:type="continuationSeparator" w:id="0">
    <w:p w14:paraId="65AC3A15" w14:textId="77777777" w:rsidR="00DA40C9" w:rsidRDefault="00DA40C9" w:rsidP="00F80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E497E"/>
    <w:multiLevelType w:val="hybridMultilevel"/>
    <w:tmpl w:val="182478A0"/>
    <w:lvl w:ilvl="0" w:tplc="6FFC782C">
      <w:start w:val="1"/>
      <w:numFmt w:val="bullet"/>
      <w:lvlText w:val="w"/>
      <w:lvlJc w:val="left"/>
      <w:pPr>
        <w:ind w:left="360" w:hanging="360"/>
      </w:pPr>
      <w:rPr>
        <w:rFonts w:ascii="Wingdings" w:hAnsi="Wingdings" w:hint="default"/>
        <w:color w:val="92D05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797CF9"/>
    <w:multiLevelType w:val="hybridMultilevel"/>
    <w:tmpl w:val="A828B5C0"/>
    <w:lvl w:ilvl="0" w:tplc="0D62B348">
      <w:start w:val="1"/>
      <w:numFmt w:val="bullet"/>
      <w:lvlText w:val="&gt;"/>
      <w:lvlJc w:val="left"/>
      <w:pPr>
        <w:ind w:left="360" w:hanging="360"/>
      </w:pPr>
      <w:rPr>
        <w:rFonts w:ascii="Arial Black" w:hAnsi="Arial Black" w:hint="default"/>
        <w:color w:val="D95E00"/>
      </w:rPr>
    </w:lvl>
    <w:lvl w:ilvl="1" w:tplc="506E0980">
      <w:start w:val="1"/>
      <w:numFmt w:val="bullet"/>
      <w:lvlText w:val=""/>
      <w:lvlJc w:val="left"/>
      <w:pPr>
        <w:ind w:left="1080" w:hanging="360"/>
      </w:pPr>
      <w:rPr>
        <w:rFonts w:ascii="Wingdings 2" w:hAnsi="Wingdings 2" w:hint="default"/>
        <w:color w:val="595959" w:themeColor="text1" w:themeTint="A6"/>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 w15:restartNumberingAfterBreak="0">
    <w:nsid w:val="158C4E7F"/>
    <w:multiLevelType w:val="hybridMultilevel"/>
    <w:tmpl w:val="EE200B66"/>
    <w:lvl w:ilvl="0" w:tplc="FFFFFFFF">
      <w:start w:val="1"/>
      <w:numFmt w:val="bullet"/>
      <w:lvlText w:val="&gt;"/>
      <w:lvlJc w:val="left"/>
      <w:pPr>
        <w:ind w:left="360" w:hanging="360"/>
      </w:pPr>
      <w:rPr>
        <w:rFonts w:ascii="Arial Black" w:hAnsi="Arial Black" w:hint="default"/>
        <w:color w:val="D95E00"/>
      </w:rPr>
    </w:lvl>
    <w:lvl w:ilvl="1" w:tplc="04090003">
      <w:start w:val="1"/>
      <w:numFmt w:val="bullet"/>
      <w:lvlText w:val="o"/>
      <w:lvlJc w:val="left"/>
      <w:pPr>
        <w:ind w:left="1080" w:hanging="360"/>
      </w:pPr>
      <w:rPr>
        <w:rFonts w:ascii="Courier New" w:hAnsi="Courier New" w:cs="Courier New" w:hint="default"/>
      </w:r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 w15:restartNumberingAfterBreak="0">
    <w:nsid w:val="209826DE"/>
    <w:multiLevelType w:val="hybridMultilevel"/>
    <w:tmpl w:val="02A6E3B6"/>
    <w:lvl w:ilvl="0" w:tplc="FFFFFFFF">
      <w:start w:val="1"/>
      <w:numFmt w:val="bullet"/>
      <w:lvlText w:val="&gt;"/>
      <w:lvlJc w:val="left"/>
      <w:pPr>
        <w:ind w:left="720" w:hanging="360"/>
      </w:pPr>
      <w:rPr>
        <w:rFonts w:ascii="Arial Black" w:hAnsi="Arial Black" w:hint="default"/>
        <w:color w:val="D95E00"/>
      </w:rPr>
    </w:lvl>
    <w:lvl w:ilvl="1" w:tplc="FFFFFFFF">
      <w:start w:val="1"/>
      <w:numFmt w:val="bullet"/>
      <w:lvlText w:val=""/>
      <w:lvlJc w:val="left"/>
      <w:pPr>
        <w:ind w:left="1440" w:hanging="360"/>
      </w:pPr>
      <w:rPr>
        <w:rFonts w:ascii="Wingdings 2" w:hAnsi="Wingdings 2" w:hint="default"/>
        <w:color w:val="595959" w:themeColor="text1" w:themeTint="A6"/>
      </w:rPr>
    </w:lvl>
    <w:lvl w:ilvl="2" w:tplc="FFFFFFFF">
      <w:start w:val="1"/>
      <w:numFmt w:val="bullet"/>
      <w:lvlText w:val="w"/>
      <w:lvlJc w:val="left"/>
      <w:pPr>
        <w:ind w:left="360" w:hanging="360"/>
      </w:pPr>
      <w:rPr>
        <w:rFonts w:ascii="Wingdings" w:hAnsi="Wingdings" w:hint="default"/>
        <w:color w:val="92D050"/>
      </w:rPr>
    </w:lvl>
    <w:lvl w:ilvl="3" w:tplc="04090003">
      <w:start w:val="1"/>
      <w:numFmt w:val="bullet"/>
      <w:lvlText w:val="o"/>
      <w:lvlJc w:val="left"/>
      <w:pPr>
        <w:ind w:left="1080" w:hanging="360"/>
      </w:pPr>
      <w:rPr>
        <w:rFonts w:ascii="Courier New" w:hAnsi="Courier New" w:cs="Courier New"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8E2772A"/>
    <w:multiLevelType w:val="hybridMultilevel"/>
    <w:tmpl w:val="BDE6D242"/>
    <w:lvl w:ilvl="0" w:tplc="6FFC782C">
      <w:start w:val="1"/>
      <w:numFmt w:val="bullet"/>
      <w:lvlText w:val="w"/>
      <w:lvlJc w:val="left"/>
      <w:pPr>
        <w:ind w:left="360" w:hanging="360"/>
      </w:pPr>
      <w:rPr>
        <w:rFonts w:ascii="Wingdings" w:hAnsi="Wingdings" w:hint="default"/>
        <w:color w:val="92D05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331DF0"/>
    <w:multiLevelType w:val="hybridMultilevel"/>
    <w:tmpl w:val="8C400FF0"/>
    <w:lvl w:ilvl="0" w:tplc="506E0980">
      <w:start w:val="1"/>
      <w:numFmt w:val="bullet"/>
      <w:lvlText w:val=""/>
      <w:lvlJc w:val="left"/>
      <w:pPr>
        <w:ind w:left="0" w:hanging="360"/>
      </w:pPr>
      <w:rPr>
        <w:rFonts w:ascii="Wingdings 2" w:hAnsi="Wingdings 2" w:hint="default"/>
        <w:color w:val="595959" w:themeColor="text1" w:themeTint="A6"/>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45AF0204"/>
    <w:multiLevelType w:val="hybridMultilevel"/>
    <w:tmpl w:val="92043E00"/>
    <w:lvl w:ilvl="0" w:tplc="FFFFFFFF">
      <w:start w:val="1"/>
      <w:numFmt w:val="bullet"/>
      <w:lvlText w:val="&gt;"/>
      <w:lvlJc w:val="left"/>
      <w:pPr>
        <w:ind w:left="720" w:hanging="360"/>
      </w:pPr>
      <w:rPr>
        <w:rFonts w:ascii="Arial Black" w:hAnsi="Arial Black" w:hint="default"/>
        <w:color w:val="D95E00"/>
      </w:rPr>
    </w:lvl>
    <w:lvl w:ilvl="1" w:tplc="FFFFFFFF">
      <w:start w:val="1"/>
      <w:numFmt w:val="bullet"/>
      <w:lvlText w:val=""/>
      <w:lvlJc w:val="left"/>
      <w:pPr>
        <w:ind w:left="1440" w:hanging="360"/>
      </w:pPr>
      <w:rPr>
        <w:rFonts w:ascii="Wingdings 2" w:hAnsi="Wingdings 2" w:hint="default"/>
        <w:color w:val="595959" w:themeColor="text1" w:themeTint="A6"/>
      </w:rPr>
    </w:lvl>
    <w:lvl w:ilvl="2" w:tplc="FFFFFFFF">
      <w:start w:val="1"/>
      <w:numFmt w:val="bullet"/>
      <w:lvlText w:val="w"/>
      <w:lvlJc w:val="left"/>
      <w:pPr>
        <w:ind w:left="360" w:hanging="360"/>
      </w:pPr>
      <w:rPr>
        <w:rFonts w:ascii="Wingdings" w:hAnsi="Wingdings" w:hint="default"/>
        <w:color w:val="92D050"/>
      </w:rPr>
    </w:lvl>
    <w:lvl w:ilvl="3" w:tplc="6FFC782C">
      <w:start w:val="1"/>
      <w:numFmt w:val="bullet"/>
      <w:lvlText w:val="w"/>
      <w:lvlJc w:val="left"/>
      <w:pPr>
        <w:ind w:left="360" w:hanging="360"/>
      </w:pPr>
      <w:rPr>
        <w:rFonts w:ascii="Wingdings" w:hAnsi="Wingdings" w:hint="default"/>
        <w:color w:val="92D05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4F7861ED"/>
    <w:multiLevelType w:val="hybridMultilevel"/>
    <w:tmpl w:val="9CFABDC6"/>
    <w:lvl w:ilvl="0" w:tplc="FFFFFFFF">
      <w:start w:val="1"/>
      <w:numFmt w:val="bullet"/>
      <w:lvlText w:val="&gt;"/>
      <w:lvlJc w:val="left"/>
      <w:pPr>
        <w:ind w:left="720" w:hanging="360"/>
      </w:pPr>
      <w:rPr>
        <w:rFonts w:ascii="Arial Black" w:hAnsi="Arial Black" w:hint="default"/>
        <w:color w:val="D95E00"/>
      </w:rPr>
    </w:lvl>
    <w:lvl w:ilvl="1" w:tplc="FFFFFFFF">
      <w:start w:val="1"/>
      <w:numFmt w:val="bullet"/>
      <w:lvlText w:val=""/>
      <w:lvlJc w:val="left"/>
      <w:pPr>
        <w:ind w:left="1440" w:hanging="360"/>
      </w:pPr>
      <w:rPr>
        <w:rFonts w:ascii="Wingdings 2" w:hAnsi="Wingdings 2" w:hint="default"/>
        <w:color w:val="595959" w:themeColor="text1" w:themeTint="A6"/>
      </w:rPr>
    </w:lvl>
    <w:lvl w:ilvl="2" w:tplc="FFFFFFFF">
      <w:start w:val="1"/>
      <w:numFmt w:val="bullet"/>
      <w:lvlText w:val="w"/>
      <w:lvlJc w:val="left"/>
      <w:pPr>
        <w:ind w:left="360" w:hanging="360"/>
      </w:pPr>
      <w:rPr>
        <w:rFonts w:ascii="Wingdings" w:hAnsi="Wingdings" w:hint="default"/>
        <w:color w:val="92D050"/>
      </w:rPr>
    </w:lvl>
    <w:lvl w:ilvl="3" w:tplc="AE1E2116">
      <w:start w:val="1"/>
      <w:numFmt w:val="bullet"/>
      <w:lvlText w:val=""/>
      <w:lvlJc w:val="left"/>
      <w:pPr>
        <w:ind w:left="1080" w:hanging="360"/>
      </w:pPr>
      <w:rPr>
        <w:rFonts w:ascii="Symbol" w:hAnsi="Symbol" w:hint="default"/>
        <w:color w:val="00206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62116B9C"/>
    <w:multiLevelType w:val="hybridMultilevel"/>
    <w:tmpl w:val="D7543970"/>
    <w:lvl w:ilvl="0" w:tplc="FFFFFFFF">
      <w:start w:val="1"/>
      <w:numFmt w:val="bullet"/>
      <w:lvlText w:val="&gt;"/>
      <w:lvlJc w:val="left"/>
      <w:pPr>
        <w:ind w:left="720" w:hanging="360"/>
      </w:pPr>
      <w:rPr>
        <w:rFonts w:ascii="Arial Black" w:hAnsi="Arial Black" w:hint="default"/>
        <w:color w:val="D95E00"/>
      </w:rPr>
    </w:lvl>
    <w:lvl w:ilvl="1" w:tplc="FFFFFFFF">
      <w:start w:val="1"/>
      <w:numFmt w:val="bullet"/>
      <w:lvlText w:val=""/>
      <w:lvlJc w:val="left"/>
      <w:pPr>
        <w:ind w:left="1440" w:hanging="360"/>
      </w:pPr>
      <w:rPr>
        <w:rFonts w:ascii="Wingdings 2" w:hAnsi="Wingdings 2" w:hint="default"/>
        <w:color w:val="595959" w:themeColor="text1" w:themeTint="A6"/>
      </w:rPr>
    </w:lvl>
    <w:lvl w:ilvl="2" w:tplc="6FFC782C">
      <w:start w:val="1"/>
      <w:numFmt w:val="bullet"/>
      <w:lvlText w:val="w"/>
      <w:lvlJc w:val="left"/>
      <w:pPr>
        <w:ind w:left="360" w:hanging="360"/>
      </w:pPr>
      <w:rPr>
        <w:rFonts w:ascii="Wingdings" w:hAnsi="Wingdings" w:hint="default"/>
        <w:color w:val="92D050"/>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73920A4A"/>
    <w:multiLevelType w:val="hybridMultilevel"/>
    <w:tmpl w:val="A33808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253FD9"/>
    <w:multiLevelType w:val="hybridMultilevel"/>
    <w:tmpl w:val="2D7EC4E6"/>
    <w:lvl w:ilvl="0" w:tplc="0D62B348">
      <w:start w:val="1"/>
      <w:numFmt w:val="bullet"/>
      <w:lvlText w:val="&gt;"/>
      <w:lvlJc w:val="left"/>
      <w:pPr>
        <w:ind w:left="360" w:hanging="360"/>
      </w:pPr>
      <w:rPr>
        <w:rFonts w:ascii="Arial Black" w:hAnsi="Arial Black" w:hint="default"/>
        <w:color w:val="D95E00"/>
      </w:rPr>
    </w:lvl>
    <w:lvl w:ilvl="1" w:tplc="506E0980">
      <w:start w:val="1"/>
      <w:numFmt w:val="bullet"/>
      <w:lvlText w:val=""/>
      <w:lvlJc w:val="left"/>
      <w:pPr>
        <w:ind w:left="1080" w:hanging="360"/>
      </w:pPr>
      <w:rPr>
        <w:rFonts w:ascii="Wingdings 2" w:hAnsi="Wingdings 2" w:hint="default"/>
        <w:color w:val="595959" w:themeColor="text1" w:themeTint="A6"/>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1" w15:restartNumberingAfterBreak="0">
    <w:nsid w:val="7FB061DE"/>
    <w:multiLevelType w:val="hybridMultilevel"/>
    <w:tmpl w:val="9FDC2EC4"/>
    <w:lvl w:ilvl="0" w:tplc="D56C443E">
      <w:start w:val="1"/>
      <w:numFmt w:val="bullet"/>
      <w:lvlText w:val="&gt;"/>
      <w:lvlJc w:val="left"/>
      <w:pPr>
        <w:ind w:left="720" w:hanging="360"/>
      </w:pPr>
      <w:rPr>
        <w:rFonts w:ascii="Arial Black" w:hAnsi="Arial Black" w:hint="default"/>
        <w:color w:val="FF6E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28631">
    <w:abstractNumId w:val="1"/>
  </w:num>
  <w:num w:numId="2" w16cid:durableId="51581929">
    <w:abstractNumId w:val="1"/>
  </w:num>
  <w:num w:numId="3" w16cid:durableId="833187242">
    <w:abstractNumId w:val="5"/>
  </w:num>
  <w:num w:numId="4" w16cid:durableId="565148875">
    <w:abstractNumId w:val="10"/>
  </w:num>
  <w:num w:numId="5" w16cid:durableId="1618179952">
    <w:abstractNumId w:val="4"/>
  </w:num>
  <w:num w:numId="6" w16cid:durableId="1571646948">
    <w:abstractNumId w:val="11"/>
  </w:num>
  <w:num w:numId="7" w16cid:durableId="186871754">
    <w:abstractNumId w:val="8"/>
  </w:num>
  <w:num w:numId="8" w16cid:durableId="214200772">
    <w:abstractNumId w:val="6"/>
  </w:num>
  <w:num w:numId="9" w16cid:durableId="1396588376">
    <w:abstractNumId w:val="3"/>
  </w:num>
  <w:num w:numId="10" w16cid:durableId="870844745">
    <w:abstractNumId w:val="2"/>
  </w:num>
  <w:num w:numId="11" w16cid:durableId="2014993931">
    <w:abstractNumId w:val="0"/>
  </w:num>
  <w:num w:numId="12" w16cid:durableId="805197238">
    <w:abstractNumId w:val="9"/>
  </w:num>
  <w:num w:numId="13" w16cid:durableId="356199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ED8"/>
    <w:rsid w:val="00000DCC"/>
    <w:rsid w:val="0000171E"/>
    <w:rsid w:val="00003C15"/>
    <w:rsid w:val="000230AB"/>
    <w:rsid w:val="00070D2F"/>
    <w:rsid w:val="00083E51"/>
    <w:rsid w:val="000848D6"/>
    <w:rsid w:val="00091EF5"/>
    <w:rsid w:val="00092209"/>
    <w:rsid w:val="00093019"/>
    <w:rsid w:val="000A42E9"/>
    <w:rsid w:val="000B5143"/>
    <w:rsid w:val="000C58FD"/>
    <w:rsid w:val="000E3612"/>
    <w:rsid w:val="000E4918"/>
    <w:rsid w:val="000E6CA1"/>
    <w:rsid w:val="000E6FD3"/>
    <w:rsid w:val="00100C8F"/>
    <w:rsid w:val="00103981"/>
    <w:rsid w:val="0012109C"/>
    <w:rsid w:val="0012464A"/>
    <w:rsid w:val="001272F9"/>
    <w:rsid w:val="00130C83"/>
    <w:rsid w:val="00133D61"/>
    <w:rsid w:val="00190434"/>
    <w:rsid w:val="00195E1C"/>
    <w:rsid w:val="001A29BC"/>
    <w:rsid w:val="001B3E15"/>
    <w:rsid w:val="001B7AAC"/>
    <w:rsid w:val="001E5027"/>
    <w:rsid w:val="001E7A94"/>
    <w:rsid w:val="00205B82"/>
    <w:rsid w:val="00211B4C"/>
    <w:rsid w:val="0021529B"/>
    <w:rsid w:val="00224DBB"/>
    <w:rsid w:val="00230AF9"/>
    <w:rsid w:val="00242AC5"/>
    <w:rsid w:val="002476FE"/>
    <w:rsid w:val="00262D10"/>
    <w:rsid w:val="0028382A"/>
    <w:rsid w:val="0028512E"/>
    <w:rsid w:val="002A37E4"/>
    <w:rsid w:val="002B6FE2"/>
    <w:rsid w:val="002B7147"/>
    <w:rsid w:val="002B7BBC"/>
    <w:rsid w:val="002C753D"/>
    <w:rsid w:val="002D38E7"/>
    <w:rsid w:val="002E12AB"/>
    <w:rsid w:val="002E442B"/>
    <w:rsid w:val="00301816"/>
    <w:rsid w:val="00307F91"/>
    <w:rsid w:val="003146CE"/>
    <w:rsid w:val="00317968"/>
    <w:rsid w:val="00322389"/>
    <w:rsid w:val="00322852"/>
    <w:rsid w:val="00331B2A"/>
    <w:rsid w:val="003519BB"/>
    <w:rsid w:val="003548BB"/>
    <w:rsid w:val="00383844"/>
    <w:rsid w:val="00383F8E"/>
    <w:rsid w:val="003B1138"/>
    <w:rsid w:val="003E28D8"/>
    <w:rsid w:val="003E626A"/>
    <w:rsid w:val="00426767"/>
    <w:rsid w:val="00434537"/>
    <w:rsid w:val="00444566"/>
    <w:rsid w:val="004541EF"/>
    <w:rsid w:val="00463DDF"/>
    <w:rsid w:val="00474F6D"/>
    <w:rsid w:val="00494A0D"/>
    <w:rsid w:val="004B0316"/>
    <w:rsid w:val="004B7910"/>
    <w:rsid w:val="00503D4B"/>
    <w:rsid w:val="00506AE9"/>
    <w:rsid w:val="005360CE"/>
    <w:rsid w:val="00580FF1"/>
    <w:rsid w:val="00587C31"/>
    <w:rsid w:val="00591211"/>
    <w:rsid w:val="00593A18"/>
    <w:rsid w:val="005B030A"/>
    <w:rsid w:val="005C4617"/>
    <w:rsid w:val="005D278B"/>
    <w:rsid w:val="005E17A8"/>
    <w:rsid w:val="005E45E2"/>
    <w:rsid w:val="005F7D2A"/>
    <w:rsid w:val="00617A96"/>
    <w:rsid w:val="0063157A"/>
    <w:rsid w:val="00637B91"/>
    <w:rsid w:val="00654806"/>
    <w:rsid w:val="00666BB8"/>
    <w:rsid w:val="006725C9"/>
    <w:rsid w:val="006833A4"/>
    <w:rsid w:val="006A2B86"/>
    <w:rsid w:val="006C6C05"/>
    <w:rsid w:val="006F09C6"/>
    <w:rsid w:val="00713B81"/>
    <w:rsid w:val="00714608"/>
    <w:rsid w:val="007249B3"/>
    <w:rsid w:val="00740613"/>
    <w:rsid w:val="007537E1"/>
    <w:rsid w:val="00754954"/>
    <w:rsid w:val="00755CDA"/>
    <w:rsid w:val="0077618E"/>
    <w:rsid w:val="00781027"/>
    <w:rsid w:val="0078102A"/>
    <w:rsid w:val="007B6CEE"/>
    <w:rsid w:val="007B7296"/>
    <w:rsid w:val="007C1E5C"/>
    <w:rsid w:val="007D205F"/>
    <w:rsid w:val="007D484E"/>
    <w:rsid w:val="007E1BD3"/>
    <w:rsid w:val="007F2C25"/>
    <w:rsid w:val="00811203"/>
    <w:rsid w:val="0082057E"/>
    <w:rsid w:val="00852F16"/>
    <w:rsid w:val="0085797A"/>
    <w:rsid w:val="00857A50"/>
    <w:rsid w:val="00872AC6"/>
    <w:rsid w:val="008906C3"/>
    <w:rsid w:val="008B3C8F"/>
    <w:rsid w:val="008D4F77"/>
    <w:rsid w:val="008E2F00"/>
    <w:rsid w:val="008E709B"/>
    <w:rsid w:val="00917C55"/>
    <w:rsid w:val="00920BB8"/>
    <w:rsid w:val="00932287"/>
    <w:rsid w:val="00942C16"/>
    <w:rsid w:val="00944780"/>
    <w:rsid w:val="009611AB"/>
    <w:rsid w:val="00967F61"/>
    <w:rsid w:val="00980609"/>
    <w:rsid w:val="00996634"/>
    <w:rsid w:val="009A00DA"/>
    <w:rsid w:val="009A7115"/>
    <w:rsid w:val="009D25C1"/>
    <w:rsid w:val="009D58D8"/>
    <w:rsid w:val="009D6168"/>
    <w:rsid w:val="009E4787"/>
    <w:rsid w:val="009F373C"/>
    <w:rsid w:val="00A21DE8"/>
    <w:rsid w:val="00A66752"/>
    <w:rsid w:val="00A82389"/>
    <w:rsid w:val="00AB2060"/>
    <w:rsid w:val="00AB2489"/>
    <w:rsid w:val="00AC01EF"/>
    <w:rsid w:val="00AD7790"/>
    <w:rsid w:val="00AE37C1"/>
    <w:rsid w:val="00B10ED8"/>
    <w:rsid w:val="00B21B50"/>
    <w:rsid w:val="00B24EDF"/>
    <w:rsid w:val="00B25AAF"/>
    <w:rsid w:val="00B403E1"/>
    <w:rsid w:val="00B863F7"/>
    <w:rsid w:val="00B90288"/>
    <w:rsid w:val="00B92B50"/>
    <w:rsid w:val="00B962FD"/>
    <w:rsid w:val="00BA7978"/>
    <w:rsid w:val="00BB6165"/>
    <w:rsid w:val="00C0127C"/>
    <w:rsid w:val="00C316BF"/>
    <w:rsid w:val="00C3214A"/>
    <w:rsid w:val="00C40367"/>
    <w:rsid w:val="00C41904"/>
    <w:rsid w:val="00C44C31"/>
    <w:rsid w:val="00C72D4E"/>
    <w:rsid w:val="00C75154"/>
    <w:rsid w:val="00C76F31"/>
    <w:rsid w:val="00C83B7C"/>
    <w:rsid w:val="00C85C0A"/>
    <w:rsid w:val="00C945AA"/>
    <w:rsid w:val="00C946D0"/>
    <w:rsid w:val="00CA5E57"/>
    <w:rsid w:val="00CB2A25"/>
    <w:rsid w:val="00CD6E07"/>
    <w:rsid w:val="00D07F14"/>
    <w:rsid w:val="00D17A0F"/>
    <w:rsid w:val="00D216CC"/>
    <w:rsid w:val="00D223F6"/>
    <w:rsid w:val="00D67C43"/>
    <w:rsid w:val="00D71562"/>
    <w:rsid w:val="00D8751B"/>
    <w:rsid w:val="00D96F98"/>
    <w:rsid w:val="00DA40C9"/>
    <w:rsid w:val="00DC759A"/>
    <w:rsid w:val="00DD24A9"/>
    <w:rsid w:val="00DD6E35"/>
    <w:rsid w:val="00E0685D"/>
    <w:rsid w:val="00E101BD"/>
    <w:rsid w:val="00E1050F"/>
    <w:rsid w:val="00E16B38"/>
    <w:rsid w:val="00E3681B"/>
    <w:rsid w:val="00E43DD6"/>
    <w:rsid w:val="00E529A5"/>
    <w:rsid w:val="00E57A59"/>
    <w:rsid w:val="00E57B0F"/>
    <w:rsid w:val="00E75D12"/>
    <w:rsid w:val="00E812EC"/>
    <w:rsid w:val="00E82610"/>
    <w:rsid w:val="00E8466A"/>
    <w:rsid w:val="00ED154D"/>
    <w:rsid w:val="00ED47CE"/>
    <w:rsid w:val="00EE0BB2"/>
    <w:rsid w:val="00EE722D"/>
    <w:rsid w:val="00EF26E9"/>
    <w:rsid w:val="00EF7689"/>
    <w:rsid w:val="00F0198B"/>
    <w:rsid w:val="00F10902"/>
    <w:rsid w:val="00F23F30"/>
    <w:rsid w:val="00F442F5"/>
    <w:rsid w:val="00F47F85"/>
    <w:rsid w:val="00F80723"/>
    <w:rsid w:val="00F86172"/>
    <w:rsid w:val="00FC29E6"/>
    <w:rsid w:val="00FC6B47"/>
    <w:rsid w:val="00FE5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F5645"/>
  <w15:docId w15:val="{2B69E23D-1D97-40D6-B0DD-3DF04F0A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ED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ED8"/>
    <w:pPr>
      <w:ind w:left="720"/>
    </w:pPr>
  </w:style>
  <w:style w:type="paragraph" w:styleId="BalloonText">
    <w:name w:val="Balloon Text"/>
    <w:basedOn w:val="Normal"/>
    <w:link w:val="BalloonTextChar"/>
    <w:uiPriority w:val="99"/>
    <w:semiHidden/>
    <w:unhideWhenUsed/>
    <w:rsid w:val="009D6168"/>
    <w:rPr>
      <w:rFonts w:ascii="Tahoma" w:hAnsi="Tahoma" w:cs="Tahoma"/>
      <w:sz w:val="16"/>
      <w:szCs w:val="16"/>
    </w:rPr>
  </w:style>
  <w:style w:type="character" w:customStyle="1" w:styleId="BalloonTextChar">
    <w:name w:val="Balloon Text Char"/>
    <w:basedOn w:val="DefaultParagraphFont"/>
    <w:link w:val="BalloonText"/>
    <w:uiPriority w:val="99"/>
    <w:semiHidden/>
    <w:rsid w:val="009D6168"/>
    <w:rPr>
      <w:rFonts w:ascii="Tahoma" w:hAnsi="Tahoma" w:cs="Tahoma"/>
      <w:sz w:val="16"/>
      <w:szCs w:val="16"/>
    </w:rPr>
  </w:style>
  <w:style w:type="character" w:styleId="Hyperlink">
    <w:name w:val="Hyperlink"/>
    <w:basedOn w:val="DefaultParagraphFont"/>
    <w:uiPriority w:val="99"/>
    <w:unhideWhenUsed/>
    <w:rsid w:val="003519BB"/>
    <w:rPr>
      <w:color w:val="0000FF" w:themeColor="hyperlink"/>
      <w:u w:val="single"/>
    </w:rPr>
  </w:style>
  <w:style w:type="paragraph" w:styleId="Header">
    <w:name w:val="header"/>
    <w:basedOn w:val="Normal"/>
    <w:link w:val="HeaderChar"/>
    <w:uiPriority w:val="99"/>
    <w:unhideWhenUsed/>
    <w:rsid w:val="00F80723"/>
    <w:pPr>
      <w:tabs>
        <w:tab w:val="center" w:pos="4680"/>
        <w:tab w:val="right" w:pos="9360"/>
      </w:tabs>
    </w:pPr>
  </w:style>
  <w:style w:type="character" w:customStyle="1" w:styleId="HeaderChar">
    <w:name w:val="Header Char"/>
    <w:basedOn w:val="DefaultParagraphFont"/>
    <w:link w:val="Header"/>
    <w:uiPriority w:val="99"/>
    <w:rsid w:val="00F80723"/>
    <w:rPr>
      <w:rFonts w:ascii="Times New Roman" w:hAnsi="Times New Roman" w:cs="Times New Roman"/>
      <w:sz w:val="24"/>
      <w:szCs w:val="24"/>
    </w:rPr>
  </w:style>
  <w:style w:type="paragraph" w:styleId="Footer">
    <w:name w:val="footer"/>
    <w:basedOn w:val="Normal"/>
    <w:link w:val="FooterChar"/>
    <w:uiPriority w:val="99"/>
    <w:unhideWhenUsed/>
    <w:rsid w:val="00F80723"/>
    <w:pPr>
      <w:tabs>
        <w:tab w:val="center" w:pos="4680"/>
        <w:tab w:val="right" w:pos="9360"/>
      </w:tabs>
    </w:pPr>
  </w:style>
  <w:style w:type="character" w:customStyle="1" w:styleId="FooterChar">
    <w:name w:val="Footer Char"/>
    <w:basedOn w:val="DefaultParagraphFont"/>
    <w:link w:val="Footer"/>
    <w:uiPriority w:val="99"/>
    <w:rsid w:val="00F8072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E10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8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ic-my.sharepoint.com/personal/lydia_palmer_glic_com/Documents/2026%20Planning/Rebrand%202026/2026%20content/2026%20content/may/www.americanbar.org/groups/real_property_trust_estate/resources/estate-planning/glossar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mericanbar.org/groups/real_property_trust_estate/resources/estate-planning/glossary/"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rwcdar</dc:creator>
  <cp:lastModifiedBy>Lydia Palmer</cp:lastModifiedBy>
  <cp:revision>6</cp:revision>
  <cp:lastPrinted>2014-10-27T20:00:00Z</cp:lastPrinted>
  <dcterms:created xsi:type="dcterms:W3CDTF">2026-04-16T20:28:00Z</dcterms:created>
  <dcterms:modified xsi:type="dcterms:W3CDTF">2026-04-16T20:35:00Z</dcterms:modified>
</cp:coreProperties>
</file>