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ED3EB" w14:textId="77777777" w:rsidR="00231FE3" w:rsidRPr="00A354DF" w:rsidRDefault="00231FE3" w:rsidP="00231FE3">
      <w:pPr>
        <w:jc w:val="center"/>
        <w:rPr>
          <w:rFonts w:ascii="Garamond" w:hAnsi="Garamond"/>
          <w:b/>
          <w:bCs/>
        </w:rPr>
      </w:pPr>
      <w:r w:rsidRPr="00A354DF">
        <w:rPr>
          <w:rFonts w:ascii="Garamond" w:hAnsi="Garamond"/>
          <w:b/>
          <w:bCs/>
          <w:noProof/>
        </w:rPr>
        <w:drawing>
          <wp:inline distT="0" distB="0" distL="0" distR="0" wp14:anchorId="0DF4CE8B" wp14:editId="0F34A98D">
            <wp:extent cx="2314575" cy="1030047"/>
            <wp:effectExtent l="0" t="0" r="0" b="0"/>
            <wp:docPr id="974710280" name="Picture 1" descr="A blue and green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710280" name="Picture 1" descr="A blue and green text on a white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2238" cy="1037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321AE" w14:textId="77777777" w:rsidR="000E702C" w:rsidRDefault="000E702C" w:rsidP="00ED47ED"/>
    <w:p w14:paraId="5D24670A" w14:textId="06DED191" w:rsidR="000E702C" w:rsidRPr="00231FE3" w:rsidRDefault="000E702C" w:rsidP="00231FE3">
      <w:pPr>
        <w:spacing w:before="180" w:after="0" w:line="300" w:lineRule="atLeast"/>
        <w:jc w:val="center"/>
        <w:rPr>
          <w:rFonts w:ascii="Garamond" w:hAnsi="Garamond"/>
          <w:b/>
          <w:bCs/>
          <w:color w:val="002060"/>
          <w:sz w:val="28"/>
          <w:szCs w:val="28"/>
        </w:rPr>
      </w:pPr>
      <w:r w:rsidRPr="00231FE3">
        <w:rPr>
          <w:rFonts w:ascii="Garamond" w:hAnsi="Garamond"/>
          <w:b/>
          <w:bCs/>
          <w:color w:val="002060"/>
          <w:sz w:val="28"/>
          <w:szCs w:val="28"/>
        </w:rPr>
        <w:t xml:space="preserve">Eight Reasons </w:t>
      </w:r>
      <w:r w:rsidR="006D6243" w:rsidRPr="00231FE3">
        <w:rPr>
          <w:rFonts w:ascii="Garamond" w:hAnsi="Garamond"/>
          <w:b/>
          <w:bCs/>
          <w:color w:val="002060"/>
          <w:sz w:val="28"/>
          <w:szCs w:val="28"/>
        </w:rPr>
        <w:t>Retirement Should Wait</w:t>
      </w:r>
    </w:p>
    <w:p w14:paraId="2DCF6094" w14:textId="6573EE3B" w:rsidR="00512CFF" w:rsidRPr="00231FE3" w:rsidRDefault="00E45E53" w:rsidP="00231FE3">
      <w:pPr>
        <w:spacing w:before="180" w:after="0" w:line="300" w:lineRule="atLeast"/>
        <w:rPr>
          <w:rFonts w:ascii="Garamond" w:hAnsi="Garamond"/>
        </w:rPr>
      </w:pPr>
      <w:r w:rsidRPr="00231FE3">
        <w:rPr>
          <w:rFonts w:ascii="Garamond" w:hAnsi="Garamond"/>
        </w:rPr>
        <w:t>You’re f</w:t>
      </w:r>
      <w:r w:rsidR="00164B93" w:rsidRPr="00231FE3">
        <w:rPr>
          <w:rFonts w:ascii="Garamond" w:hAnsi="Garamond"/>
        </w:rPr>
        <w:t>rustrated with the daily grind</w:t>
      </w:r>
      <w:r w:rsidR="00B63EBB" w:rsidRPr="00231FE3">
        <w:rPr>
          <w:rFonts w:ascii="Garamond" w:hAnsi="Garamond"/>
        </w:rPr>
        <w:t>. Y</w:t>
      </w:r>
      <w:r w:rsidRPr="00231FE3">
        <w:rPr>
          <w:rFonts w:ascii="Garamond" w:hAnsi="Garamond"/>
        </w:rPr>
        <w:t>ou d</w:t>
      </w:r>
      <w:r w:rsidR="00164B93" w:rsidRPr="00231FE3">
        <w:rPr>
          <w:rFonts w:ascii="Garamond" w:hAnsi="Garamond"/>
        </w:rPr>
        <w:t>on’t like the new boss</w:t>
      </w:r>
      <w:r w:rsidR="00B63EBB" w:rsidRPr="00231FE3">
        <w:rPr>
          <w:rFonts w:ascii="Garamond" w:hAnsi="Garamond"/>
        </w:rPr>
        <w:t>. Y</w:t>
      </w:r>
      <w:r w:rsidRPr="00231FE3">
        <w:rPr>
          <w:rFonts w:ascii="Garamond" w:hAnsi="Garamond"/>
        </w:rPr>
        <w:t xml:space="preserve">our </w:t>
      </w:r>
      <w:r w:rsidR="004137C0" w:rsidRPr="00231FE3">
        <w:rPr>
          <w:rFonts w:ascii="Garamond" w:hAnsi="Garamond"/>
        </w:rPr>
        <w:t xml:space="preserve">co-workers aren’t </w:t>
      </w:r>
      <w:r w:rsidR="003E1A83" w:rsidRPr="00231FE3">
        <w:rPr>
          <w:rFonts w:ascii="Garamond" w:hAnsi="Garamond"/>
        </w:rPr>
        <w:t>great</w:t>
      </w:r>
      <w:r w:rsidRPr="00231FE3">
        <w:rPr>
          <w:rFonts w:ascii="Garamond" w:hAnsi="Garamond"/>
        </w:rPr>
        <w:t xml:space="preserve"> </w:t>
      </w:r>
      <w:r w:rsidR="00913395">
        <w:rPr>
          <w:rFonts w:ascii="Garamond" w:hAnsi="Garamond"/>
        </w:rPr>
        <w:t>and</w:t>
      </w:r>
      <w:r w:rsidRPr="00231FE3">
        <w:rPr>
          <w:rFonts w:ascii="Garamond" w:hAnsi="Garamond"/>
        </w:rPr>
        <w:t xml:space="preserve"> they’re getting paid more than you </w:t>
      </w:r>
      <w:r w:rsidR="0047303E">
        <w:rPr>
          <w:rFonts w:ascii="Garamond" w:hAnsi="Garamond"/>
        </w:rPr>
        <w:t>do</w:t>
      </w:r>
      <w:r w:rsidRPr="00231FE3">
        <w:rPr>
          <w:rFonts w:ascii="Garamond" w:hAnsi="Garamond"/>
        </w:rPr>
        <w:t xml:space="preserve"> for </w:t>
      </w:r>
      <w:r w:rsidR="00FE6D9C">
        <w:rPr>
          <w:rFonts w:ascii="Garamond" w:hAnsi="Garamond"/>
        </w:rPr>
        <w:t>the same</w:t>
      </w:r>
      <w:r w:rsidRPr="00231FE3">
        <w:rPr>
          <w:rFonts w:ascii="Garamond" w:hAnsi="Garamond"/>
        </w:rPr>
        <w:t xml:space="preserve"> job</w:t>
      </w:r>
      <w:r w:rsidR="00B63EBB" w:rsidRPr="00231FE3">
        <w:rPr>
          <w:rFonts w:ascii="Garamond" w:hAnsi="Garamond"/>
        </w:rPr>
        <w:t>.</w:t>
      </w:r>
      <w:r w:rsidR="008751B0" w:rsidRPr="00231FE3">
        <w:rPr>
          <w:rFonts w:ascii="Garamond" w:hAnsi="Garamond"/>
        </w:rPr>
        <w:t xml:space="preserve"> </w:t>
      </w:r>
      <w:r w:rsidRPr="00231FE3">
        <w:rPr>
          <w:rFonts w:ascii="Garamond" w:hAnsi="Garamond"/>
        </w:rPr>
        <w:t xml:space="preserve">You </w:t>
      </w:r>
      <w:r w:rsidR="002C1040" w:rsidRPr="00231FE3">
        <w:rPr>
          <w:rFonts w:ascii="Garamond" w:hAnsi="Garamond"/>
        </w:rPr>
        <w:t>can’t face the travel demands</w:t>
      </w:r>
      <w:r w:rsidR="00512CFF" w:rsidRPr="00231FE3">
        <w:rPr>
          <w:rFonts w:ascii="Garamond" w:hAnsi="Garamond"/>
        </w:rPr>
        <w:t>.</w:t>
      </w:r>
    </w:p>
    <w:p w14:paraId="10C0FC3B" w14:textId="18327BF9" w:rsidR="002C1040" w:rsidRPr="00231FE3" w:rsidRDefault="00512CFF" w:rsidP="00231FE3">
      <w:pPr>
        <w:spacing w:before="180" w:after="0" w:line="300" w:lineRule="atLeast"/>
        <w:rPr>
          <w:rFonts w:ascii="Garamond" w:hAnsi="Garamond"/>
        </w:rPr>
      </w:pPr>
      <w:r w:rsidRPr="00231FE3">
        <w:rPr>
          <w:rFonts w:ascii="Garamond" w:hAnsi="Garamond"/>
        </w:rPr>
        <w:t>I</w:t>
      </w:r>
      <w:r w:rsidR="002C1040" w:rsidRPr="00231FE3">
        <w:rPr>
          <w:rFonts w:ascii="Garamond" w:hAnsi="Garamond"/>
        </w:rPr>
        <w:t xml:space="preserve">’ve heard a wide range of reasons people say they are </w:t>
      </w:r>
      <w:r w:rsidR="009A7030">
        <w:rPr>
          <w:rFonts w:ascii="Garamond" w:hAnsi="Garamond"/>
        </w:rPr>
        <w:t>‘out the door’ as soon as possi</w:t>
      </w:r>
      <w:r w:rsidR="002C1040" w:rsidRPr="00231FE3">
        <w:rPr>
          <w:rFonts w:ascii="Garamond" w:hAnsi="Garamond"/>
        </w:rPr>
        <w:t>ble.</w:t>
      </w:r>
      <w:r w:rsidR="00941796" w:rsidRPr="00231FE3">
        <w:rPr>
          <w:rFonts w:ascii="Garamond" w:hAnsi="Garamond"/>
        </w:rPr>
        <w:t xml:space="preserve"> </w:t>
      </w:r>
      <w:r w:rsidR="00AD32F1" w:rsidRPr="00231FE3">
        <w:rPr>
          <w:rFonts w:ascii="Garamond" w:hAnsi="Garamond"/>
        </w:rPr>
        <w:t>T</w:t>
      </w:r>
      <w:r w:rsidR="00467E64" w:rsidRPr="00231FE3">
        <w:rPr>
          <w:rFonts w:ascii="Garamond" w:hAnsi="Garamond"/>
        </w:rPr>
        <w:t>hese types of issues ca</w:t>
      </w:r>
      <w:r w:rsidR="00181C8B">
        <w:rPr>
          <w:rFonts w:ascii="Garamond" w:hAnsi="Garamond"/>
        </w:rPr>
        <w:t>n be a heavy w</w:t>
      </w:r>
      <w:r w:rsidR="00AD32F1" w:rsidRPr="00231FE3">
        <w:rPr>
          <w:rFonts w:ascii="Garamond" w:hAnsi="Garamond"/>
        </w:rPr>
        <w:t xml:space="preserve">eight </w:t>
      </w:r>
      <w:r w:rsidR="00467E64" w:rsidRPr="00231FE3">
        <w:rPr>
          <w:rFonts w:ascii="Garamond" w:hAnsi="Garamond"/>
        </w:rPr>
        <w:t xml:space="preserve">on a person after decades of working. </w:t>
      </w:r>
      <w:r w:rsidR="00BF1B1E" w:rsidRPr="00231FE3">
        <w:rPr>
          <w:rFonts w:ascii="Garamond" w:hAnsi="Garamond"/>
        </w:rPr>
        <w:t xml:space="preserve">The emotions and physical demands of a job are absolutely factors to weigh, but there are a number of other </w:t>
      </w:r>
      <w:r w:rsidR="00B9072B" w:rsidRPr="00231FE3">
        <w:rPr>
          <w:rFonts w:ascii="Garamond" w:hAnsi="Garamond"/>
        </w:rPr>
        <w:t>life and financial elements</w:t>
      </w:r>
      <w:r w:rsidR="00BF1B1E" w:rsidRPr="00231FE3">
        <w:rPr>
          <w:rFonts w:ascii="Garamond" w:hAnsi="Garamond"/>
        </w:rPr>
        <w:t xml:space="preserve"> that suggest that </w:t>
      </w:r>
      <w:r w:rsidR="00B9072B" w:rsidRPr="00231FE3">
        <w:rPr>
          <w:rFonts w:ascii="Garamond" w:hAnsi="Garamond"/>
        </w:rPr>
        <w:t>you may need to hang in</w:t>
      </w:r>
      <w:r w:rsidR="002A633E" w:rsidRPr="00231FE3">
        <w:rPr>
          <w:rFonts w:ascii="Garamond" w:hAnsi="Garamond"/>
        </w:rPr>
        <w:t xml:space="preserve"> a little longer</w:t>
      </w:r>
      <w:r w:rsidR="003142B5">
        <w:rPr>
          <w:rFonts w:ascii="Garamond" w:hAnsi="Garamond"/>
        </w:rPr>
        <w:t xml:space="preserve"> – either in your current job or another one</w:t>
      </w:r>
      <w:r w:rsidR="002A633E" w:rsidRPr="00231FE3">
        <w:rPr>
          <w:rFonts w:ascii="Garamond" w:hAnsi="Garamond"/>
        </w:rPr>
        <w:t xml:space="preserve">. </w:t>
      </w:r>
    </w:p>
    <w:p w14:paraId="0C830149" w14:textId="5E370C17" w:rsidR="00ED47ED" w:rsidRPr="00231FE3" w:rsidRDefault="004E7027" w:rsidP="00231FE3">
      <w:pPr>
        <w:spacing w:before="180" w:after="0" w:line="300" w:lineRule="atLeast"/>
        <w:rPr>
          <w:rFonts w:ascii="Garamond" w:hAnsi="Garamond"/>
        </w:rPr>
      </w:pPr>
      <w:r w:rsidRPr="00231FE3">
        <w:rPr>
          <w:rFonts w:ascii="Garamond" w:hAnsi="Garamond"/>
        </w:rPr>
        <w:t xml:space="preserve">If you’re thinking about retiring, </w:t>
      </w:r>
      <w:r w:rsidR="00FF43D7">
        <w:rPr>
          <w:rFonts w:ascii="Garamond" w:hAnsi="Garamond"/>
          <w:b/>
          <w:bCs/>
          <w:i/>
          <w:iCs/>
        </w:rPr>
        <w:t>a first step to consider</w:t>
      </w:r>
      <w:r w:rsidR="00D04194" w:rsidRPr="00716A0C">
        <w:rPr>
          <w:rFonts w:ascii="Garamond" w:hAnsi="Garamond"/>
          <w:b/>
          <w:bCs/>
          <w:i/>
          <w:iCs/>
        </w:rPr>
        <w:t xml:space="preserve"> is to</w:t>
      </w:r>
      <w:r w:rsidR="00D04194" w:rsidRPr="00231FE3">
        <w:rPr>
          <w:rFonts w:ascii="Garamond" w:hAnsi="Garamond"/>
        </w:rPr>
        <w:t xml:space="preserve"> </w:t>
      </w:r>
      <w:r w:rsidR="00D04194" w:rsidRPr="00716A0C">
        <w:rPr>
          <w:rFonts w:ascii="Garamond" w:hAnsi="Garamond"/>
          <w:b/>
          <w:bCs/>
          <w:i/>
          <w:iCs/>
        </w:rPr>
        <w:t>have</w:t>
      </w:r>
      <w:r w:rsidR="002A633E" w:rsidRPr="00716A0C">
        <w:rPr>
          <w:rFonts w:ascii="Garamond" w:hAnsi="Garamond"/>
          <w:b/>
          <w:bCs/>
          <w:i/>
          <w:iCs/>
        </w:rPr>
        <w:t xml:space="preserve"> a solid r</w:t>
      </w:r>
      <w:r w:rsidR="00ED47ED" w:rsidRPr="00716A0C">
        <w:rPr>
          <w:rFonts w:ascii="Garamond" w:hAnsi="Garamond"/>
          <w:b/>
          <w:bCs/>
          <w:i/>
          <w:iCs/>
        </w:rPr>
        <w:t>etirement income projection</w:t>
      </w:r>
      <w:r w:rsidR="002A633E" w:rsidRPr="00716A0C">
        <w:rPr>
          <w:rFonts w:ascii="Garamond" w:hAnsi="Garamond"/>
          <w:b/>
          <w:bCs/>
          <w:i/>
          <w:iCs/>
        </w:rPr>
        <w:t xml:space="preserve"> </w:t>
      </w:r>
      <w:r w:rsidR="002A142A" w:rsidRPr="00716A0C">
        <w:rPr>
          <w:rFonts w:ascii="Garamond" w:hAnsi="Garamond"/>
          <w:b/>
          <w:bCs/>
          <w:i/>
          <w:iCs/>
        </w:rPr>
        <w:t>created</w:t>
      </w:r>
      <w:r w:rsidR="002A633E" w:rsidRPr="00231FE3">
        <w:rPr>
          <w:rFonts w:ascii="Garamond" w:hAnsi="Garamond"/>
        </w:rPr>
        <w:t xml:space="preserve"> </w:t>
      </w:r>
      <w:r w:rsidR="00C54052" w:rsidRPr="00231FE3">
        <w:rPr>
          <w:rFonts w:ascii="Garamond" w:hAnsi="Garamond"/>
        </w:rPr>
        <w:t xml:space="preserve">so you know how your annual income will change </w:t>
      </w:r>
      <w:r w:rsidR="00D04194" w:rsidRPr="00231FE3">
        <w:rPr>
          <w:rFonts w:ascii="Garamond" w:hAnsi="Garamond"/>
        </w:rPr>
        <w:t>if you stop working</w:t>
      </w:r>
      <w:r w:rsidR="002D0A3D" w:rsidRPr="00231FE3">
        <w:rPr>
          <w:rFonts w:ascii="Garamond" w:hAnsi="Garamond"/>
        </w:rPr>
        <w:t xml:space="preserve">. In addition, </w:t>
      </w:r>
      <w:r w:rsidR="00727C91" w:rsidRPr="00231FE3">
        <w:rPr>
          <w:rFonts w:ascii="Garamond" w:hAnsi="Garamond"/>
        </w:rPr>
        <w:t>it’s also highly valuable to develop</w:t>
      </w:r>
      <w:r w:rsidR="002D0A3D" w:rsidRPr="00231FE3">
        <w:rPr>
          <w:rFonts w:ascii="Garamond" w:hAnsi="Garamond"/>
        </w:rPr>
        <w:t xml:space="preserve"> a </w:t>
      </w:r>
      <w:r w:rsidR="00ED47ED" w:rsidRPr="00231FE3">
        <w:rPr>
          <w:rFonts w:ascii="Garamond" w:hAnsi="Garamond"/>
        </w:rPr>
        <w:t>plan that includes how your portfolio would respond and</w:t>
      </w:r>
      <w:r w:rsidR="001C5D02" w:rsidRPr="00231FE3">
        <w:rPr>
          <w:rFonts w:ascii="Garamond" w:hAnsi="Garamond"/>
        </w:rPr>
        <w:t xml:space="preserve"> how</w:t>
      </w:r>
      <w:r w:rsidR="00ED47ED" w:rsidRPr="00231FE3">
        <w:rPr>
          <w:rFonts w:ascii="Garamond" w:hAnsi="Garamond"/>
        </w:rPr>
        <w:t xml:space="preserve"> your income would change based on adverse situations like significant </w:t>
      </w:r>
      <w:r w:rsidR="001C5D02" w:rsidRPr="00231FE3">
        <w:rPr>
          <w:rFonts w:ascii="Garamond" w:hAnsi="Garamond"/>
        </w:rPr>
        <w:t>market drops</w:t>
      </w:r>
      <w:r w:rsidR="00ED47ED" w:rsidRPr="00231FE3">
        <w:rPr>
          <w:rFonts w:ascii="Garamond" w:hAnsi="Garamond"/>
        </w:rPr>
        <w:t>, a lengthy illness</w:t>
      </w:r>
      <w:r w:rsidR="00286499" w:rsidRPr="00231FE3">
        <w:rPr>
          <w:rFonts w:ascii="Garamond" w:hAnsi="Garamond"/>
        </w:rPr>
        <w:t xml:space="preserve"> and </w:t>
      </w:r>
      <w:r w:rsidR="00ED47ED" w:rsidRPr="00231FE3">
        <w:rPr>
          <w:rFonts w:ascii="Garamond" w:hAnsi="Garamond"/>
        </w:rPr>
        <w:t>the need for professional caregivers</w:t>
      </w:r>
      <w:r w:rsidR="002D0A3D" w:rsidRPr="00231FE3">
        <w:rPr>
          <w:rFonts w:ascii="Garamond" w:hAnsi="Garamond"/>
        </w:rPr>
        <w:t xml:space="preserve">, </w:t>
      </w:r>
      <w:r w:rsidR="00286499" w:rsidRPr="00231FE3">
        <w:rPr>
          <w:rFonts w:ascii="Garamond" w:hAnsi="Garamond"/>
        </w:rPr>
        <w:t>and</w:t>
      </w:r>
      <w:r w:rsidR="001C5D02" w:rsidRPr="00231FE3">
        <w:rPr>
          <w:rFonts w:ascii="Garamond" w:hAnsi="Garamond"/>
        </w:rPr>
        <w:t xml:space="preserve"> tax implications of your portfolio</w:t>
      </w:r>
      <w:r w:rsidR="0079263C" w:rsidRPr="00231FE3">
        <w:rPr>
          <w:rFonts w:ascii="Garamond" w:hAnsi="Garamond"/>
        </w:rPr>
        <w:t xml:space="preserve">. </w:t>
      </w:r>
      <w:r w:rsidR="009279B5">
        <w:rPr>
          <w:rFonts w:ascii="Garamond" w:hAnsi="Garamond"/>
        </w:rPr>
        <w:t>A qualified financial advisor can provide projections</w:t>
      </w:r>
      <w:r w:rsidR="0079263C" w:rsidRPr="00231FE3">
        <w:rPr>
          <w:rFonts w:ascii="Garamond" w:hAnsi="Garamond"/>
        </w:rPr>
        <w:t>.</w:t>
      </w:r>
    </w:p>
    <w:p w14:paraId="40A0744B" w14:textId="07737270" w:rsidR="0079263C" w:rsidRPr="00231FE3" w:rsidRDefault="00DF7A21" w:rsidP="00231FE3">
      <w:pPr>
        <w:spacing w:before="180" w:after="0" w:line="300" w:lineRule="atLeast"/>
        <w:rPr>
          <w:rFonts w:ascii="Garamond" w:hAnsi="Garamond"/>
        </w:rPr>
      </w:pPr>
      <w:r>
        <w:rPr>
          <w:rFonts w:ascii="Garamond" w:hAnsi="Garamond"/>
        </w:rPr>
        <w:t xml:space="preserve">Even </w:t>
      </w:r>
      <w:r w:rsidR="0097715C">
        <w:rPr>
          <w:rFonts w:ascii="Garamond" w:hAnsi="Garamond"/>
        </w:rPr>
        <w:t>if your</w:t>
      </w:r>
      <w:r>
        <w:rPr>
          <w:rFonts w:ascii="Garamond" w:hAnsi="Garamond"/>
        </w:rPr>
        <w:t xml:space="preserve"> projection</w:t>
      </w:r>
      <w:r w:rsidR="0097715C">
        <w:rPr>
          <w:rFonts w:ascii="Garamond" w:hAnsi="Garamond"/>
        </w:rPr>
        <w:t xml:space="preserve"> looks good</w:t>
      </w:r>
      <w:r w:rsidR="002A142A" w:rsidRPr="00231FE3">
        <w:rPr>
          <w:rFonts w:ascii="Garamond" w:hAnsi="Garamond"/>
        </w:rPr>
        <w:t xml:space="preserve">, there are signals that you might want to </w:t>
      </w:r>
      <w:r w:rsidR="00294C73" w:rsidRPr="00231FE3">
        <w:rPr>
          <w:rFonts w:ascii="Garamond" w:hAnsi="Garamond"/>
        </w:rPr>
        <w:t xml:space="preserve">continue </w:t>
      </w:r>
      <w:r w:rsidR="00D06533" w:rsidRPr="00231FE3">
        <w:rPr>
          <w:rFonts w:ascii="Garamond" w:hAnsi="Garamond"/>
        </w:rPr>
        <w:t>working for</w:t>
      </w:r>
      <w:r w:rsidR="00294C73" w:rsidRPr="00231FE3">
        <w:rPr>
          <w:rFonts w:ascii="Garamond" w:hAnsi="Garamond"/>
        </w:rPr>
        <w:t xml:space="preserve"> at least a few more years</w:t>
      </w:r>
      <w:r w:rsidR="00D41BE0" w:rsidRPr="00231FE3">
        <w:rPr>
          <w:rFonts w:ascii="Garamond" w:hAnsi="Garamond"/>
        </w:rPr>
        <w:t xml:space="preserve">. Here are </w:t>
      </w:r>
      <w:r w:rsidR="00941796" w:rsidRPr="00231FE3">
        <w:rPr>
          <w:rFonts w:ascii="Garamond" w:hAnsi="Garamond"/>
        </w:rPr>
        <w:t>eight you should consider</w:t>
      </w:r>
      <w:r w:rsidR="00D41BE0" w:rsidRPr="00231FE3">
        <w:rPr>
          <w:rFonts w:ascii="Garamond" w:hAnsi="Garamond"/>
        </w:rPr>
        <w:t>:</w:t>
      </w:r>
    </w:p>
    <w:p w14:paraId="67955AF9" w14:textId="01BE5F48" w:rsidR="00C520A2" w:rsidRPr="00314BED" w:rsidRDefault="00004C6C" w:rsidP="00314BED">
      <w:pPr>
        <w:pStyle w:val="ListParagraph"/>
        <w:numPr>
          <w:ilvl w:val="0"/>
          <w:numId w:val="1"/>
        </w:numPr>
        <w:spacing w:before="180" w:after="0" w:line="300" w:lineRule="atLeast"/>
        <w:contextualSpacing w:val="0"/>
        <w:rPr>
          <w:rFonts w:ascii="Garamond" w:hAnsi="Garamond"/>
          <w:b/>
          <w:bCs/>
          <w:i/>
          <w:iCs/>
        </w:rPr>
      </w:pPr>
      <w:r w:rsidRPr="00314BED">
        <w:rPr>
          <w:rFonts w:ascii="Garamond" w:hAnsi="Garamond"/>
          <w:b/>
          <w:bCs/>
          <w:i/>
          <w:iCs/>
          <w:color w:val="002060"/>
        </w:rPr>
        <w:t xml:space="preserve">You and your </w:t>
      </w:r>
      <w:r w:rsidR="00123059" w:rsidRPr="00314BED">
        <w:rPr>
          <w:rFonts w:ascii="Garamond" w:hAnsi="Garamond"/>
          <w:b/>
          <w:bCs/>
          <w:i/>
          <w:iCs/>
          <w:color w:val="002060"/>
        </w:rPr>
        <w:t>partner</w:t>
      </w:r>
      <w:r w:rsidRPr="00314BED">
        <w:rPr>
          <w:rFonts w:ascii="Garamond" w:hAnsi="Garamond"/>
          <w:b/>
          <w:bCs/>
          <w:i/>
          <w:iCs/>
          <w:color w:val="002060"/>
        </w:rPr>
        <w:t xml:space="preserve"> don’t agree on </w:t>
      </w:r>
      <w:r w:rsidR="002025C4" w:rsidRPr="00314BED">
        <w:rPr>
          <w:rFonts w:ascii="Garamond" w:hAnsi="Garamond"/>
          <w:b/>
          <w:bCs/>
          <w:i/>
          <w:iCs/>
          <w:color w:val="002060"/>
        </w:rPr>
        <w:t>retiring</w:t>
      </w:r>
      <w:r w:rsidRPr="00314BED">
        <w:rPr>
          <w:rFonts w:ascii="Garamond" w:hAnsi="Garamond"/>
          <w:b/>
          <w:bCs/>
          <w:i/>
          <w:iCs/>
          <w:color w:val="002060"/>
        </w:rPr>
        <w:t>.</w:t>
      </w:r>
      <w:r w:rsidR="00D13C31" w:rsidRPr="00231FE3">
        <w:rPr>
          <w:rFonts w:ascii="Garamond" w:hAnsi="Garamond"/>
        </w:rPr>
        <w:t xml:space="preserve"> </w:t>
      </w:r>
      <w:r w:rsidR="002B2BC0" w:rsidRPr="00231FE3">
        <w:rPr>
          <w:rFonts w:ascii="Garamond" w:hAnsi="Garamond"/>
        </w:rPr>
        <w:t xml:space="preserve">There’s an </w:t>
      </w:r>
      <w:r w:rsidR="00D13C31" w:rsidRPr="00231FE3">
        <w:rPr>
          <w:rFonts w:ascii="Garamond" w:hAnsi="Garamond"/>
        </w:rPr>
        <w:t xml:space="preserve">old joke about retirement </w:t>
      </w:r>
      <w:r w:rsidR="00BC549D" w:rsidRPr="00231FE3">
        <w:rPr>
          <w:rFonts w:ascii="Garamond" w:hAnsi="Garamond"/>
        </w:rPr>
        <w:t>–you have twice as much spouse and half as much money.</w:t>
      </w:r>
      <w:r w:rsidR="00CE70C5">
        <w:rPr>
          <w:rFonts w:ascii="Garamond" w:hAnsi="Garamond"/>
        </w:rPr>
        <w:t xml:space="preserve"> That’s </w:t>
      </w:r>
      <w:r w:rsidR="00223290" w:rsidRPr="00231FE3">
        <w:rPr>
          <w:rFonts w:ascii="Garamond" w:hAnsi="Garamond"/>
        </w:rPr>
        <w:t xml:space="preserve">funny, </w:t>
      </w:r>
      <w:r w:rsidR="00CE70C5">
        <w:rPr>
          <w:rFonts w:ascii="Garamond" w:hAnsi="Garamond"/>
        </w:rPr>
        <w:t>but it</w:t>
      </w:r>
      <w:r w:rsidR="00223290" w:rsidRPr="00231FE3">
        <w:rPr>
          <w:rFonts w:ascii="Garamond" w:hAnsi="Garamond"/>
        </w:rPr>
        <w:t xml:space="preserve"> speaks to the </w:t>
      </w:r>
      <w:r w:rsidR="00FA586F" w:rsidRPr="00231FE3">
        <w:rPr>
          <w:rFonts w:ascii="Garamond" w:hAnsi="Garamond"/>
        </w:rPr>
        <w:t xml:space="preserve">impact on your relationship </w:t>
      </w:r>
      <w:r w:rsidR="00223290" w:rsidRPr="00231FE3">
        <w:rPr>
          <w:rFonts w:ascii="Garamond" w:hAnsi="Garamond"/>
        </w:rPr>
        <w:t>that retirement can have</w:t>
      </w:r>
      <w:r w:rsidR="00C520A2" w:rsidRPr="00231FE3">
        <w:rPr>
          <w:rFonts w:ascii="Garamond" w:hAnsi="Garamond"/>
        </w:rPr>
        <w:t xml:space="preserve">. </w:t>
      </w:r>
      <w:r w:rsidR="00EE36AB" w:rsidRPr="00231FE3">
        <w:rPr>
          <w:rFonts w:ascii="Garamond" w:hAnsi="Garamond"/>
        </w:rPr>
        <w:t>I</w:t>
      </w:r>
      <w:r w:rsidR="008C7458" w:rsidRPr="00231FE3">
        <w:rPr>
          <w:rFonts w:ascii="Garamond" w:hAnsi="Garamond"/>
        </w:rPr>
        <w:t xml:space="preserve">f </w:t>
      </w:r>
      <w:r w:rsidR="003550F6" w:rsidRPr="00231FE3">
        <w:rPr>
          <w:rFonts w:ascii="Garamond" w:hAnsi="Garamond"/>
        </w:rPr>
        <w:t>a</w:t>
      </w:r>
      <w:r w:rsidR="00202691" w:rsidRPr="00231FE3">
        <w:rPr>
          <w:rFonts w:ascii="Garamond" w:hAnsi="Garamond"/>
        </w:rPr>
        <w:t xml:space="preserve"> spouse or partner is</w:t>
      </w:r>
      <w:r w:rsidR="003550F6" w:rsidRPr="00231FE3">
        <w:rPr>
          <w:rFonts w:ascii="Garamond" w:hAnsi="Garamond"/>
        </w:rPr>
        <w:t xml:space="preserve"> unhappy or feels </w:t>
      </w:r>
      <w:r w:rsidR="00C520A2" w:rsidRPr="00231FE3">
        <w:rPr>
          <w:rFonts w:ascii="Garamond" w:hAnsi="Garamond"/>
        </w:rPr>
        <w:t xml:space="preserve">financially </w:t>
      </w:r>
      <w:r w:rsidR="003550F6" w:rsidRPr="00231FE3">
        <w:rPr>
          <w:rFonts w:ascii="Garamond" w:hAnsi="Garamond"/>
        </w:rPr>
        <w:t xml:space="preserve">unsafe about life in retirement, </w:t>
      </w:r>
      <w:r w:rsidR="00E31502" w:rsidRPr="00231FE3">
        <w:rPr>
          <w:rFonts w:ascii="Garamond" w:hAnsi="Garamond"/>
        </w:rPr>
        <w:t xml:space="preserve">it </w:t>
      </w:r>
      <w:r w:rsidR="00CE70C5">
        <w:rPr>
          <w:rFonts w:ascii="Garamond" w:hAnsi="Garamond"/>
        </w:rPr>
        <w:t>may</w:t>
      </w:r>
      <w:r w:rsidR="00E31502" w:rsidRPr="00231FE3">
        <w:rPr>
          <w:rFonts w:ascii="Garamond" w:hAnsi="Garamond"/>
        </w:rPr>
        <w:t xml:space="preserve"> be a long retirement for both</w:t>
      </w:r>
      <w:r w:rsidR="008C7458" w:rsidRPr="00231FE3">
        <w:rPr>
          <w:rFonts w:ascii="Garamond" w:hAnsi="Garamond"/>
        </w:rPr>
        <w:t xml:space="preserve"> of you. </w:t>
      </w:r>
      <w:r w:rsidR="00F61E5F" w:rsidRPr="00231FE3">
        <w:rPr>
          <w:rFonts w:ascii="Garamond" w:hAnsi="Garamond"/>
        </w:rPr>
        <w:t>If you don’t agree</w:t>
      </w:r>
      <w:r w:rsidR="00337B76">
        <w:rPr>
          <w:rFonts w:ascii="Garamond" w:hAnsi="Garamond"/>
        </w:rPr>
        <w:t xml:space="preserve"> it’s time to retire</w:t>
      </w:r>
      <w:r w:rsidR="00F61E5F" w:rsidRPr="00231FE3">
        <w:rPr>
          <w:rFonts w:ascii="Garamond" w:hAnsi="Garamond"/>
        </w:rPr>
        <w:t xml:space="preserve">, find out why. If it’s the money, talk with an advisor for an unbiased assessment of your retirement readiness. </w:t>
      </w:r>
      <w:r w:rsidR="00EB290A" w:rsidRPr="00231FE3">
        <w:rPr>
          <w:rFonts w:ascii="Garamond" w:hAnsi="Garamond"/>
        </w:rPr>
        <w:t xml:space="preserve">If it’s other lifestyle or personal issues, work through them before you take on a major life change. </w:t>
      </w:r>
    </w:p>
    <w:p w14:paraId="13E66312" w14:textId="77777777" w:rsidR="00D76A90" w:rsidRDefault="00672316" w:rsidP="00ED2D63">
      <w:pPr>
        <w:pStyle w:val="ListParagraph"/>
        <w:numPr>
          <w:ilvl w:val="0"/>
          <w:numId w:val="1"/>
        </w:numPr>
        <w:spacing w:before="180" w:after="0" w:line="300" w:lineRule="atLeast"/>
        <w:contextualSpacing w:val="0"/>
        <w:rPr>
          <w:rFonts w:ascii="Garamond" w:hAnsi="Garamond"/>
        </w:rPr>
      </w:pPr>
      <w:r w:rsidRPr="009D3732">
        <w:rPr>
          <w:rFonts w:ascii="Garamond" w:hAnsi="Garamond"/>
          <w:b/>
          <w:bCs/>
          <w:i/>
          <w:iCs/>
          <w:color w:val="002060"/>
        </w:rPr>
        <w:t xml:space="preserve">You are </w:t>
      </w:r>
      <w:r w:rsidR="00D70D2E" w:rsidRPr="009D3732">
        <w:rPr>
          <w:rFonts w:ascii="Garamond" w:hAnsi="Garamond"/>
          <w:b/>
          <w:bCs/>
          <w:i/>
          <w:iCs/>
          <w:color w:val="002060"/>
        </w:rPr>
        <w:t xml:space="preserve">just making it </w:t>
      </w:r>
      <w:r w:rsidR="00C520A2" w:rsidRPr="009D3732">
        <w:rPr>
          <w:rFonts w:ascii="Garamond" w:hAnsi="Garamond"/>
          <w:b/>
          <w:bCs/>
          <w:i/>
          <w:iCs/>
          <w:color w:val="002060"/>
        </w:rPr>
        <w:t>financially now</w:t>
      </w:r>
      <w:r w:rsidR="00D70D2E" w:rsidRPr="009D3732">
        <w:rPr>
          <w:rFonts w:ascii="Garamond" w:hAnsi="Garamond"/>
          <w:b/>
          <w:bCs/>
          <w:i/>
          <w:iCs/>
          <w:color w:val="002060"/>
        </w:rPr>
        <w:t xml:space="preserve">. </w:t>
      </w:r>
      <w:r w:rsidR="00D70D2E" w:rsidRPr="009D3732">
        <w:rPr>
          <w:rFonts w:ascii="Garamond" w:hAnsi="Garamond"/>
          <w:color w:val="002060"/>
        </w:rPr>
        <w:t xml:space="preserve"> </w:t>
      </w:r>
      <w:r w:rsidR="00D76A90" w:rsidRPr="00D76A90">
        <w:rPr>
          <w:rFonts w:ascii="Garamond" w:hAnsi="Garamond"/>
        </w:rPr>
        <w:t>If you have worries now, it’s possible that retirement will increase those.</w:t>
      </w:r>
      <w:r w:rsidR="00D76A90">
        <w:rPr>
          <w:rFonts w:ascii="Garamond" w:hAnsi="Garamond"/>
        </w:rPr>
        <w:t xml:space="preserve"> </w:t>
      </w:r>
      <w:r w:rsidR="00D70D2E" w:rsidRPr="00D76A90">
        <w:rPr>
          <w:rFonts w:ascii="Garamond" w:hAnsi="Garamond"/>
        </w:rPr>
        <w:t xml:space="preserve">Yes, some expenses </w:t>
      </w:r>
      <w:r w:rsidR="000761A4" w:rsidRPr="00D76A90">
        <w:rPr>
          <w:rFonts w:ascii="Garamond" w:hAnsi="Garamond"/>
        </w:rPr>
        <w:t>are lower or gone</w:t>
      </w:r>
      <w:r w:rsidR="00D70D2E" w:rsidRPr="00D76A90">
        <w:rPr>
          <w:rFonts w:ascii="Garamond" w:hAnsi="Garamond"/>
        </w:rPr>
        <w:t xml:space="preserve"> when you retire. However, some go up, and some new ones emerge. </w:t>
      </w:r>
      <w:r w:rsidR="00F1497F" w:rsidRPr="00D76A90">
        <w:rPr>
          <w:rFonts w:ascii="Garamond" w:hAnsi="Garamond"/>
        </w:rPr>
        <w:t>A</w:t>
      </w:r>
      <w:r w:rsidR="008F3841" w:rsidRPr="00D76A90">
        <w:rPr>
          <w:rFonts w:ascii="Garamond" w:hAnsi="Garamond"/>
        </w:rPr>
        <w:t xml:space="preserve"> successful retirement is one </w:t>
      </w:r>
      <w:r w:rsidR="004659FB" w:rsidRPr="00D76A90">
        <w:rPr>
          <w:rFonts w:ascii="Garamond" w:hAnsi="Garamond"/>
        </w:rPr>
        <w:t xml:space="preserve">in which you can live life </w:t>
      </w:r>
      <w:r w:rsidR="008F3841" w:rsidRPr="00D76A90">
        <w:rPr>
          <w:rFonts w:ascii="Garamond" w:hAnsi="Garamond"/>
        </w:rPr>
        <w:t>without financial worry</w:t>
      </w:r>
      <w:r w:rsidR="004659FB" w:rsidRPr="00D76A90">
        <w:rPr>
          <w:rFonts w:ascii="Garamond" w:hAnsi="Garamond"/>
        </w:rPr>
        <w:t xml:space="preserve">, but still do many of the things you’d like to do. </w:t>
      </w:r>
    </w:p>
    <w:p w14:paraId="4080DE9F" w14:textId="7350F571" w:rsidR="00157D65" w:rsidRPr="003C7152" w:rsidRDefault="003C2C84" w:rsidP="003C7152">
      <w:pPr>
        <w:pStyle w:val="ListParagraph"/>
        <w:spacing w:before="180" w:after="0" w:line="300" w:lineRule="atLeast"/>
        <w:ind w:left="360"/>
        <w:contextualSpacing w:val="0"/>
        <w:rPr>
          <w:rFonts w:ascii="Garamond" w:hAnsi="Garamond"/>
        </w:rPr>
      </w:pPr>
      <w:r w:rsidRPr="00D76A90">
        <w:rPr>
          <w:rFonts w:ascii="Garamond" w:hAnsi="Garamond"/>
        </w:rPr>
        <w:t>If your</w:t>
      </w:r>
      <w:r w:rsidR="00EC38AE" w:rsidRPr="00D76A90">
        <w:rPr>
          <w:rFonts w:ascii="Garamond" w:hAnsi="Garamond"/>
        </w:rPr>
        <w:t xml:space="preserve"> retirement</w:t>
      </w:r>
      <w:r w:rsidRPr="00D76A90">
        <w:rPr>
          <w:rFonts w:ascii="Garamond" w:hAnsi="Garamond"/>
        </w:rPr>
        <w:t xml:space="preserve"> bills include significant debt, then this may be even more true. Credit cards</w:t>
      </w:r>
      <w:r w:rsidR="00DF354D" w:rsidRPr="00D76A90">
        <w:rPr>
          <w:rFonts w:ascii="Garamond" w:hAnsi="Garamond"/>
        </w:rPr>
        <w:t xml:space="preserve"> and second mortgages or HELOC balances </w:t>
      </w:r>
      <w:r w:rsidR="00BD3B2F" w:rsidRPr="00D76A90">
        <w:rPr>
          <w:rFonts w:ascii="Garamond" w:hAnsi="Garamond"/>
        </w:rPr>
        <w:t>are</w:t>
      </w:r>
      <w:r w:rsidR="00DF354D" w:rsidRPr="00D76A90">
        <w:rPr>
          <w:rFonts w:ascii="Garamond" w:hAnsi="Garamond"/>
        </w:rPr>
        <w:t xml:space="preserve"> a drag on your retirement funds. </w:t>
      </w:r>
      <w:r w:rsidR="00BD3B2F" w:rsidRPr="00D76A90">
        <w:rPr>
          <w:rFonts w:ascii="Garamond" w:hAnsi="Garamond"/>
        </w:rPr>
        <w:t xml:space="preserve">Before you decide to leave, </w:t>
      </w:r>
      <w:r w:rsidR="004B2CA3" w:rsidRPr="00D76A90">
        <w:rPr>
          <w:rFonts w:ascii="Garamond" w:hAnsi="Garamond"/>
        </w:rPr>
        <w:t xml:space="preserve">focus on paying those down or off. </w:t>
      </w:r>
      <w:r w:rsidR="00555E80" w:rsidRPr="00D76A90">
        <w:rPr>
          <w:rFonts w:ascii="Garamond" w:hAnsi="Garamond"/>
        </w:rPr>
        <w:t>Doing so</w:t>
      </w:r>
      <w:r w:rsidR="00083C1B" w:rsidRPr="00D76A90">
        <w:rPr>
          <w:rFonts w:ascii="Garamond" w:hAnsi="Garamond"/>
        </w:rPr>
        <w:t xml:space="preserve"> may also bring about the unintended result of adjusting your lifestyle to one that is financially feasible</w:t>
      </w:r>
      <w:r w:rsidR="00B25DEA" w:rsidRPr="00D76A90">
        <w:rPr>
          <w:rFonts w:ascii="Garamond" w:hAnsi="Garamond"/>
        </w:rPr>
        <w:t>. G</w:t>
      </w:r>
      <w:r w:rsidR="0041371F" w:rsidRPr="00D76A90">
        <w:rPr>
          <w:rFonts w:ascii="Garamond" w:hAnsi="Garamond"/>
        </w:rPr>
        <w:t>etting</w:t>
      </w:r>
      <w:r w:rsidR="00B07416" w:rsidRPr="00D76A90">
        <w:rPr>
          <w:rFonts w:ascii="Garamond" w:hAnsi="Garamond"/>
        </w:rPr>
        <w:t xml:space="preserve"> debt </w:t>
      </w:r>
      <w:r w:rsidR="00B07416" w:rsidRPr="00D76A90">
        <w:rPr>
          <w:rFonts w:ascii="Garamond" w:hAnsi="Garamond"/>
        </w:rPr>
        <w:lastRenderedPageBreak/>
        <w:t>instruments under control</w:t>
      </w:r>
      <w:r w:rsidR="0041371F" w:rsidRPr="00D76A90">
        <w:rPr>
          <w:rFonts w:ascii="Garamond" w:hAnsi="Garamond"/>
        </w:rPr>
        <w:t xml:space="preserve"> often requires that you </w:t>
      </w:r>
      <w:r w:rsidR="00B07416" w:rsidRPr="00D76A90">
        <w:rPr>
          <w:rFonts w:ascii="Garamond" w:hAnsi="Garamond"/>
        </w:rPr>
        <w:t xml:space="preserve">stop doing the things that drove the debt up in the first place. </w:t>
      </w:r>
      <w:r w:rsidR="00BD3B2F" w:rsidRPr="00D76A90">
        <w:rPr>
          <w:rFonts w:ascii="Garamond" w:hAnsi="Garamond"/>
        </w:rPr>
        <w:t xml:space="preserve">That’s a good </w:t>
      </w:r>
      <w:r w:rsidR="0041371F" w:rsidRPr="00D76A90">
        <w:rPr>
          <w:rFonts w:ascii="Garamond" w:hAnsi="Garamond"/>
        </w:rPr>
        <w:t xml:space="preserve">habit to </w:t>
      </w:r>
      <w:r w:rsidR="00EC671E" w:rsidRPr="00D76A90">
        <w:rPr>
          <w:rFonts w:ascii="Garamond" w:hAnsi="Garamond"/>
        </w:rPr>
        <w:t>carry</w:t>
      </w:r>
      <w:r w:rsidR="0041371F" w:rsidRPr="00D76A90">
        <w:rPr>
          <w:rFonts w:ascii="Garamond" w:hAnsi="Garamond"/>
        </w:rPr>
        <w:t xml:space="preserve"> into retirement. </w:t>
      </w:r>
    </w:p>
    <w:p w14:paraId="08D32A8F" w14:textId="75B9C502" w:rsidR="00E81BCA" w:rsidRPr="003C7152" w:rsidRDefault="0020453D" w:rsidP="003C7152">
      <w:pPr>
        <w:pStyle w:val="ListParagraph"/>
        <w:numPr>
          <w:ilvl w:val="0"/>
          <w:numId w:val="1"/>
        </w:numPr>
        <w:spacing w:before="180" w:after="0" w:line="300" w:lineRule="atLeast"/>
        <w:contextualSpacing w:val="0"/>
        <w:rPr>
          <w:rFonts w:ascii="Garamond" w:hAnsi="Garamond"/>
        </w:rPr>
      </w:pPr>
      <w:r w:rsidRPr="00544114">
        <w:rPr>
          <w:rFonts w:ascii="Garamond" w:hAnsi="Garamond"/>
          <w:b/>
          <w:bCs/>
          <w:i/>
          <w:iCs/>
          <w:color w:val="002060"/>
        </w:rPr>
        <w:t xml:space="preserve">You’re still caring for children, grandchildren, or elderly parents.  </w:t>
      </w:r>
      <w:r w:rsidR="00D442BE" w:rsidRPr="00231FE3">
        <w:rPr>
          <w:rFonts w:ascii="Garamond" w:hAnsi="Garamond"/>
        </w:rPr>
        <w:t xml:space="preserve">Your </w:t>
      </w:r>
      <w:r w:rsidR="00E7445B">
        <w:rPr>
          <w:rFonts w:ascii="Garamond" w:hAnsi="Garamond"/>
        </w:rPr>
        <w:t xml:space="preserve">40s, </w:t>
      </w:r>
      <w:r w:rsidR="00D442BE" w:rsidRPr="00231FE3">
        <w:rPr>
          <w:rFonts w:ascii="Garamond" w:hAnsi="Garamond"/>
        </w:rPr>
        <w:t xml:space="preserve">50s and 60s are </w:t>
      </w:r>
      <w:r w:rsidR="006E6BFF" w:rsidRPr="00231FE3">
        <w:rPr>
          <w:rFonts w:ascii="Garamond" w:hAnsi="Garamond"/>
        </w:rPr>
        <w:t xml:space="preserve">the “sandwich generation” years – </w:t>
      </w:r>
      <w:r w:rsidR="000C41E4">
        <w:rPr>
          <w:rFonts w:ascii="Garamond" w:hAnsi="Garamond"/>
        </w:rPr>
        <w:t>pre-college</w:t>
      </w:r>
      <w:r w:rsidR="006E6BFF" w:rsidRPr="00231FE3">
        <w:rPr>
          <w:rFonts w:ascii="Garamond" w:hAnsi="Garamond"/>
        </w:rPr>
        <w:t xml:space="preserve"> kids on one side of you, and elderly parents on the other. </w:t>
      </w:r>
      <w:r w:rsidR="00853F53" w:rsidRPr="00231FE3">
        <w:rPr>
          <w:rFonts w:ascii="Garamond" w:hAnsi="Garamond"/>
        </w:rPr>
        <w:t>A</w:t>
      </w:r>
      <w:r w:rsidRPr="00231FE3">
        <w:rPr>
          <w:rFonts w:ascii="Garamond" w:hAnsi="Garamond"/>
        </w:rPr>
        <w:t xml:space="preserve">ccording to </w:t>
      </w:r>
      <w:r w:rsidR="00DA11DA" w:rsidRPr="00231FE3">
        <w:rPr>
          <w:rFonts w:ascii="Garamond" w:hAnsi="Garamond"/>
        </w:rPr>
        <w:t xml:space="preserve">a 2012 </w:t>
      </w:r>
      <w:r w:rsidRPr="00231FE3">
        <w:rPr>
          <w:rFonts w:ascii="Garamond" w:hAnsi="Garamond"/>
        </w:rPr>
        <w:t>Pew Research Center</w:t>
      </w:r>
      <w:r w:rsidR="00DA11DA" w:rsidRPr="00231FE3">
        <w:rPr>
          <w:rFonts w:ascii="Garamond" w:hAnsi="Garamond"/>
        </w:rPr>
        <w:t xml:space="preserve"> study</w:t>
      </w:r>
      <w:r w:rsidRPr="00231FE3">
        <w:rPr>
          <w:rFonts w:ascii="Garamond" w:hAnsi="Garamond"/>
        </w:rPr>
        <w:t xml:space="preserve">, </w:t>
      </w:r>
      <w:r w:rsidR="00A00EC5" w:rsidRPr="00231FE3">
        <w:rPr>
          <w:rFonts w:ascii="Garamond" w:hAnsi="Garamond"/>
        </w:rPr>
        <w:t xml:space="preserve">47% </w:t>
      </w:r>
      <w:r w:rsidR="00C83DE4" w:rsidRPr="00231FE3">
        <w:rPr>
          <w:rFonts w:ascii="Garamond" w:hAnsi="Garamond"/>
        </w:rPr>
        <w:t xml:space="preserve">of </w:t>
      </w:r>
      <w:r w:rsidRPr="00231FE3">
        <w:rPr>
          <w:rFonts w:ascii="Garamond" w:hAnsi="Garamond"/>
        </w:rPr>
        <w:t xml:space="preserve">people age 40 to 59 </w:t>
      </w:r>
      <w:r w:rsidR="008540D4" w:rsidRPr="00231FE3">
        <w:rPr>
          <w:rFonts w:ascii="Garamond" w:hAnsi="Garamond"/>
        </w:rPr>
        <w:t xml:space="preserve">have a parent over age 65 </w:t>
      </w:r>
      <w:r w:rsidR="0027388B" w:rsidRPr="00231FE3">
        <w:rPr>
          <w:rFonts w:ascii="Garamond" w:hAnsi="Garamond"/>
          <w:i/>
          <w:iCs/>
        </w:rPr>
        <w:t>while</w:t>
      </w:r>
      <w:r w:rsidR="008540D4" w:rsidRPr="00231FE3">
        <w:rPr>
          <w:rFonts w:ascii="Garamond" w:hAnsi="Garamond"/>
        </w:rPr>
        <w:t xml:space="preserve"> raising a minor </w:t>
      </w:r>
      <w:r w:rsidR="0090120B" w:rsidRPr="00231FE3">
        <w:rPr>
          <w:rFonts w:ascii="Garamond" w:hAnsi="Garamond"/>
        </w:rPr>
        <w:t>child or supporting an adult child</w:t>
      </w:r>
      <w:hyperlink r:id="rId9" w:tgtFrame="_blank" w:history="1"/>
      <w:r w:rsidR="009B054C" w:rsidRPr="00231FE3">
        <w:rPr>
          <w:rStyle w:val="FootnoteReference"/>
          <w:rFonts w:ascii="Garamond" w:hAnsi="Garamond"/>
        </w:rPr>
        <w:footnoteReference w:id="1"/>
      </w:r>
      <w:r w:rsidRPr="00231FE3">
        <w:rPr>
          <w:rFonts w:ascii="Garamond" w:hAnsi="Garamond"/>
        </w:rPr>
        <w:t>.</w:t>
      </w:r>
      <w:r w:rsidR="0090120B" w:rsidRPr="00231FE3">
        <w:rPr>
          <w:rFonts w:ascii="Garamond" w:hAnsi="Garamond"/>
        </w:rPr>
        <w:t xml:space="preserve"> A</w:t>
      </w:r>
      <w:r w:rsidR="00DA11DA" w:rsidRPr="00231FE3">
        <w:rPr>
          <w:rFonts w:ascii="Garamond" w:hAnsi="Garamond"/>
        </w:rPr>
        <w:t xml:space="preserve">n impressive 15% of </w:t>
      </w:r>
      <w:r w:rsidR="00D06533" w:rsidRPr="00231FE3">
        <w:rPr>
          <w:rFonts w:ascii="Garamond" w:hAnsi="Garamond"/>
        </w:rPr>
        <w:t>40–59-year-olds</w:t>
      </w:r>
      <w:r w:rsidR="00DA11DA" w:rsidRPr="00231FE3">
        <w:rPr>
          <w:rFonts w:ascii="Garamond" w:hAnsi="Garamond"/>
        </w:rPr>
        <w:t xml:space="preserve"> are providing financial support to a parent </w:t>
      </w:r>
      <w:r w:rsidR="00E27F75" w:rsidRPr="00231FE3">
        <w:rPr>
          <w:rFonts w:ascii="Garamond" w:hAnsi="Garamond"/>
        </w:rPr>
        <w:t>and a child.</w:t>
      </w:r>
      <w:r w:rsidRPr="00231FE3">
        <w:rPr>
          <w:rFonts w:ascii="Garamond" w:hAnsi="Garamond"/>
        </w:rPr>
        <w:t xml:space="preserve"> </w:t>
      </w:r>
      <w:r w:rsidR="007F4FD1" w:rsidRPr="00231FE3">
        <w:rPr>
          <w:rFonts w:ascii="Garamond" w:hAnsi="Garamond"/>
        </w:rPr>
        <w:t xml:space="preserve">Clearing some of these obligations </w:t>
      </w:r>
      <w:r w:rsidR="00E81BCA" w:rsidRPr="00231FE3">
        <w:rPr>
          <w:rFonts w:ascii="Garamond" w:hAnsi="Garamond"/>
        </w:rPr>
        <w:t xml:space="preserve">before you retire </w:t>
      </w:r>
      <w:r w:rsidR="008C7885">
        <w:rPr>
          <w:rFonts w:ascii="Garamond" w:hAnsi="Garamond"/>
        </w:rPr>
        <w:t>can</w:t>
      </w:r>
      <w:r w:rsidR="007F4FD1" w:rsidRPr="00231FE3">
        <w:rPr>
          <w:rFonts w:ascii="Garamond" w:hAnsi="Garamond"/>
        </w:rPr>
        <w:t xml:space="preserve"> provide both financial enhancement and </w:t>
      </w:r>
      <w:r w:rsidR="00E81BCA" w:rsidRPr="00231FE3">
        <w:rPr>
          <w:rFonts w:ascii="Garamond" w:hAnsi="Garamond"/>
        </w:rPr>
        <w:t>mental relief</w:t>
      </w:r>
      <w:r w:rsidRPr="00231FE3">
        <w:rPr>
          <w:rFonts w:ascii="Garamond" w:hAnsi="Garamond"/>
        </w:rPr>
        <w:t>.</w:t>
      </w:r>
      <w:r w:rsidR="005B3254" w:rsidRPr="00231FE3">
        <w:rPr>
          <w:rFonts w:ascii="Garamond" w:hAnsi="Garamond"/>
        </w:rPr>
        <w:t xml:space="preserve"> That may mean waiting </w:t>
      </w:r>
      <w:r w:rsidR="008269FD">
        <w:rPr>
          <w:rFonts w:ascii="Garamond" w:hAnsi="Garamond"/>
        </w:rPr>
        <w:t>un</w:t>
      </w:r>
      <w:r w:rsidR="005B3254" w:rsidRPr="00231FE3">
        <w:rPr>
          <w:rFonts w:ascii="Garamond" w:hAnsi="Garamond"/>
        </w:rPr>
        <w:t xml:space="preserve">til kids are </w:t>
      </w:r>
      <w:r w:rsidR="00D06533" w:rsidRPr="00231FE3">
        <w:rPr>
          <w:rFonts w:ascii="Garamond" w:hAnsi="Garamond"/>
        </w:rPr>
        <w:t>older or</w:t>
      </w:r>
      <w:r w:rsidR="005B3254" w:rsidRPr="00231FE3">
        <w:rPr>
          <w:rFonts w:ascii="Garamond" w:hAnsi="Garamond"/>
        </w:rPr>
        <w:t xml:space="preserve"> </w:t>
      </w:r>
      <w:r w:rsidR="00A67AA5" w:rsidRPr="00231FE3">
        <w:rPr>
          <w:rFonts w:ascii="Garamond" w:hAnsi="Garamond"/>
        </w:rPr>
        <w:t>forging an understanding with siblings and other relatives to share the effort for care.</w:t>
      </w:r>
    </w:p>
    <w:p w14:paraId="108241D9" w14:textId="3FF8872F" w:rsidR="00F65E0D" w:rsidRPr="003C7152" w:rsidRDefault="00A905D3" w:rsidP="003C7152">
      <w:pPr>
        <w:pStyle w:val="ListParagraph"/>
        <w:numPr>
          <w:ilvl w:val="0"/>
          <w:numId w:val="1"/>
        </w:numPr>
        <w:spacing w:before="180" w:after="0" w:line="300" w:lineRule="atLeast"/>
        <w:contextualSpacing w:val="0"/>
        <w:rPr>
          <w:rFonts w:ascii="Garamond" w:hAnsi="Garamond"/>
          <w:b/>
          <w:bCs/>
          <w:i/>
          <w:iCs/>
        </w:rPr>
      </w:pPr>
      <w:r w:rsidRPr="001000C0">
        <w:rPr>
          <w:rFonts w:ascii="Garamond" w:hAnsi="Garamond"/>
          <w:b/>
          <w:bCs/>
          <w:i/>
          <w:iCs/>
          <w:color w:val="002060"/>
        </w:rPr>
        <w:t>You have major purchases on the horizon.</w:t>
      </w:r>
      <w:r w:rsidRPr="001000C0">
        <w:rPr>
          <w:rFonts w:ascii="Garamond" w:hAnsi="Garamond"/>
          <w:color w:val="002060"/>
        </w:rPr>
        <w:t xml:space="preserve"> </w:t>
      </w:r>
      <w:r w:rsidR="00577689" w:rsidRPr="00231FE3">
        <w:rPr>
          <w:rFonts w:ascii="Garamond" w:hAnsi="Garamond"/>
        </w:rPr>
        <w:t xml:space="preserve">Major home renovations, weddings, </w:t>
      </w:r>
      <w:r w:rsidR="00BD1029" w:rsidRPr="00231FE3">
        <w:rPr>
          <w:rFonts w:ascii="Garamond" w:hAnsi="Garamond"/>
        </w:rPr>
        <w:t>college</w:t>
      </w:r>
      <w:r w:rsidR="00D45924" w:rsidRPr="00231FE3">
        <w:rPr>
          <w:rFonts w:ascii="Garamond" w:hAnsi="Garamond"/>
        </w:rPr>
        <w:t xml:space="preserve"> </w:t>
      </w:r>
      <w:r w:rsidR="00BD1029" w:rsidRPr="00231FE3">
        <w:rPr>
          <w:rFonts w:ascii="Garamond" w:hAnsi="Garamond"/>
        </w:rPr>
        <w:t xml:space="preserve">– these types of expenses </w:t>
      </w:r>
      <w:r w:rsidR="00D41C8F" w:rsidRPr="00231FE3">
        <w:rPr>
          <w:rFonts w:ascii="Garamond" w:hAnsi="Garamond"/>
        </w:rPr>
        <w:t>may be easier to pay for</w:t>
      </w:r>
      <w:r w:rsidR="00BD1029" w:rsidRPr="00231FE3">
        <w:rPr>
          <w:rFonts w:ascii="Garamond" w:hAnsi="Garamond"/>
        </w:rPr>
        <w:t xml:space="preserve"> while you’re working</w:t>
      </w:r>
      <w:r w:rsidR="00C00AF2" w:rsidRPr="00231FE3">
        <w:rPr>
          <w:rFonts w:ascii="Garamond" w:hAnsi="Garamond"/>
        </w:rPr>
        <w:t>.</w:t>
      </w:r>
      <w:r w:rsidR="004C38A7" w:rsidRPr="00231FE3">
        <w:rPr>
          <w:rFonts w:ascii="Garamond" w:hAnsi="Garamond"/>
        </w:rPr>
        <w:t xml:space="preserve"> Even financing options may be better if </w:t>
      </w:r>
      <w:r w:rsidR="00736FAB">
        <w:rPr>
          <w:rFonts w:ascii="Garamond" w:hAnsi="Garamond"/>
        </w:rPr>
        <w:t>companies</w:t>
      </w:r>
      <w:r w:rsidR="004C38A7" w:rsidRPr="00231FE3">
        <w:rPr>
          <w:rFonts w:ascii="Garamond" w:hAnsi="Garamond"/>
        </w:rPr>
        <w:t xml:space="preserve"> see you still have regular earned income.</w:t>
      </w:r>
      <w:r w:rsidR="00C00AF2" w:rsidRPr="00231FE3">
        <w:rPr>
          <w:rFonts w:ascii="Garamond" w:hAnsi="Garamond"/>
        </w:rPr>
        <w:t xml:space="preserve"> </w:t>
      </w:r>
      <w:r w:rsidR="004C38A7" w:rsidRPr="00231FE3">
        <w:rPr>
          <w:rFonts w:ascii="Garamond" w:hAnsi="Garamond"/>
        </w:rPr>
        <w:t>If</w:t>
      </w:r>
      <w:r w:rsidR="00C00AF2" w:rsidRPr="00231FE3">
        <w:rPr>
          <w:rFonts w:ascii="Garamond" w:hAnsi="Garamond"/>
        </w:rPr>
        <w:t xml:space="preserve"> you</w:t>
      </w:r>
      <w:r w:rsidR="00C75F7E" w:rsidRPr="00231FE3">
        <w:rPr>
          <w:rFonts w:ascii="Garamond" w:hAnsi="Garamond"/>
        </w:rPr>
        <w:t xml:space="preserve"> envision paying </w:t>
      </w:r>
      <w:r w:rsidR="004C38A7" w:rsidRPr="00231FE3">
        <w:rPr>
          <w:rFonts w:ascii="Garamond" w:hAnsi="Garamond"/>
        </w:rPr>
        <w:t xml:space="preserve">for major expenses </w:t>
      </w:r>
      <w:r w:rsidR="00C75F7E" w:rsidRPr="00231FE3">
        <w:rPr>
          <w:rFonts w:ascii="Garamond" w:hAnsi="Garamond"/>
        </w:rPr>
        <w:t xml:space="preserve">out of your retirement income, </w:t>
      </w:r>
      <w:r w:rsidR="005C7E69">
        <w:rPr>
          <w:rFonts w:ascii="Garamond" w:hAnsi="Garamond"/>
        </w:rPr>
        <w:t>it</w:t>
      </w:r>
      <w:r w:rsidR="00C75F7E" w:rsidRPr="00231FE3">
        <w:rPr>
          <w:rFonts w:ascii="Garamond" w:hAnsi="Garamond"/>
        </w:rPr>
        <w:t xml:space="preserve"> may </w:t>
      </w:r>
      <w:r w:rsidR="005C7E69">
        <w:rPr>
          <w:rFonts w:ascii="Garamond" w:hAnsi="Garamond"/>
        </w:rPr>
        <w:t xml:space="preserve">be harder to do </w:t>
      </w:r>
      <w:r w:rsidR="00C75F7E" w:rsidRPr="00231FE3">
        <w:rPr>
          <w:rFonts w:ascii="Garamond" w:hAnsi="Garamond"/>
        </w:rPr>
        <w:t>than you think</w:t>
      </w:r>
      <w:r w:rsidR="00300A1F" w:rsidRPr="00231FE3">
        <w:rPr>
          <w:rFonts w:ascii="Garamond" w:hAnsi="Garamond"/>
        </w:rPr>
        <w:t xml:space="preserve">. </w:t>
      </w:r>
    </w:p>
    <w:p w14:paraId="7EF6F39A" w14:textId="15C9A024" w:rsidR="003D3625" w:rsidRPr="005C7E69" w:rsidRDefault="003F065B" w:rsidP="005C7E69">
      <w:pPr>
        <w:pStyle w:val="ListParagraph"/>
        <w:numPr>
          <w:ilvl w:val="0"/>
          <w:numId w:val="1"/>
        </w:numPr>
        <w:spacing w:before="180" w:after="0" w:line="300" w:lineRule="atLeast"/>
        <w:contextualSpacing w:val="0"/>
        <w:rPr>
          <w:rFonts w:ascii="Garamond" w:hAnsi="Garamond"/>
          <w:b/>
          <w:bCs/>
          <w:i/>
          <w:iCs/>
        </w:rPr>
      </w:pPr>
      <w:r w:rsidRPr="001000C0">
        <w:rPr>
          <w:rFonts w:ascii="Garamond" w:hAnsi="Garamond"/>
          <w:b/>
          <w:bCs/>
          <w:i/>
          <w:iCs/>
          <w:color w:val="002060"/>
        </w:rPr>
        <w:t xml:space="preserve">You don’t know how social security </w:t>
      </w:r>
      <w:r w:rsidR="003D3625" w:rsidRPr="001000C0">
        <w:rPr>
          <w:rFonts w:ascii="Garamond" w:hAnsi="Garamond"/>
          <w:b/>
          <w:bCs/>
          <w:i/>
          <w:iCs/>
          <w:color w:val="002060"/>
        </w:rPr>
        <w:t xml:space="preserve">and health care </w:t>
      </w:r>
      <w:r w:rsidRPr="001000C0">
        <w:rPr>
          <w:rFonts w:ascii="Garamond" w:hAnsi="Garamond"/>
          <w:b/>
          <w:bCs/>
          <w:i/>
          <w:iCs/>
          <w:color w:val="002060"/>
        </w:rPr>
        <w:t>fits in your plan.</w:t>
      </w:r>
      <w:r w:rsidRPr="00231FE3">
        <w:rPr>
          <w:rFonts w:ascii="Garamond" w:hAnsi="Garamond"/>
        </w:rPr>
        <w:t xml:space="preserve"> For most people, </w:t>
      </w:r>
      <w:r w:rsidR="0088230C" w:rsidRPr="00231FE3">
        <w:rPr>
          <w:rFonts w:ascii="Garamond" w:hAnsi="Garamond"/>
        </w:rPr>
        <w:t xml:space="preserve">social security benefits account for </w:t>
      </w:r>
      <w:r w:rsidR="005E41B4">
        <w:rPr>
          <w:rFonts w:ascii="Garamond" w:hAnsi="Garamond"/>
        </w:rPr>
        <w:t xml:space="preserve">between </w:t>
      </w:r>
      <w:r w:rsidR="00F27E8E" w:rsidRPr="00231FE3">
        <w:rPr>
          <w:rFonts w:ascii="Garamond" w:hAnsi="Garamond"/>
        </w:rPr>
        <w:t xml:space="preserve">25% </w:t>
      </w:r>
      <w:r w:rsidR="005E41B4">
        <w:rPr>
          <w:rFonts w:ascii="Garamond" w:hAnsi="Garamond"/>
        </w:rPr>
        <w:t>and 40%</w:t>
      </w:r>
      <w:r w:rsidR="00F27E8E" w:rsidRPr="00231FE3">
        <w:rPr>
          <w:rFonts w:ascii="Garamond" w:hAnsi="Garamond"/>
        </w:rPr>
        <w:t xml:space="preserve"> of retirement income. For spouses/partners, </w:t>
      </w:r>
      <w:r w:rsidR="00C30E0F" w:rsidRPr="00231FE3">
        <w:rPr>
          <w:rFonts w:ascii="Garamond" w:hAnsi="Garamond"/>
        </w:rPr>
        <w:t xml:space="preserve">planning on </w:t>
      </w:r>
      <w:r w:rsidR="00F27E8E" w:rsidRPr="00231FE3">
        <w:rPr>
          <w:rFonts w:ascii="Garamond" w:hAnsi="Garamond"/>
        </w:rPr>
        <w:t>when to claim</w:t>
      </w:r>
      <w:r w:rsidR="004F3CF2" w:rsidRPr="00231FE3">
        <w:rPr>
          <w:rFonts w:ascii="Garamond" w:hAnsi="Garamond"/>
        </w:rPr>
        <w:t xml:space="preserve"> and how benefits </w:t>
      </w:r>
      <w:r w:rsidR="00083934" w:rsidRPr="00231FE3">
        <w:rPr>
          <w:rFonts w:ascii="Garamond" w:hAnsi="Garamond"/>
        </w:rPr>
        <w:t>change</w:t>
      </w:r>
      <w:r w:rsidR="004F3CF2" w:rsidRPr="00231FE3">
        <w:rPr>
          <w:rFonts w:ascii="Garamond" w:hAnsi="Garamond"/>
        </w:rPr>
        <w:t xml:space="preserve"> </w:t>
      </w:r>
      <w:r w:rsidR="0028087A">
        <w:rPr>
          <w:rFonts w:ascii="Garamond" w:hAnsi="Garamond"/>
        </w:rPr>
        <w:t>after the first death</w:t>
      </w:r>
      <w:r w:rsidR="004F3CF2" w:rsidRPr="00231FE3">
        <w:rPr>
          <w:rFonts w:ascii="Garamond" w:hAnsi="Garamond"/>
        </w:rPr>
        <w:t xml:space="preserve"> </w:t>
      </w:r>
      <w:r w:rsidR="00D845B1" w:rsidRPr="00231FE3">
        <w:rPr>
          <w:rFonts w:ascii="Garamond" w:hAnsi="Garamond"/>
        </w:rPr>
        <w:t xml:space="preserve">is important. </w:t>
      </w:r>
    </w:p>
    <w:p w14:paraId="4A882FA4" w14:textId="24E6E299" w:rsidR="000E702C" w:rsidRPr="005C7E69" w:rsidRDefault="00856B98" w:rsidP="005C7E69">
      <w:pPr>
        <w:pStyle w:val="ListParagraph"/>
        <w:spacing w:before="180" w:after="0" w:line="300" w:lineRule="atLeast"/>
        <w:ind w:left="360"/>
        <w:contextualSpacing w:val="0"/>
        <w:rPr>
          <w:rFonts w:ascii="Garamond" w:hAnsi="Garamond"/>
        </w:rPr>
      </w:pPr>
      <w:r w:rsidRPr="00231FE3">
        <w:rPr>
          <w:rFonts w:ascii="Garamond" w:hAnsi="Garamond"/>
        </w:rPr>
        <w:t xml:space="preserve">Likewise, </w:t>
      </w:r>
      <w:r w:rsidR="00B63D5B" w:rsidRPr="00231FE3">
        <w:rPr>
          <w:rFonts w:ascii="Garamond" w:hAnsi="Garamond"/>
        </w:rPr>
        <w:t xml:space="preserve">understanding how </w:t>
      </w:r>
      <w:r w:rsidRPr="00231FE3">
        <w:rPr>
          <w:rFonts w:ascii="Garamond" w:hAnsi="Garamond"/>
        </w:rPr>
        <w:t xml:space="preserve">Medicare and other healthcare options </w:t>
      </w:r>
      <w:r w:rsidR="00B63D5B" w:rsidRPr="00231FE3">
        <w:rPr>
          <w:rFonts w:ascii="Garamond" w:hAnsi="Garamond"/>
        </w:rPr>
        <w:t xml:space="preserve">work </w:t>
      </w:r>
      <w:r w:rsidR="00F07D64" w:rsidRPr="00231FE3">
        <w:rPr>
          <w:rFonts w:ascii="Garamond" w:hAnsi="Garamond"/>
        </w:rPr>
        <w:t xml:space="preserve">is critical. Missing dates and selecting </w:t>
      </w:r>
      <w:r w:rsidR="00444DF3" w:rsidRPr="00231FE3">
        <w:rPr>
          <w:rFonts w:ascii="Garamond" w:hAnsi="Garamond"/>
        </w:rPr>
        <w:t>misaligned plans can</w:t>
      </w:r>
      <w:r w:rsidRPr="00231FE3">
        <w:rPr>
          <w:rFonts w:ascii="Garamond" w:hAnsi="Garamond"/>
        </w:rPr>
        <w:t xml:space="preserve"> </w:t>
      </w:r>
      <w:r w:rsidR="00B63D5B" w:rsidRPr="00231FE3">
        <w:rPr>
          <w:rFonts w:ascii="Garamond" w:hAnsi="Garamond"/>
        </w:rPr>
        <w:t xml:space="preserve">trip up retirement </w:t>
      </w:r>
      <w:r w:rsidR="00D06533" w:rsidRPr="00231FE3">
        <w:rPr>
          <w:rFonts w:ascii="Garamond" w:hAnsi="Garamond"/>
        </w:rPr>
        <w:t>life and</w:t>
      </w:r>
      <w:r w:rsidR="00781D3D" w:rsidRPr="00231FE3">
        <w:rPr>
          <w:rFonts w:ascii="Garamond" w:hAnsi="Garamond"/>
        </w:rPr>
        <w:t xml:space="preserve"> understanding how your</w:t>
      </w:r>
      <w:r w:rsidR="003826C3" w:rsidRPr="00231FE3">
        <w:rPr>
          <w:rFonts w:ascii="Garamond" w:hAnsi="Garamond"/>
        </w:rPr>
        <w:t xml:space="preserve"> modified adjusted gross income over time can impact Medicare premiums </w:t>
      </w:r>
      <w:r w:rsidR="00354FFC" w:rsidRPr="00231FE3">
        <w:rPr>
          <w:rFonts w:ascii="Garamond" w:hAnsi="Garamond"/>
        </w:rPr>
        <w:t xml:space="preserve">and surcharges is complex. </w:t>
      </w:r>
    </w:p>
    <w:p w14:paraId="622084A1" w14:textId="5C2D6E65" w:rsidR="00C74AC9" w:rsidRPr="00324B47" w:rsidRDefault="00354FFC" w:rsidP="00324B47">
      <w:pPr>
        <w:pStyle w:val="ListParagraph"/>
        <w:spacing w:before="180" w:after="0" w:line="300" w:lineRule="atLeast"/>
        <w:ind w:left="360"/>
        <w:contextualSpacing w:val="0"/>
        <w:rPr>
          <w:rFonts w:ascii="Garamond" w:hAnsi="Garamond"/>
        </w:rPr>
      </w:pPr>
      <w:r w:rsidRPr="00231FE3">
        <w:rPr>
          <w:rFonts w:ascii="Garamond" w:hAnsi="Garamond"/>
        </w:rPr>
        <w:t xml:space="preserve">Understanding the parts of Medicare, </w:t>
      </w:r>
      <w:r w:rsidR="00193FFD" w:rsidRPr="00231FE3">
        <w:rPr>
          <w:rFonts w:ascii="Garamond" w:hAnsi="Garamond"/>
        </w:rPr>
        <w:t xml:space="preserve">selecting </w:t>
      </w:r>
      <w:r w:rsidR="008C0529" w:rsidRPr="00231FE3">
        <w:rPr>
          <w:rFonts w:ascii="Garamond" w:hAnsi="Garamond"/>
        </w:rPr>
        <w:t xml:space="preserve">the healthcare </w:t>
      </w:r>
      <w:r w:rsidR="00193FFD" w:rsidRPr="00231FE3">
        <w:rPr>
          <w:rFonts w:ascii="Garamond" w:hAnsi="Garamond"/>
        </w:rPr>
        <w:t xml:space="preserve">coverage </w:t>
      </w:r>
      <w:r w:rsidR="008C0529" w:rsidRPr="00231FE3">
        <w:rPr>
          <w:rFonts w:ascii="Garamond" w:hAnsi="Garamond"/>
        </w:rPr>
        <w:t xml:space="preserve">you need, and </w:t>
      </w:r>
      <w:r w:rsidR="00E03A77" w:rsidRPr="00231FE3">
        <w:rPr>
          <w:rFonts w:ascii="Garamond" w:hAnsi="Garamond"/>
        </w:rPr>
        <w:t xml:space="preserve">planning for income-related </w:t>
      </w:r>
      <w:r w:rsidR="00FC1C95" w:rsidRPr="00231FE3">
        <w:rPr>
          <w:rFonts w:ascii="Garamond" w:hAnsi="Garamond"/>
        </w:rPr>
        <w:t>cost</w:t>
      </w:r>
      <w:r w:rsidR="00FA58DB" w:rsidRPr="00231FE3">
        <w:rPr>
          <w:rFonts w:ascii="Garamond" w:hAnsi="Garamond"/>
        </w:rPr>
        <w:t xml:space="preserve">s </w:t>
      </w:r>
      <w:r w:rsidR="00FD1330" w:rsidRPr="00231FE3">
        <w:rPr>
          <w:rFonts w:ascii="Garamond" w:hAnsi="Garamond"/>
        </w:rPr>
        <w:t>require</w:t>
      </w:r>
      <w:r w:rsidR="00FA58DB" w:rsidRPr="00231FE3">
        <w:rPr>
          <w:rFonts w:ascii="Garamond" w:hAnsi="Garamond"/>
        </w:rPr>
        <w:t xml:space="preserve"> more than just </w:t>
      </w:r>
      <w:r w:rsidR="00193FFD" w:rsidRPr="00231FE3">
        <w:rPr>
          <w:rFonts w:ascii="Garamond" w:hAnsi="Garamond"/>
        </w:rPr>
        <w:t>quick consideration</w:t>
      </w:r>
      <w:r w:rsidR="000E702C" w:rsidRPr="00231FE3">
        <w:rPr>
          <w:rFonts w:ascii="Garamond" w:hAnsi="Garamond"/>
        </w:rPr>
        <w:t>, and may require professional guidance</w:t>
      </w:r>
      <w:r w:rsidR="00193FFD" w:rsidRPr="00231FE3">
        <w:rPr>
          <w:rFonts w:ascii="Garamond" w:hAnsi="Garamond"/>
        </w:rPr>
        <w:t>.</w:t>
      </w:r>
      <w:r w:rsidR="000E702C" w:rsidRPr="00231FE3">
        <w:rPr>
          <w:rFonts w:ascii="Garamond" w:hAnsi="Garamond"/>
        </w:rPr>
        <w:t xml:space="preserve"> </w:t>
      </w:r>
      <w:r w:rsidR="00142D1A" w:rsidRPr="00231FE3">
        <w:rPr>
          <w:rFonts w:ascii="Garamond" w:hAnsi="Garamond"/>
        </w:rPr>
        <w:t xml:space="preserve">Don’t pick a retirement date until you’ve explored how </w:t>
      </w:r>
      <w:r w:rsidR="009E1A4E" w:rsidRPr="00231FE3">
        <w:rPr>
          <w:rFonts w:ascii="Garamond" w:hAnsi="Garamond"/>
        </w:rPr>
        <w:t>these benefits</w:t>
      </w:r>
      <w:r w:rsidR="00142D1A" w:rsidRPr="00231FE3">
        <w:rPr>
          <w:rFonts w:ascii="Garamond" w:hAnsi="Garamond"/>
        </w:rPr>
        <w:t xml:space="preserve"> will work for you. </w:t>
      </w:r>
    </w:p>
    <w:p w14:paraId="2F51011F" w14:textId="6D7AC90F" w:rsidR="00F03629" w:rsidRPr="00231FE3" w:rsidRDefault="00863555" w:rsidP="00811DD5">
      <w:pPr>
        <w:spacing w:before="180" w:after="0" w:line="300" w:lineRule="atLeast"/>
        <w:ind w:left="360" w:hanging="450"/>
        <w:rPr>
          <w:rFonts w:ascii="Garamond" w:hAnsi="Garamond"/>
        </w:rPr>
      </w:pPr>
      <w:r w:rsidRPr="00231FE3">
        <w:rPr>
          <w:rFonts w:ascii="Garamond" w:hAnsi="Garamond"/>
          <w:b/>
          <w:bCs/>
          <w:i/>
          <w:iCs/>
        </w:rPr>
        <w:t>4. </w:t>
      </w:r>
      <w:r w:rsidR="00811DD5">
        <w:rPr>
          <w:rFonts w:ascii="Garamond" w:hAnsi="Garamond"/>
          <w:b/>
          <w:bCs/>
          <w:i/>
          <w:iCs/>
        </w:rPr>
        <w:t xml:space="preserve">  </w:t>
      </w:r>
      <w:r w:rsidR="00F03629" w:rsidRPr="001000C0">
        <w:rPr>
          <w:rFonts w:ascii="Garamond" w:hAnsi="Garamond"/>
          <w:b/>
          <w:bCs/>
          <w:i/>
          <w:iCs/>
          <w:color w:val="002060"/>
        </w:rPr>
        <w:t>You love to work.</w:t>
      </w:r>
      <w:r w:rsidR="00F03629" w:rsidRPr="001000C0">
        <w:rPr>
          <w:rFonts w:ascii="Garamond" w:hAnsi="Garamond"/>
          <w:color w:val="002060"/>
        </w:rPr>
        <w:t xml:space="preserve"> </w:t>
      </w:r>
      <w:r w:rsidR="00EA261E" w:rsidRPr="00231FE3">
        <w:rPr>
          <w:rFonts w:ascii="Garamond" w:hAnsi="Garamond"/>
        </w:rPr>
        <w:t xml:space="preserve">If you get your identity, your social structure, and your </w:t>
      </w:r>
      <w:r w:rsidR="009401C5" w:rsidRPr="00231FE3">
        <w:rPr>
          <w:rFonts w:ascii="Garamond" w:hAnsi="Garamond"/>
        </w:rPr>
        <w:t>sense of purpose from work, then keep at it</w:t>
      </w:r>
      <w:r w:rsidR="00034F13">
        <w:rPr>
          <w:rFonts w:ascii="Garamond" w:hAnsi="Garamond"/>
        </w:rPr>
        <w:t xml:space="preserve"> – either at your current position, or a new one.</w:t>
      </w:r>
      <w:r w:rsidR="009401C5" w:rsidRPr="00231FE3">
        <w:rPr>
          <w:rFonts w:ascii="Garamond" w:hAnsi="Garamond"/>
        </w:rPr>
        <w:t xml:space="preserve"> </w:t>
      </w:r>
      <w:r w:rsidR="003F5A1E" w:rsidRPr="00231FE3">
        <w:rPr>
          <w:rFonts w:ascii="Garamond" w:hAnsi="Garamond"/>
        </w:rPr>
        <w:t>If it’s just your current position</w:t>
      </w:r>
      <w:r w:rsidR="00926EA0" w:rsidRPr="00231FE3">
        <w:rPr>
          <w:rFonts w:ascii="Garamond" w:hAnsi="Garamond"/>
        </w:rPr>
        <w:t>, management,</w:t>
      </w:r>
      <w:r w:rsidR="003F5A1E" w:rsidRPr="00231FE3">
        <w:rPr>
          <w:rFonts w:ascii="Garamond" w:hAnsi="Garamond"/>
        </w:rPr>
        <w:t xml:space="preserve"> or co-workers you dislike,</w:t>
      </w:r>
      <w:r w:rsidR="00E53914" w:rsidRPr="00231FE3">
        <w:rPr>
          <w:rFonts w:ascii="Garamond" w:hAnsi="Garamond"/>
        </w:rPr>
        <w:t xml:space="preserve"> y</w:t>
      </w:r>
      <w:r w:rsidR="009401C5" w:rsidRPr="00231FE3">
        <w:rPr>
          <w:rFonts w:ascii="Garamond" w:hAnsi="Garamond"/>
        </w:rPr>
        <w:t xml:space="preserve">ou may </w:t>
      </w:r>
      <w:r w:rsidR="00E53914" w:rsidRPr="00231FE3">
        <w:rPr>
          <w:rFonts w:ascii="Garamond" w:hAnsi="Garamond"/>
        </w:rPr>
        <w:t xml:space="preserve">consider changing positions within your company, switching companies, or switching careers altogether. </w:t>
      </w:r>
      <w:r w:rsidR="00997189" w:rsidRPr="00231FE3">
        <w:rPr>
          <w:rFonts w:ascii="Garamond" w:hAnsi="Garamond"/>
        </w:rPr>
        <w:t>Disc</w:t>
      </w:r>
      <w:r w:rsidR="004A6D7A" w:rsidRPr="00231FE3">
        <w:rPr>
          <w:rFonts w:ascii="Garamond" w:hAnsi="Garamond"/>
        </w:rPr>
        <w:t>u</w:t>
      </w:r>
      <w:r w:rsidR="00997189" w:rsidRPr="00231FE3">
        <w:rPr>
          <w:rFonts w:ascii="Garamond" w:hAnsi="Garamond"/>
        </w:rPr>
        <w:t>ss the circumstances with</w:t>
      </w:r>
      <w:r w:rsidR="00F3121E" w:rsidRPr="00231FE3">
        <w:rPr>
          <w:rFonts w:ascii="Garamond" w:hAnsi="Garamond"/>
        </w:rPr>
        <w:t xml:space="preserve"> </w:t>
      </w:r>
      <w:r w:rsidR="00997189" w:rsidRPr="00231FE3">
        <w:rPr>
          <w:rFonts w:ascii="Garamond" w:hAnsi="Garamond"/>
        </w:rPr>
        <w:t>a trusted colleague</w:t>
      </w:r>
      <w:r w:rsidR="004A6D7A" w:rsidRPr="00231FE3">
        <w:rPr>
          <w:rFonts w:ascii="Garamond" w:hAnsi="Garamond"/>
        </w:rPr>
        <w:t xml:space="preserve"> </w:t>
      </w:r>
      <w:r w:rsidR="00986633" w:rsidRPr="00231FE3">
        <w:rPr>
          <w:rFonts w:ascii="Garamond" w:hAnsi="Garamond"/>
        </w:rPr>
        <w:t xml:space="preserve">or professional friend to assess the </w:t>
      </w:r>
      <w:r w:rsidR="004A6D7A" w:rsidRPr="00231FE3">
        <w:rPr>
          <w:rFonts w:ascii="Garamond" w:hAnsi="Garamond"/>
        </w:rPr>
        <w:t xml:space="preserve">depth of the issue. </w:t>
      </w:r>
      <w:r w:rsidR="00F3121E" w:rsidRPr="00231FE3">
        <w:rPr>
          <w:rFonts w:ascii="Garamond" w:hAnsi="Garamond"/>
        </w:rPr>
        <w:t xml:space="preserve">Meet with a recruiter in your field to </w:t>
      </w:r>
      <w:r w:rsidR="00F25EFC" w:rsidRPr="00231FE3">
        <w:rPr>
          <w:rFonts w:ascii="Garamond" w:hAnsi="Garamond"/>
        </w:rPr>
        <w:t xml:space="preserve">determine your marketability. Talk to your spouse and your financial advisor about the viability of changing </w:t>
      </w:r>
      <w:r w:rsidR="00CD791B" w:rsidRPr="00231FE3">
        <w:rPr>
          <w:rFonts w:ascii="Garamond" w:hAnsi="Garamond"/>
        </w:rPr>
        <w:t>jobs or careers</w:t>
      </w:r>
      <w:r w:rsidR="00DE4A66" w:rsidRPr="00231FE3">
        <w:rPr>
          <w:rFonts w:ascii="Garamond" w:hAnsi="Garamond"/>
        </w:rPr>
        <w:t>, including downshifting to a lower</w:t>
      </w:r>
      <w:r w:rsidR="0071357F" w:rsidRPr="00231FE3">
        <w:rPr>
          <w:rFonts w:ascii="Garamond" w:hAnsi="Garamond"/>
        </w:rPr>
        <w:t>-income position</w:t>
      </w:r>
      <w:r w:rsidR="00CD791B" w:rsidRPr="00231FE3">
        <w:rPr>
          <w:rFonts w:ascii="Garamond" w:hAnsi="Garamond"/>
        </w:rPr>
        <w:t xml:space="preserve">. Retirement should be something you run to, not something you go to because you’re running away from </w:t>
      </w:r>
      <w:r w:rsidR="00D10F54" w:rsidRPr="00231FE3">
        <w:rPr>
          <w:rFonts w:ascii="Garamond" w:hAnsi="Garamond"/>
        </w:rPr>
        <w:t xml:space="preserve">your current position. </w:t>
      </w:r>
    </w:p>
    <w:p w14:paraId="6A83AC2B" w14:textId="6ABB893F" w:rsidR="00B92A60" w:rsidRPr="0049196F" w:rsidRDefault="005865CB" w:rsidP="0049196F">
      <w:pPr>
        <w:pStyle w:val="ListParagraph"/>
        <w:numPr>
          <w:ilvl w:val="0"/>
          <w:numId w:val="1"/>
        </w:numPr>
        <w:spacing w:before="180" w:after="0" w:line="300" w:lineRule="atLeast"/>
        <w:contextualSpacing w:val="0"/>
        <w:rPr>
          <w:rFonts w:ascii="Garamond" w:hAnsi="Garamond"/>
        </w:rPr>
      </w:pPr>
      <w:r w:rsidRPr="009652BB">
        <w:rPr>
          <w:rFonts w:ascii="Garamond" w:hAnsi="Garamond"/>
          <w:b/>
          <w:bCs/>
          <w:i/>
          <w:iCs/>
          <w:color w:val="002060"/>
        </w:rPr>
        <w:t>You don’t really know your financial personality</w:t>
      </w:r>
      <w:r w:rsidR="001000C0" w:rsidRPr="009652BB">
        <w:rPr>
          <w:rFonts w:ascii="Garamond" w:hAnsi="Garamond"/>
          <w:b/>
          <w:bCs/>
          <w:i/>
          <w:iCs/>
          <w:color w:val="002060"/>
        </w:rPr>
        <w:t>.</w:t>
      </w:r>
      <w:r w:rsidRPr="001000C0">
        <w:rPr>
          <w:rFonts w:ascii="Garamond" w:hAnsi="Garamond"/>
          <w:color w:val="002060"/>
        </w:rPr>
        <w:t xml:space="preserve"> </w:t>
      </w:r>
      <w:r w:rsidR="002978C8">
        <w:rPr>
          <w:rFonts w:ascii="Garamond" w:hAnsi="Garamond"/>
        </w:rPr>
        <w:t>An important co</w:t>
      </w:r>
      <w:r w:rsidR="0049196F">
        <w:rPr>
          <w:rFonts w:ascii="Garamond" w:hAnsi="Garamond"/>
        </w:rPr>
        <w:t>mplement to</w:t>
      </w:r>
      <w:r w:rsidRPr="00231FE3">
        <w:rPr>
          <w:rFonts w:ascii="Garamond" w:hAnsi="Garamond"/>
        </w:rPr>
        <w:t xml:space="preserve"> the retirement income projection</w:t>
      </w:r>
      <w:r w:rsidR="00DE0CA1" w:rsidRPr="00231FE3">
        <w:rPr>
          <w:rFonts w:ascii="Garamond" w:hAnsi="Garamond"/>
        </w:rPr>
        <w:t xml:space="preserve">, you should have a strong understanding of how you spend </w:t>
      </w:r>
      <w:r w:rsidR="00DE0CA1" w:rsidRPr="00231FE3">
        <w:rPr>
          <w:rFonts w:ascii="Garamond" w:hAnsi="Garamond"/>
        </w:rPr>
        <w:lastRenderedPageBreak/>
        <w:t>money, what your good and bad</w:t>
      </w:r>
      <w:r w:rsidR="00863555" w:rsidRPr="00231FE3">
        <w:rPr>
          <w:rFonts w:ascii="Garamond" w:hAnsi="Garamond"/>
        </w:rPr>
        <w:t xml:space="preserve"> habits</w:t>
      </w:r>
      <w:r w:rsidR="00DE0CA1" w:rsidRPr="00231FE3">
        <w:rPr>
          <w:rFonts w:ascii="Garamond" w:hAnsi="Garamond"/>
        </w:rPr>
        <w:t xml:space="preserve"> are,</w:t>
      </w:r>
      <w:r w:rsidR="00765F4D" w:rsidRPr="00231FE3">
        <w:rPr>
          <w:rFonts w:ascii="Garamond" w:hAnsi="Garamond"/>
        </w:rPr>
        <w:t xml:space="preserve"> what you consider non-negotiables for spending,</w:t>
      </w:r>
      <w:r w:rsidR="00DE0CA1" w:rsidRPr="00231FE3">
        <w:rPr>
          <w:rFonts w:ascii="Garamond" w:hAnsi="Garamond"/>
        </w:rPr>
        <w:t xml:space="preserve"> and </w:t>
      </w:r>
      <w:r w:rsidR="0072556F" w:rsidRPr="00231FE3">
        <w:rPr>
          <w:rFonts w:ascii="Garamond" w:hAnsi="Garamond"/>
        </w:rPr>
        <w:t>what you’re willing to change if necessary</w:t>
      </w:r>
      <w:r w:rsidR="00863555" w:rsidRPr="00231FE3">
        <w:rPr>
          <w:rFonts w:ascii="Garamond" w:hAnsi="Garamond"/>
        </w:rPr>
        <w:t xml:space="preserve">. </w:t>
      </w:r>
    </w:p>
    <w:p w14:paraId="161E15FE" w14:textId="1AB71900" w:rsidR="0072556F" w:rsidRPr="0049196F" w:rsidRDefault="00B92A60" w:rsidP="0049196F">
      <w:pPr>
        <w:pStyle w:val="ListParagraph"/>
        <w:spacing w:before="180" w:after="0" w:line="300" w:lineRule="atLeast"/>
        <w:ind w:left="360"/>
        <w:contextualSpacing w:val="0"/>
        <w:rPr>
          <w:rFonts w:ascii="Garamond" w:hAnsi="Garamond"/>
        </w:rPr>
      </w:pPr>
      <w:r w:rsidRPr="00231FE3">
        <w:rPr>
          <w:rFonts w:ascii="Garamond" w:hAnsi="Garamond"/>
        </w:rPr>
        <w:t xml:space="preserve">Consider </w:t>
      </w:r>
      <w:r w:rsidR="006846BF" w:rsidRPr="00231FE3">
        <w:rPr>
          <w:rFonts w:ascii="Garamond" w:hAnsi="Garamond"/>
        </w:rPr>
        <w:t xml:space="preserve">a </w:t>
      </w:r>
      <w:r w:rsidR="009652BB">
        <w:rPr>
          <w:rFonts w:ascii="Garamond" w:hAnsi="Garamond"/>
        </w:rPr>
        <w:t>three-to-four-month</w:t>
      </w:r>
      <w:r w:rsidR="006846BF" w:rsidRPr="00231FE3">
        <w:rPr>
          <w:rFonts w:ascii="Garamond" w:hAnsi="Garamond"/>
        </w:rPr>
        <w:t xml:space="preserve"> </w:t>
      </w:r>
      <w:r w:rsidR="00DC7B94" w:rsidRPr="00231FE3">
        <w:rPr>
          <w:rFonts w:ascii="Garamond" w:hAnsi="Garamond"/>
        </w:rPr>
        <w:t xml:space="preserve">retirement </w:t>
      </w:r>
      <w:r w:rsidRPr="00231FE3">
        <w:rPr>
          <w:rFonts w:ascii="Garamond" w:hAnsi="Garamond"/>
        </w:rPr>
        <w:t xml:space="preserve">practice </w:t>
      </w:r>
      <w:r w:rsidR="006846BF" w:rsidRPr="00231FE3">
        <w:rPr>
          <w:rFonts w:ascii="Garamond" w:hAnsi="Garamond"/>
        </w:rPr>
        <w:t>period</w:t>
      </w:r>
      <w:r w:rsidRPr="00231FE3">
        <w:rPr>
          <w:rFonts w:ascii="Garamond" w:hAnsi="Garamond"/>
        </w:rPr>
        <w:t xml:space="preserve"> </w:t>
      </w:r>
      <w:r w:rsidR="006846BF" w:rsidRPr="00231FE3">
        <w:rPr>
          <w:rFonts w:ascii="Garamond" w:hAnsi="Garamond"/>
        </w:rPr>
        <w:t xml:space="preserve">– meaning </w:t>
      </w:r>
      <w:r w:rsidR="00551540" w:rsidRPr="00231FE3">
        <w:rPr>
          <w:rFonts w:ascii="Garamond" w:hAnsi="Garamond"/>
        </w:rPr>
        <w:t xml:space="preserve">try living on your projected monthly retirement </w:t>
      </w:r>
      <w:r w:rsidR="00FD1330" w:rsidRPr="00231FE3">
        <w:rPr>
          <w:rFonts w:ascii="Garamond" w:hAnsi="Garamond"/>
        </w:rPr>
        <w:t>income and</w:t>
      </w:r>
      <w:r w:rsidR="00551540" w:rsidRPr="00231FE3">
        <w:rPr>
          <w:rFonts w:ascii="Garamond" w:hAnsi="Garamond"/>
        </w:rPr>
        <w:t xml:space="preserve"> </w:t>
      </w:r>
      <w:r w:rsidR="00187EE8" w:rsidRPr="00231FE3">
        <w:rPr>
          <w:rFonts w:ascii="Garamond" w:hAnsi="Garamond"/>
        </w:rPr>
        <w:t xml:space="preserve">only spend the money that you’ve identified as important or desired when you retire. </w:t>
      </w:r>
      <w:r w:rsidR="003231D4">
        <w:rPr>
          <w:rFonts w:ascii="Garamond" w:hAnsi="Garamond"/>
        </w:rPr>
        <w:t>S</w:t>
      </w:r>
      <w:r w:rsidR="00223456" w:rsidRPr="00231FE3">
        <w:rPr>
          <w:rFonts w:ascii="Garamond" w:hAnsi="Garamond"/>
        </w:rPr>
        <w:t>omething as simple as how often you eat a meal out</w:t>
      </w:r>
      <w:r w:rsidR="00F62427">
        <w:rPr>
          <w:rFonts w:ascii="Garamond" w:hAnsi="Garamond"/>
        </w:rPr>
        <w:t xml:space="preserve"> can show how different life in retirement is</w:t>
      </w:r>
      <w:r w:rsidR="00F56EAD" w:rsidRPr="00231FE3">
        <w:rPr>
          <w:rFonts w:ascii="Garamond" w:hAnsi="Garamond"/>
        </w:rPr>
        <w:t>: if your retirement income plan assumes you’ll eat out three times a week</w:t>
      </w:r>
      <w:r w:rsidR="00081187" w:rsidRPr="00231FE3">
        <w:rPr>
          <w:rFonts w:ascii="Garamond" w:hAnsi="Garamond"/>
        </w:rPr>
        <w:t xml:space="preserve">, but </w:t>
      </w:r>
      <w:r w:rsidR="00BA6D50">
        <w:rPr>
          <w:rFonts w:ascii="Garamond" w:hAnsi="Garamond"/>
        </w:rPr>
        <w:t>over a few months you can’t live w</w:t>
      </w:r>
      <w:r w:rsidR="00A93BF2" w:rsidRPr="00231FE3">
        <w:rPr>
          <w:rFonts w:ascii="Garamond" w:hAnsi="Garamond"/>
        </w:rPr>
        <w:t>ithout</w:t>
      </w:r>
      <w:r w:rsidR="0039762F" w:rsidRPr="00231FE3">
        <w:rPr>
          <w:rFonts w:ascii="Garamond" w:hAnsi="Garamond"/>
        </w:rPr>
        <w:t xml:space="preserve"> the six or seven</w:t>
      </w:r>
      <w:r w:rsidR="006A545D" w:rsidRPr="00231FE3">
        <w:rPr>
          <w:rFonts w:ascii="Garamond" w:hAnsi="Garamond"/>
        </w:rPr>
        <w:t xml:space="preserve"> meals</w:t>
      </w:r>
      <w:r w:rsidR="0039762F" w:rsidRPr="00231FE3">
        <w:rPr>
          <w:rFonts w:ascii="Garamond" w:hAnsi="Garamond"/>
        </w:rPr>
        <w:t xml:space="preserve"> you currently eat out or bring in,  </w:t>
      </w:r>
      <w:r w:rsidR="00837665" w:rsidRPr="00231FE3">
        <w:rPr>
          <w:rFonts w:ascii="Garamond" w:hAnsi="Garamond"/>
        </w:rPr>
        <w:t xml:space="preserve">you need more practice or more retirement income. You choose which, but both suggest that you should keep working longer. </w:t>
      </w:r>
    </w:p>
    <w:p w14:paraId="78AD598F" w14:textId="29AF3D3C" w:rsidR="006121B4" w:rsidRPr="007A581D" w:rsidRDefault="007A5D2A" w:rsidP="007A581D">
      <w:pPr>
        <w:pStyle w:val="ListParagraph"/>
        <w:numPr>
          <w:ilvl w:val="0"/>
          <w:numId w:val="1"/>
        </w:numPr>
        <w:spacing w:before="180" w:after="0" w:line="300" w:lineRule="atLeast"/>
        <w:contextualSpacing w:val="0"/>
        <w:rPr>
          <w:rFonts w:ascii="Garamond" w:hAnsi="Garamond"/>
        </w:rPr>
      </w:pPr>
      <w:r w:rsidRPr="009652BB">
        <w:rPr>
          <w:rFonts w:ascii="Garamond" w:hAnsi="Garamond"/>
          <w:b/>
          <w:bCs/>
          <w:i/>
          <w:iCs/>
          <w:color w:val="002060"/>
        </w:rPr>
        <w:t xml:space="preserve">You </w:t>
      </w:r>
      <w:r w:rsidR="007A581D" w:rsidRPr="009652BB">
        <w:rPr>
          <w:rFonts w:ascii="Garamond" w:hAnsi="Garamond"/>
          <w:b/>
          <w:bCs/>
          <w:i/>
          <w:iCs/>
          <w:color w:val="002060"/>
        </w:rPr>
        <w:t>don’t have a plan</w:t>
      </w:r>
      <w:r w:rsidRPr="009652BB">
        <w:rPr>
          <w:rFonts w:ascii="Garamond" w:hAnsi="Garamond"/>
          <w:b/>
          <w:bCs/>
          <w:i/>
          <w:iCs/>
          <w:color w:val="002060"/>
        </w:rPr>
        <w:t xml:space="preserve"> for longevity.</w:t>
      </w:r>
      <w:r w:rsidRPr="00231FE3">
        <w:rPr>
          <w:rFonts w:ascii="Garamond" w:hAnsi="Garamond"/>
        </w:rPr>
        <w:t xml:space="preserve"> </w:t>
      </w:r>
      <w:r w:rsidR="00177F93" w:rsidRPr="00231FE3">
        <w:rPr>
          <w:rFonts w:ascii="Garamond" w:hAnsi="Garamond"/>
        </w:rPr>
        <w:t xml:space="preserve">Almost every risk factor in retirement </w:t>
      </w:r>
      <w:r w:rsidR="007A581D">
        <w:rPr>
          <w:rFonts w:ascii="Garamond" w:hAnsi="Garamond"/>
        </w:rPr>
        <w:t>increases</w:t>
      </w:r>
      <w:r w:rsidR="00177F93" w:rsidRPr="00231FE3">
        <w:rPr>
          <w:rFonts w:ascii="Garamond" w:hAnsi="Garamond"/>
        </w:rPr>
        <w:t xml:space="preserve"> </w:t>
      </w:r>
      <w:r w:rsidR="00EE088E" w:rsidRPr="00231FE3">
        <w:rPr>
          <w:rFonts w:ascii="Garamond" w:hAnsi="Garamond"/>
        </w:rPr>
        <w:t>the longer you live</w:t>
      </w:r>
      <w:r w:rsidR="00177F93" w:rsidRPr="00231FE3">
        <w:rPr>
          <w:rFonts w:ascii="Garamond" w:hAnsi="Garamond"/>
        </w:rPr>
        <w:t xml:space="preserve">. </w:t>
      </w:r>
      <w:r w:rsidR="004D055E" w:rsidRPr="00231FE3">
        <w:rPr>
          <w:rFonts w:ascii="Garamond" w:hAnsi="Garamond"/>
        </w:rPr>
        <w:t xml:space="preserve">Many people have </w:t>
      </w:r>
      <w:r w:rsidR="004A5005" w:rsidRPr="00231FE3">
        <w:rPr>
          <w:rFonts w:ascii="Garamond" w:hAnsi="Garamond"/>
        </w:rPr>
        <w:t xml:space="preserve">enjoyed wonderful retirement years, only to find the last </w:t>
      </w:r>
      <w:r w:rsidR="002F0F93" w:rsidRPr="00231FE3">
        <w:rPr>
          <w:rFonts w:ascii="Garamond" w:hAnsi="Garamond"/>
        </w:rPr>
        <w:t>year or three are fraught with concerns because the costs of significant old age land</w:t>
      </w:r>
      <w:r w:rsidR="008523E1">
        <w:rPr>
          <w:rFonts w:ascii="Garamond" w:hAnsi="Garamond"/>
        </w:rPr>
        <w:t xml:space="preserve"> hard</w:t>
      </w:r>
      <w:r w:rsidR="002F0F93" w:rsidRPr="00231FE3">
        <w:rPr>
          <w:rFonts w:ascii="Garamond" w:hAnsi="Garamond"/>
        </w:rPr>
        <w:t xml:space="preserve">. </w:t>
      </w:r>
      <w:r w:rsidR="00250CAD" w:rsidRPr="00231FE3">
        <w:rPr>
          <w:rFonts w:ascii="Garamond" w:hAnsi="Garamond"/>
        </w:rPr>
        <w:t xml:space="preserve">What seemed like a substantial nest egg at </w:t>
      </w:r>
      <w:r w:rsidR="000E6FF9" w:rsidRPr="00231FE3">
        <w:rPr>
          <w:rFonts w:ascii="Garamond" w:hAnsi="Garamond"/>
        </w:rPr>
        <w:t>75 or 80 dwindles quickly at 90 or 95.</w:t>
      </w:r>
      <w:r w:rsidR="005017B8" w:rsidRPr="00231FE3">
        <w:rPr>
          <w:rFonts w:ascii="Garamond" w:hAnsi="Garamond"/>
        </w:rPr>
        <w:t xml:space="preserve"> </w:t>
      </w:r>
      <w:r w:rsidR="00FD1458" w:rsidRPr="00231FE3">
        <w:rPr>
          <w:rFonts w:ascii="Garamond" w:hAnsi="Garamond"/>
        </w:rPr>
        <w:t xml:space="preserve">I’ve even known </w:t>
      </w:r>
      <w:r w:rsidR="008C577C" w:rsidRPr="00231FE3">
        <w:rPr>
          <w:rFonts w:ascii="Garamond" w:hAnsi="Garamond"/>
        </w:rPr>
        <w:t xml:space="preserve">children who were paying for their parent’s elder care for five, seven, </w:t>
      </w:r>
      <w:r w:rsidR="007E7C49" w:rsidRPr="00231FE3">
        <w:rPr>
          <w:rFonts w:ascii="Garamond" w:hAnsi="Garamond"/>
        </w:rPr>
        <w:t>ten years</w:t>
      </w:r>
      <w:r w:rsidR="009D15DE">
        <w:rPr>
          <w:rFonts w:ascii="Garamond" w:hAnsi="Garamond"/>
        </w:rPr>
        <w:t xml:space="preserve"> because no one planned that they’d live to 95, 100, or longer</w:t>
      </w:r>
      <w:r w:rsidR="007E7C49" w:rsidRPr="00231FE3">
        <w:rPr>
          <w:rFonts w:ascii="Garamond" w:hAnsi="Garamond"/>
        </w:rPr>
        <w:t xml:space="preserve">. That’s not a great plan. </w:t>
      </w:r>
      <w:r w:rsidR="005017B8" w:rsidRPr="00231FE3">
        <w:rPr>
          <w:rFonts w:ascii="Garamond" w:hAnsi="Garamond"/>
        </w:rPr>
        <w:t xml:space="preserve">Your last five to ten years of life is where long-term financial planning and </w:t>
      </w:r>
      <w:r w:rsidR="00EE2049" w:rsidRPr="00231FE3">
        <w:rPr>
          <w:rFonts w:ascii="Garamond" w:hAnsi="Garamond"/>
        </w:rPr>
        <w:t xml:space="preserve">estate and elder care planning converge. </w:t>
      </w:r>
      <w:r w:rsidR="003610CE" w:rsidRPr="00231FE3">
        <w:rPr>
          <w:rFonts w:ascii="Garamond" w:hAnsi="Garamond"/>
        </w:rPr>
        <w:t xml:space="preserve">Bring your financial advisor and your estate lawyer together and talk </w:t>
      </w:r>
      <w:r w:rsidR="00B8373A" w:rsidRPr="00231FE3">
        <w:rPr>
          <w:rFonts w:ascii="Garamond" w:hAnsi="Garamond"/>
        </w:rPr>
        <w:t xml:space="preserve">as a team about how </w:t>
      </w:r>
      <w:r w:rsidR="00FD1458" w:rsidRPr="00231FE3">
        <w:rPr>
          <w:rFonts w:ascii="Garamond" w:hAnsi="Garamond"/>
        </w:rPr>
        <w:t>your most senior years will be addressed</w:t>
      </w:r>
      <w:r w:rsidR="00B8373A" w:rsidRPr="00231FE3">
        <w:rPr>
          <w:rFonts w:ascii="Garamond" w:hAnsi="Garamond"/>
        </w:rPr>
        <w:t xml:space="preserve">. </w:t>
      </w:r>
    </w:p>
    <w:p w14:paraId="1368C98D" w14:textId="3BDB6A44" w:rsidR="00863555" w:rsidRPr="00231FE3" w:rsidRDefault="006121B4" w:rsidP="00231FE3">
      <w:pPr>
        <w:pStyle w:val="ListParagraph"/>
        <w:numPr>
          <w:ilvl w:val="0"/>
          <w:numId w:val="1"/>
        </w:numPr>
        <w:spacing w:before="180" w:after="0" w:line="300" w:lineRule="atLeast"/>
        <w:contextualSpacing w:val="0"/>
        <w:rPr>
          <w:rFonts w:ascii="Garamond" w:hAnsi="Garamond"/>
          <w:b/>
          <w:bCs/>
          <w:i/>
          <w:iCs/>
        </w:rPr>
      </w:pPr>
      <w:r w:rsidRPr="009652BB">
        <w:rPr>
          <w:rFonts w:ascii="Garamond" w:hAnsi="Garamond"/>
          <w:b/>
          <w:bCs/>
          <w:i/>
          <w:iCs/>
          <w:color w:val="002060"/>
        </w:rPr>
        <w:t xml:space="preserve">You </w:t>
      </w:r>
      <w:r w:rsidR="00287DCC" w:rsidRPr="009652BB">
        <w:rPr>
          <w:rFonts w:ascii="Garamond" w:hAnsi="Garamond"/>
          <w:b/>
          <w:bCs/>
          <w:i/>
          <w:iCs/>
          <w:color w:val="002060"/>
        </w:rPr>
        <w:t>don’t know how taxes work in retirement.</w:t>
      </w:r>
      <w:r w:rsidR="00287DCC" w:rsidRPr="009652BB">
        <w:rPr>
          <w:rFonts w:ascii="Garamond" w:hAnsi="Garamond"/>
          <w:color w:val="002060"/>
        </w:rPr>
        <w:t xml:space="preserve"> </w:t>
      </w:r>
      <w:r w:rsidR="00287DCC" w:rsidRPr="00231FE3">
        <w:rPr>
          <w:rFonts w:ascii="Garamond" w:hAnsi="Garamond"/>
        </w:rPr>
        <w:t xml:space="preserve">Let’s just say they’re very different. Understanding what income is taxed and at what percentage is </w:t>
      </w:r>
      <w:r w:rsidR="00D551EF" w:rsidRPr="00231FE3">
        <w:rPr>
          <w:rFonts w:ascii="Garamond" w:hAnsi="Garamond"/>
        </w:rPr>
        <w:t>critical</w:t>
      </w:r>
      <w:r w:rsidR="00287DCC" w:rsidRPr="00231FE3">
        <w:rPr>
          <w:rFonts w:ascii="Garamond" w:hAnsi="Garamond"/>
        </w:rPr>
        <w:t xml:space="preserve"> when you’re deciding how to withdraw money</w:t>
      </w:r>
      <w:r w:rsidR="00DD7ACD" w:rsidRPr="00231FE3">
        <w:rPr>
          <w:rFonts w:ascii="Garamond" w:hAnsi="Garamond"/>
        </w:rPr>
        <w:t xml:space="preserve"> from assets instead of collecting a paycheck. </w:t>
      </w:r>
      <w:r w:rsidR="004C20C3" w:rsidRPr="00231FE3">
        <w:rPr>
          <w:rFonts w:ascii="Garamond" w:hAnsi="Garamond"/>
        </w:rPr>
        <w:t>The calculation of taxes on social security an</w:t>
      </w:r>
      <w:r w:rsidR="009A538F" w:rsidRPr="00231FE3">
        <w:rPr>
          <w:rFonts w:ascii="Garamond" w:hAnsi="Garamond"/>
        </w:rPr>
        <w:t xml:space="preserve">d potential </w:t>
      </w:r>
      <w:r w:rsidR="00E76535" w:rsidRPr="00231FE3">
        <w:rPr>
          <w:rFonts w:ascii="Garamond" w:hAnsi="Garamond"/>
        </w:rPr>
        <w:t xml:space="preserve">long-term </w:t>
      </w:r>
      <w:r w:rsidR="009A538F" w:rsidRPr="00231FE3">
        <w:rPr>
          <w:rFonts w:ascii="Garamond" w:hAnsi="Garamond"/>
        </w:rPr>
        <w:t>benefits of planning how to draw from differently</w:t>
      </w:r>
      <w:r w:rsidR="00FD1330">
        <w:rPr>
          <w:rFonts w:ascii="Garamond" w:hAnsi="Garamond"/>
        </w:rPr>
        <w:t xml:space="preserve"> </w:t>
      </w:r>
      <w:r w:rsidR="009A538F" w:rsidRPr="00231FE3">
        <w:rPr>
          <w:rFonts w:ascii="Garamond" w:hAnsi="Garamond"/>
        </w:rPr>
        <w:t xml:space="preserve">taxed assets </w:t>
      </w:r>
      <w:r w:rsidR="00E76535" w:rsidRPr="00231FE3">
        <w:rPr>
          <w:rFonts w:ascii="Garamond" w:hAnsi="Garamond"/>
        </w:rPr>
        <w:t xml:space="preserve">can make a significant difference in your retirement financial health. </w:t>
      </w:r>
    </w:p>
    <w:p w14:paraId="6FB30617" w14:textId="77777777" w:rsidR="00E76535" w:rsidRPr="00231FE3" w:rsidRDefault="00E76535" w:rsidP="00231FE3">
      <w:pPr>
        <w:pStyle w:val="ListParagraph"/>
        <w:spacing w:before="180" w:after="0" w:line="300" w:lineRule="atLeast"/>
        <w:contextualSpacing w:val="0"/>
        <w:rPr>
          <w:rFonts w:ascii="Garamond" w:hAnsi="Garamond"/>
          <w:b/>
          <w:bCs/>
          <w:i/>
          <w:iCs/>
        </w:rPr>
      </w:pPr>
    </w:p>
    <w:p w14:paraId="21FC8625" w14:textId="77777777" w:rsidR="00E76535" w:rsidRDefault="00E76535" w:rsidP="00231FE3">
      <w:pPr>
        <w:spacing w:before="180" w:after="0" w:line="300" w:lineRule="atLeast"/>
        <w:rPr>
          <w:rFonts w:ascii="Garamond" w:hAnsi="Garamond"/>
          <w:b/>
          <w:bCs/>
          <w:i/>
          <w:iCs/>
        </w:rPr>
      </w:pPr>
    </w:p>
    <w:p w14:paraId="33FC999A" w14:textId="77777777" w:rsidR="00BE5ECA" w:rsidRDefault="00BE5ECA" w:rsidP="00231FE3">
      <w:pPr>
        <w:spacing w:before="180" w:after="0" w:line="300" w:lineRule="atLeast"/>
        <w:rPr>
          <w:rFonts w:ascii="Garamond" w:hAnsi="Garamond"/>
          <w:b/>
          <w:bCs/>
          <w:i/>
          <w:iCs/>
        </w:rPr>
      </w:pPr>
    </w:p>
    <w:p w14:paraId="3F73246D" w14:textId="77777777" w:rsidR="00BE5ECA" w:rsidRDefault="00BE5ECA" w:rsidP="00231FE3">
      <w:pPr>
        <w:spacing w:before="180" w:after="0" w:line="300" w:lineRule="atLeast"/>
        <w:rPr>
          <w:rFonts w:ascii="Garamond" w:hAnsi="Garamond"/>
          <w:b/>
          <w:bCs/>
          <w:i/>
          <w:iCs/>
        </w:rPr>
      </w:pPr>
    </w:p>
    <w:p w14:paraId="7AC9590B" w14:textId="77777777" w:rsidR="00BE5ECA" w:rsidRDefault="00BE5ECA" w:rsidP="00231FE3">
      <w:pPr>
        <w:spacing w:before="180" w:after="0" w:line="300" w:lineRule="atLeast"/>
        <w:rPr>
          <w:rFonts w:ascii="Garamond" w:hAnsi="Garamond"/>
          <w:b/>
          <w:bCs/>
          <w:i/>
          <w:iCs/>
        </w:rPr>
      </w:pPr>
    </w:p>
    <w:p w14:paraId="49677660" w14:textId="77777777" w:rsidR="00BE5ECA" w:rsidRDefault="00BE5ECA" w:rsidP="00BE5ECA">
      <w:pPr>
        <w:spacing w:after="120" w:line="300" w:lineRule="atLeast"/>
        <w:jc w:val="center"/>
        <w:rPr>
          <w:rFonts w:ascii="Garamond" w:hAnsi="Garamond"/>
          <w:i/>
          <w:iCs/>
        </w:rPr>
      </w:pPr>
    </w:p>
    <w:p w14:paraId="21352FFF" w14:textId="4F470FB9" w:rsidR="00BE5ECA" w:rsidRPr="004312DE" w:rsidRDefault="00BE5ECA" w:rsidP="00BE5ECA">
      <w:pPr>
        <w:rPr>
          <w:rFonts w:ascii="Garamond" w:hAnsi="Garamond"/>
        </w:rPr>
      </w:pPr>
      <w:r>
        <w:rPr>
          <w:rFonts w:ascii="Garamond" w:hAnsi="Garamond"/>
        </w:rPr>
        <w:t xml:space="preserve">Lydia Palmer, </w:t>
      </w:r>
      <w:r w:rsidRPr="00A354DF">
        <w:rPr>
          <w:rFonts w:ascii="Garamond" w:hAnsi="Garamond"/>
        </w:rPr>
        <w:t>Registered Representative and Financial Advisor of Park Avenue Securities LLC (PAS). OSJ: 600 DELAWARE AVENUE, BUFFALO NY, 14202, 716-8177109. Securities products and advisory services offered through PAS, member FINRA, SIPC. Financial Representative of The Guardian Life Insurance Company of America® (Guardian), New York, NY. PAS is a wholly owned subsidiary of Guardian. Higher Purpose Financial is not an affiliate or subsidiary of PAS or Guardian.</w:t>
      </w:r>
      <w:r w:rsidR="001C4013">
        <w:rPr>
          <w:rFonts w:ascii="Garamond" w:hAnsi="Garamond"/>
        </w:rPr>
        <w:t xml:space="preserve"> </w:t>
      </w:r>
      <w:hyperlink r:id="rId10" w:history="1">
        <w:r w:rsidR="001B4F7F" w:rsidRPr="001B4F7F">
          <w:rPr>
            <w:rStyle w:val="Hyperlink"/>
            <w:rFonts w:ascii="Garamond" w:hAnsi="Garamond"/>
            <w:color w:val="auto"/>
            <w:u w:val="none"/>
          </w:rPr>
          <w:t>8969679.1</w:t>
        </w:r>
      </w:hyperlink>
      <w:r w:rsidR="001C4013" w:rsidRPr="001B4F7F">
        <w:rPr>
          <w:rFonts w:ascii="Garamond" w:hAnsi="Garamond"/>
        </w:rPr>
        <w:t xml:space="preserve">  </w:t>
      </w:r>
      <w:r w:rsidRPr="001B4F7F">
        <w:rPr>
          <w:rFonts w:ascii="Garamond" w:hAnsi="Garamond"/>
        </w:rPr>
        <w:t xml:space="preserve">Exp </w:t>
      </w:r>
      <w:r w:rsidR="001B4F7F" w:rsidRPr="001B4F7F">
        <w:rPr>
          <w:rFonts w:ascii="Garamond" w:hAnsi="Garamond"/>
        </w:rPr>
        <w:t>06/28</w:t>
      </w:r>
    </w:p>
    <w:p w14:paraId="10A5F2FC" w14:textId="77777777" w:rsidR="00BE5ECA" w:rsidRPr="00231FE3" w:rsidRDefault="00BE5ECA" w:rsidP="00231FE3">
      <w:pPr>
        <w:spacing w:before="180" w:after="0" w:line="300" w:lineRule="atLeast"/>
        <w:rPr>
          <w:rFonts w:ascii="Garamond" w:hAnsi="Garamond"/>
          <w:b/>
          <w:bCs/>
          <w:i/>
          <w:iCs/>
        </w:rPr>
      </w:pPr>
    </w:p>
    <w:sectPr w:rsidR="00BE5ECA" w:rsidRPr="00231FE3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3582F" w14:textId="77777777" w:rsidR="009B054C" w:rsidRDefault="009B054C" w:rsidP="009B054C">
      <w:pPr>
        <w:spacing w:after="0" w:line="240" w:lineRule="auto"/>
      </w:pPr>
      <w:r>
        <w:separator/>
      </w:r>
    </w:p>
  </w:endnote>
  <w:endnote w:type="continuationSeparator" w:id="0">
    <w:p w14:paraId="71A643B9" w14:textId="77777777" w:rsidR="009B054C" w:rsidRDefault="009B054C" w:rsidP="009B0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D04ED" w14:textId="0DF038F6" w:rsidR="003F4BB4" w:rsidRPr="003F4BB4" w:rsidRDefault="003F4BB4">
    <w:pPr>
      <w:pStyle w:val="Footer"/>
      <w:rPr>
        <w:rFonts w:ascii="Garamond" w:hAnsi="Garamond"/>
        <w:i/>
        <w:iCs/>
      </w:rPr>
    </w:pPr>
    <w:r>
      <w:rPr>
        <w:rFonts w:ascii="Garamond" w:hAnsi="Garamond"/>
        <w:i/>
        <w:iCs/>
      </w:rPr>
      <w:t>July</w:t>
    </w:r>
    <w:r w:rsidRPr="005B6F7F">
      <w:rPr>
        <w:rFonts w:ascii="Garamond" w:hAnsi="Garamond"/>
        <w:i/>
        <w:iCs/>
      </w:rPr>
      <w:t xml:space="preserve"> 2026</w:t>
    </w:r>
    <w:r w:rsidRPr="005B6F7F">
      <w:rPr>
        <w:rFonts w:ascii="Garamond" w:hAnsi="Garamond"/>
        <w:i/>
        <w:iCs/>
      </w:rPr>
      <w:tab/>
    </w:r>
    <w:r w:rsidRPr="005B6F7F">
      <w:rPr>
        <w:rFonts w:ascii="Garamond" w:hAnsi="Garamond"/>
        <w:i/>
        <w:iCs/>
      </w:rPr>
      <w:tab/>
    </w:r>
    <w:r w:rsidRPr="005B6F7F">
      <w:rPr>
        <w:rFonts w:ascii="Garamond" w:hAnsi="Garamond"/>
        <w:i/>
        <w:iCs/>
        <w:color w:val="7F7F7F" w:themeColor="background1" w:themeShade="7F"/>
        <w:spacing w:val="60"/>
      </w:rPr>
      <w:t>Page</w:t>
    </w:r>
    <w:r w:rsidRPr="005B6F7F">
      <w:rPr>
        <w:rFonts w:ascii="Garamond" w:hAnsi="Garamond"/>
        <w:i/>
        <w:iCs/>
      </w:rPr>
      <w:t xml:space="preserve"> | </w:t>
    </w:r>
    <w:r w:rsidRPr="005B6F7F">
      <w:rPr>
        <w:rFonts w:ascii="Garamond" w:hAnsi="Garamond"/>
        <w:i/>
        <w:iCs/>
      </w:rPr>
      <w:fldChar w:fldCharType="begin"/>
    </w:r>
    <w:r w:rsidRPr="005B6F7F">
      <w:rPr>
        <w:rFonts w:ascii="Garamond" w:hAnsi="Garamond"/>
        <w:i/>
        <w:iCs/>
      </w:rPr>
      <w:instrText xml:space="preserve"> PAGE   \* MERGEFORMAT </w:instrText>
    </w:r>
    <w:r w:rsidRPr="005B6F7F">
      <w:rPr>
        <w:rFonts w:ascii="Garamond" w:hAnsi="Garamond"/>
        <w:i/>
        <w:iCs/>
      </w:rPr>
      <w:fldChar w:fldCharType="separate"/>
    </w:r>
    <w:r>
      <w:rPr>
        <w:rFonts w:ascii="Garamond" w:hAnsi="Garamond"/>
        <w:i/>
        <w:iCs/>
      </w:rPr>
      <w:t>3</w:t>
    </w:r>
    <w:r w:rsidRPr="005B6F7F">
      <w:rPr>
        <w:rFonts w:ascii="Garamond" w:hAnsi="Garamond"/>
        <w:b/>
        <w:bCs/>
        <w:i/>
        <w:i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5F2AF" w14:textId="77777777" w:rsidR="009B054C" w:rsidRDefault="009B054C" w:rsidP="009B054C">
      <w:pPr>
        <w:spacing w:after="0" w:line="240" w:lineRule="auto"/>
      </w:pPr>
      <w:r>
        <w:separator/>
      </w:r>
    </w:p>
  </w:footnote>
  <w:footnote w:type="continuationSeparator" w:id="0">
    <w:p w14:paraId="2FF5E660" w14:textId="77777777" w:rsidR="009B054C" w:rsidRDefault="009B054C" w:rsidP="009B054C">
      <w:pPr>
        <w:spacing w:after="0" w:line="240" w:lineRule="auto"/>
      </w:pPr>
      <w:r>
        <w:continuationSeparator/>
      </w:r>
    </w:p>
  </w:footnote>
  <w:footnote w:id="1">
    <w:p w14:paraId="442FBF38" w14:textId="3F6181D0" w:rsidR="009B054C" w:rsidRDefault="009B054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B054C">
        <w:t>https://www.pewresearch.org/social-trends/2013/01/30/the-sandwich-generation/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3321FB"/>
    <w:multiLevelType w:val="multilevel"/>
    <w:tmpl w:val="113C8A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/>
        <w:color w:val="002060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398749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555"/>
    <w:rsid w:val="00004C6C"/>
    <w:rsid w:val="00034F13"/>
    <w:rsid w:val="000761A4"/>
    <w:rsid w:val="00081187"/>
    <w:rsid w:val="00083934"/>
    <w:rsid w:val="00083C1B"/>
    <w:rsid w:val="000C15B6"/>
    <w:rsid w:val="000C41E4"/>
    <w:rsid w:val="000D6CE0"/>
    <w:rsid w:val="000E350F"/>
    <w:rsid w:val="000E6FF9"/>
    <w:rsid w:val="000E702C"/>
    <w:rsid w:val="001000C0"/>
    <w:rsid w:val="00123059"/>
    <w:rsid w:val="001327B9"/>
    <w:rsid w:val="00142D1A"/>
    <w:rsid w:val="00157D65"/>
    <w:rsid w:val="00164B93"/>
    <w:rsid w:val="00177F93"/>
    <w:rsid w:val="00181C8B"/>
    <w:rsid w:val="00187EE8"/>
    <w:rsid w:val="00193FFD"/>
    <w:rsid w:val="001B2DE8"/>
    <w:rsid w:val="001B4F7F"/>
    <w:rsid w:val="001C4013"/>
    <w:rsid w:val="001C5D02"/>
    <w:rsid w:val="001D36C4"/>
    <w:rsid w:val="002025C4"/>
    <w:rsid w:val="00202691"/>
    <w:rsid w:val="0020453D"/>
    <w:rsid w:val="00223290"/>
    <w:rsid w:val="00223456"/>
    <w:rsid w:val="00231FE3"/>
    <w:rsid w:val="00250CAD"/>
    <w:rsid w:val="0027388B"/>
    <w:rsid w:val="0028087A"/>
    <w:rsid w:val="00286499"/>
    <w:rsid w:val="00287DCC"/>
    <w:rsid w:val="00294C73"/>
    <w:rsid w:val="002978C8"/>
    <w:rsid w:val="002A142A"/>
    <w:rsid w:val="002A633E"/>
    <w:rsid w:val="002B11CD"/>
    <w:rsid w:val="002B2BC0"/>
    <w:rsid w:val="002B356B"/>
    <w:rsid w:val="002C1040"/>
    <w:rsid w:val="002D0A3D"/>
    <w:rsid w:val="002E4396"/>
    <w:rsid w:val="002F0F93"/>
    <w:rsid w:val="002F4DE6"/>
    <w:rsid w:val="00300A1F"/>
    <w:rsid w:val="003142B5"/>
    <w:rsid w:val="00314BED"/>
    <w:rsid w:val="003231D4"/>
    <w:rsid w:val="00324B47"/>
    <w:rsid w:val="00337B76"/>
    <w:rsid w:val="00354FFC"/>
    <w:rsid w:val="003550F6"/>
    <w:rsid w:val="003610CE"/>
    <w:rsid w:val="003826C3"/>
    <w:rsid w:val="00390C82"/>
    <w:rsid w:val="0039762F"/>
    <w:rsid w:val="003C2C84"/>
    <w:rsid w:val="003C7152"/>
    <w:rsid w:val="003D3625"/>
    <w:rsid w:val="003E1A83"/>
    <w:rsid w:val="003F065B"/>
    <w:rsid w:val="003F332E"/>
    <w:rsid w:val="003F4BB4"/>
    <w:rsid w:val="003F5A1E"/>
    <w:rsid w:val="0041371F"/>
    <w:rsid w:val="004137C0"/>
    <w:rsid w:val="00444DF3"/>
    <w:rsid w:val="004659FB"/>
    <w:rsid w:val="00467E64"/>
    <w:rsid w:val="0047303E"/>
    <w:rsid w:val="0049196F"/>
    <w:rsid w:val="004A5005"/>
    <w:rsid w:val="004A6D7A"/>
    <w:rsid w:val="004B2CA3"/>
    <w:rsid w:val="004C20C3"/>
    <w:rsid w:val="004C38A7"/>
    <w:rsid w:val="004D055E"/>
    <w:rsid w:val="004E7027"/>
    <w:rsid w:val="004F3CF2"/>
    <w:rsid w:val="005017B8"/>
    <w:rsid w:val="00512CFF"/>
    <w:rsid w:val="0053041C"/>
    <w:rsid w:val="00544114"/>
    <w:rsid w:val="00551540"/>
    <w:rsid w:val="00555E80"/>
    <w:rsid w:val="00562CC0"/>
    <w:rsid w:val="00577689"/>
    <w:rsid w:val="005865CB"/>
    <w:rsid w:val="005B3254"/>
    <w:rsid w:val="005C7E69"/>
    <w:rsid w:val="005E41B4"/>
    <w:rsid w:val="006121B4"/>
    <w:rsid w:val="00672316"/>
    <w:rsid w:val="00676984"/>
    <w:rsid w:val="006846BF"/>
    <w:rsid w:val="006A545D"/>
    <w:rsid w:val="006D6243"/>
    <w:rsid w:val="006E6BFF"/>
    <w:rsid w:val="0071357F"/>
    <w:rsid w:val="00716A0C"/>
    <w:rsid w:val="0072556F"/>
    <w:rsid w:val="00727C91"/>
    <w:rsid w:val="00736FAB"/>
    <w:rsid w:val="00765F4D"/>
    <w:rsid w:val="00781D3D"/>
    <w:rsid w:val="0079263C"/>
    <w:rsid w:val="007A581D"/>
    <w:rsid w:val="007A5D2A"/>
    <w:rsid w:val="007E7C49"/>
    <w:rsid w:val="007F4FD1"/>
    <w:rsid w:val="00811DD5"/>
    <w:rsid w:val="00812012"/>
    <w:rsid w:val="008169C1"/>
    <w:rsid w:val="008269FD"/>
    <w:rsid w:val="00837665"/>
    <w:rsid w:val="008523E1"/>
    <w:rsid w:val="00853F53"/>
    <w:rsid w:val="008540D4"/>
    <w:rsid w:val="00856B98"/>
    <w:rsid w:val="00863555"/>
    <w:rsid w:val="008751B0"/>
    <w:rsid w:val="0088230C"/>
    <w:rsid w:val="008855AE"/>
    <w:rsid w:val="00894422"/>
    <w:rsid w:val="008C0529"/>
    <w:rsid w:val="008C577C"/>
    <w:rsid w:val="008C7458"/>
    <w:rsid w:val="008C7885"/>
    <w:rsid w:val="008F3841"/>
    <w:rsid w:val="0090120B"/>
    <w:rsid w:val="00901F0D"/>
    <w:rsid w:val="00913395"/>
    <w:rsid w:val="00913B89"/>
    <w:rsid w:val="00926EA0"/>
    <w:rsid w:val="009279B5"/>
    <w:rsid w:val="009401C5"/>
    <w:rsid w:val="00941796"/>
    <w:rsid w:val="00944142"/>
    <w:rsid w:val="0095056E"/>
    <w:rsid w:val="009652BB"/>
    <w:rsid w:val="0097715C"/>
    <w:rsid w:val="00986633"/>
    <w:rsid w:val="00997189"/>
    <w:rsid w:val="009A538F"/>
    <w:rsid w:val="009A7030"/>
    <w:rsid w:val="009B054C"/>
    <w:rsid w:val="009D15DE"/>
    <w:rsid w:val="009D3732"/>
    <w:rsid w:val="009E1A4E"/>
    <w:rsid w:val="00A00EC5"/>
    <w:rsid w:val="00A60F92"/>
    <w:rsid w:val="00A67AA5"/>
    <w:rsid w:val="00A71C6C"/>
    <w:rsid w:val="00A81075"/>
    <w:rsid w:val="00A86735"/>
    <w:rsid w:val="00A905D3"/>
    <w:rsid w:val="00A93BF2"/>
    <w:rsid w:val="00AD32F1"/>
    <w:rsid w:val="00AD705E"/>
    <w:rsid w:val="00AF4C41"/>
    <w:rsid w:val="00B07416"/>
    <w:rsid w:val="00B12341"/>
    <w:rsid w:val="00B25DEA"/>
    <w:rsid w:val="00B26216"/>
    <w:rsid w:val="00B63D5B"/>
    <w:rsid w:val="00B63EBB"/>
    <w:rsid w:val="00B8373A"/>
    <w:rsid w:val="00B9072B"/>
    <w:rsid w:val="00B92A60"/>
    <w:rsid w:val="00BA6D50"/>
    <w:rsid w:val="00BC549D"/>
    <w:rsid w:val="00BD1029"/>
    <w:rsid w:val="00BD3B2F"/>
    <w:rsid w:val="00BE5ECA"/>
    <w:rsid w:val="00BF1B1E"/>
    <w:rsid w:val="00C00AF2"/>
    <w:rsid w:val="00C30E0F"/>
    <w:rsid w:val="00C520A2"/>
    <w:rsid w:val="00C54052"/>
    <w:rsid w:val="00C74AC9"/>
    <w:rsid w:val="00C75F7E"/>
    <w:rsid w:val="00C83DE4"/>
    <w:rsid w:val="00C842A1"/>
    <w:rsid w:val="00C95603"/>
    <w:rsid w:val="00CD791B"/>
    <w:rsid w:val="00CD7EF6"/>
    <w:rsid w:val="00CE20B0"/>
    <w:rsid w:val="00CE70C5"/>
    <w:rsid w:val="00D04194"/>
    <w:rsid w:val="00D05FCB"/>
    <w:rsid w:val="00D06533"/>
    <w:rsid w:val="00D10F54"/>
    <w:rsid w:val="00D13C31"/>
    <w:rsid w:val="00D41BE0"/>
    <w:rsid w:val="00D41C8F"/>
    <w:rsid w:val="00D442BE"/>
    <w:rsid w:val="00D45924"/>
    <w:rsid w:val="00D551EF"/>
    <w:rsid w:val="00D70D2E"/>
    <w:rsid w:val="00D76A90"/>
    <w:rsid w:val="00D845B1"/>
    <w:rsid w:val="00DA11DA"/>
    <w:rsid w:val="00DC7B94"/>
    <w:rsid w:val="00DD7ACD"/>
    <w:rsid w:val="00DE0CA1"/>
    <w:rsid w:val="00DE4A66"/>
    <w:rsid w:val="00DF354D"/>
    <w:rsid w:val="00DF7A21"/>
    <w:rsid w:val="00E01938"/>
    <w:rsid w:val="00E03A77"/>
    <w:rsid w:val="00E27F75"/>
    <w:rsid w:val="00E31502"/>
    <w:rsid w:val="00E45E53"/>
    <w:rsid w:val="00E53914"/>
    <w:rsid w:val="00E7445B"/>
    <w:rsid w:val="00E76535"/>
    <w:rsid w:val="00E81BCA"/>
    <w:rsid w:val="00EA227E"/>
    <w:rsid w:val="00EA261E"/>
    <w:rsid w:val="00EB0BE9"/>
    <w:rsid w:val="00EB290A"/>
    <w:rsid w:val="00EC38AE"/>
    <w:rsid w:val="00EC671E"/>
    <w:rsid w:val="00ED47ED"/>
    <w:rsid w:val="00EE088E"/>
    <w:rsid w:val="00EE2049"/>
    <w:rsid w:val="00EE36AB"/>
    <w:rsid w:val="00F0068C"/>
    <w:rsid w:val="00F03629"/>
    <w:rsid w:val="00F07D64"/>
    <w:rsid w:val="00F1497F"/>
    <w:rsid w:val="00F25EFC"/>
    <w:rsid w:val="00F27E8E"/>
    <w:rsid w:val="00F3121E"/>
    <w:rsid w:val="00F56EAD"/>
    <w:rsid w:val="00F61E5F"/>
    <w:rsid w:val="00F62427"/>
    <w:rsid w:val="00F65E0D"/>
    <w:rsid w:val="00F965ED"/>
    <w:rsid w:val="00FA586F"/>
    <w:rsid w:val="00FA58DB"/>
    <w:rsid w:val="00FC1C95"/>
    <w:rsid w:val="00FC3FD3"/>
    <w:rsid w:val="00FD1330"/>
    <w:rsid w:val="00FD1458"/>
    <w:rsid w:val="00FE52A6"/>
    <w:rsid w:val="00FE6D9C"/>
    <w:rsid w:val="00FF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8BEE7"/>
  <w15:chartTrackingRefBased/>
  <w15:docId w15:val="{374C56C2-98FA-47CD-92B1-CE64D041F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35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3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35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35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35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35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35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35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35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35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35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35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35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35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35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35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35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35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35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3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35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35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35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35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35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35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35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35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355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6355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3555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054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054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054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F4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BB4"/>
  </w:style>
  <w:style w:type="paragraph" w:styleId="Footer">
    <w:name w:val="footer"/>
    <w:basedOn w:val="Normal"/>
    <w:link w:val="FooterChar"/>
    <w:uiPriority w:val="99"/>
    <w:unhideWhenUsed/>
    <w:rsid w:val="003F4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ecure.reged.com/AdTrax/editdraft/8969679/tru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bankingrates.com/retirement/tell-parents-theyre-ruining-retirem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949A2-434A-461B-81F7-7DD207D9B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1251</Words>
  <Characters>7133</Characters>
  <Application>Microsoft Office Word</Application>
  <DocSecurity>0</DocSecurity>
  <Lines>59</Lines>
  <Paragraphs>16</Paragraphs>
  <ScaleCrop>false</ScaleCrop>
  <Company/>
  <LinksUpToDate>false</LinksUpToDate>
  <CharactersWithSpaces>8368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Palmer</dc:creator>
  <cp:keywords/>
  <dc:description/>
  <cp:lastModifiedBy>Lydia Palmer</cp:lastModifiedBy>
  <cp:revision>2</cp:revision>
  <dcterms:created xsi:type="dcterms:W3CDTF">2026-06-24T13:38:00Z</dcterms:created>
  <dcterms:modified xsi:type="dcterms:W3CDTF">2026-06-24T13:38:00Z</dcterms:modified>
</cp:coreProperties>
</file>