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400"/>
      </w:pPr>
      <w:r>
        <w:rPr>
          <w:rFonts w:ascii="Calibri" w:cs="Calibri" w:eastAsia="Calibri" w:hAnsi="Calibri"/>
          <w:b/>
          <w:bCs/>
          <w:color w:val="0E7C7B"/>
          <w:sz w:val="22"/>
          <w:szCs w:val="22"/>
        </w:rPr>
        <w:t xml:space="preserve">OCEAN ADVENTURES WITH MIKE</w:t>
      </w:r>
    </w:p>
    <w:p>
      <w:pPr>
        <w:spacing w:after="80"/>
      </w:pPr>
      <w:r>
        <w:rPr>
          <w:rFonts w:ascii="Calibri" w:cs="Calibri" w:eastAsia="Calibri" w:hAnsi="Calibri"/>
          <w:b/>
          <w:bCs/>
          <w:color w:val="1B3A4B"/>
          <w:sz w:val="56"/>
          <w:szCs w:val="56"/>
        </w:rPr>
        <w:t xml:space="preserve">Move Toward the Shark</w:t>
      </w:r>
    </w:p>
    <w:p>
      <w:pPr>
        <w:spacing w:after="400"/>
      </w:pPr>
      <w:r>
        <w:rPr>
          <w:rFonts w:ascii="Calibri" w:cs="Calibri" w:eastAsia="Calibri" w:hAnsi="Calibri"/>
          <w:i/>
          <w:iCs/>
          <w:color w:val="5B6770"/>
          <w:sz w:val="26"/>
          <w:szCs w:val="26"/>
        </w:rPr>
        <w:t xml:space="preserve">A Brand and Naming Strategy for the Ocean Literacy Series</w:t>
      </w:r>
    </w:p>
    <w:p>
      <w:pPr>
        <w:pBdr>
          <w:top w:val="single" w:color="C98A3E" w:sz="12" w:space="8"/>
        </w:pBdr>
        <w:spacing w:after="60"/>
      </w:pPr>
      <w:r>
        <w:t xml:space="preserve"/>
      </w:r>
    </w:p>
    <w:p>
      <w:pPr>
        <w:spacing w:after="20"/>
      </w:pPr>
      <w:r>
        <w:rPr>
          <w:rFonts w:ascii="Calibri" w:cs="Calibri" w:eastAsia="Calibri" w:hAnsi="Calibri"/>
          <w:color w:val="5B6770"/>
          <w:sz w:val="20"/>
          <w:szCs w:val="20"/>
        </w:rPr>
        <w:t xml:space="preserve">Whitepaper — Ocean Literacy Series</w:t>
      </w:r>
    </w:p>
    <w:p>
      <w:pPr>
        <w:spacing w:after="900"/>
      </w:pPr>
      <w:r>
        <w:rPr>
          <w:rFonts w:ascii="Calibri" w:cs="Calibri" w:eastAsia="Calibri" w:hAnsi="Calibri"/>
          <w:color w:val="5B6770"/>
          <w:sz w:val="20"/>
          <w:szCs w:val="20"/>
        </w:rPr>
        <w:t xml:space="preserve">Prepared for Mike Hawkins · Ocean Adventures with Mike</w:t>
      </w:r>
    </w:p>
    <w:p>
      <w:pPr>
        <w:pStyle w:val="Heading1"/>
        <w:pBdr>
          <w:bottom w:val="single" w:color="0E7C7B" w:sz="8" w:space="4"/>
        </w:pBdr>
        <w:spacing w:after="200" w:before="480"/>
      </w:pPr>
      <w:r>
        <w:rPr>
          <w:rFonts w:ascii="Calibri" w:cs="Calibri" w:eastAsia="Calibri" w:hAnsi="Calibri"/>
          <w:b/>
          <w:bCs/>
          <w:color w:val="1B3A4B"/>
          <w:sz w:val="30"/>
          <w:szCs w:val="30"/>
        </w:rPr>
        <w:t xml:space="preserve">Executive Summary</w:t>
      </w:r>
    </w:p>
    <w:p>
      <w:pPr>
        <w:spacing w:after="180" w:line="300"/>
      </w:pPr>
      <w:r>
        <w:rPr>
          <w:rFonts w:ascii="Calibri" w:cs="Calibri" w:eastAsia="Calibri" w:hAnsi="Calibri"/>
          <w:color w:val="222222"/>
          <w:sz w:val="22"/>
          <w:szCs w:val="22"/>
        </w:rPr>
        <w:t xml:space="preserve">We are building “Move Toward the Shark” as the flagship title of our Ocean Adventures with Mike series — a K–12 ocean literacy platform grounded in real expedition experience rather than secondhand ocean facts. This whitepaper sets our naming and brand architecture for the series: how one title carries across four age tiers, how the educational content deepens at each stage, how the visual system signals both continuity and maturity, and the order in which we plan to bring each edition to market.</w:t>
      </w:r>
    </w:p>
    <w:p>
      <w:pPr>
        <w:spacing w:after="180" w:line="300"/>
      </w:pPr>
      <w:r>
        <w:rPr>
          <w:rFonts w:ascii="Calibri" w:cs="Calibri" w:eastAsia="Calibri" w:hAnsi="Calibri"/>
          <w:color w:val="222222"/>
          <w:sz w:val="22"/>
          <w:szCs w:val="22"/>
        </w:rPr>
        <w:t xml:space="preserve">Our core decision is this: we keep “Move Toward the Shark” as the master title across every age group, rather than inventing a new title for each tier. We differentiate through subtitle, illustration, color, and depth of content — not through a new name. This lets a reader recognize the series as they grow, and it lets a classroom, library, or parent recognize the series as one connected body of work.</w:t>
      </w:r>
    </w:p>
    <w:p>
      <w:pPr>
        <w:pStyle w:val="Heading1"/>
        <w:pBdr>
          <w:bottom w:val="single" w:color="0E7C7B" w:sz="8" w:space="4"/>
        </w:pBdr>
        <w:spacing w:after="200" w:before="480"/>
      </w:pPr>
      <w:r>
        <w:rPr>
          <w:rFonts w:ascii="Calibri" w:cs="Calibri" w:eastAsia="Calibri" w:hAnsi="Calibri"/>
          <w:b/>
          <w:bCs/>
          <w:color w:val="1B3A4B"/>
          <w:sz w:val="30"/>
          <w:szCs w:val="30"/>
        </w:rPr>
        <w:t xml:space="preserve">The Strategic Case for One Master Title</w:t>
      </w:r>
    </w:p>
    <w:p>
      <w:pPr>
        <w:spacing w:after="180" w:line="300"/>
      </w:pPr>
      <w:r>
        <w:rPr>
          <w:rFonts w:ascii="Calibri" w:cs="Calibri" w:eastAsia="Calibri" w:hAnsi="Calibri"/>
          <w:color w:val="222222"/>
          <w:sz w:val="22"/>
          <w:szCs w:val="22"/>
        </w:rPr>
        <w:t xml:space="preserve">A new title at every age tier would force us to build brand recognition four separate times. It would also break the promise at the heart of the series: that this is one continuous relationship with the ocean, told at increasing depth as a child grows. Keeping “Move Toward the Shark” constant — and letting the subtitle, palette, and content mature around it — turns the series into something a student can grow up with, the way they might grow up with a favorite author or a familiar mascot.</w:t>
      </w:r>
    </w:p>
    <w:p>
      <w:pPr>
        <w:pBdr>
          <w:left w:val="single" w:color="C98A3E" w:sz="24" w:space="8"/>
        </w:pBdr>
        <w:spacing w:after="200" w:before="200"/>
        <w:ind w:left="360"/>
      </w:pPr>
      <w:r>
        <w:rPr>
          <w:rFonts w:ascii="Calibri" w:cs="Calibri" w:eastAsia="Calibri" w:hAnsi="Calibri"/>
          <w:i/>
          <w:iCs/>
          <w:color w:val="1B3A4B"/>
          <w:sz w:val="22"/>
          <w:szCs w:val="22"/>
        </w:rPr>
        <w:t xml:space="preserve">When students see the books in a classroom or library, we want them to recognize immediately that these are part of the same family.</w:t>
      </w:r>
    </w:p>
    <w:p>
      <w:pPr>
        <w:spacing w:after="180" w:line="300"/>
      </w:pPr>
      <w:r>
        <w:rPr>
          <w:rFonts w:ascii="Calibri" w:cs="Calibri" w:eastAsia="Calibri" w:hAnsi="Calibri"/>
          <w:color w:val="222222"/>
          <w:sz w:val="22"/>
          <w:szCs w:val="22"/>
        </w:rPr>
        <w:t xml:space="preserve">This also matters commercially. A recognizable flagship title compounds in value with every edition we release: media coverage, school adoptions, and word of mouth around any one edition reinforce all the others, rather than starting from zero each time.</w:t>
      </w:r>
    </w:p>
    <w:p>
      <w:pPr>
        <w:pStyle w:val="Heading1"/>
        <w:pBdr>
          <w:bottom w:val="single" w:color="0E7C7B" w:sz="8" w:space="4"/>
        </w:pBdr>
        <w:spacing w:after="200" w:before="480"/>
      </w:pPr>
      <w:r>
        <w:rPr>
          <w:rFonts w:ascii="Calibri" w:cs="Calibri" w:eastAsia="Calibri" w:hAnsi="Calibri"/>
          <w:b/>
          <w:bCs/>
          <w:color w:val="1B3A4B"/>
          <w:sz w:val="30"/>
          <w:szCs w:val="30"/>
        </w:rPr>
        <w:t xml:space="preserve">Naming Architecture</w:t>
      </w:r>
    </w:p>
    <w:p>
      <w:pPr>
        <w:spacing w:after="180" w:line="300"/>
      </w:pPr>
      <w:r>
        <w:rPr>
          <w:rFonts w:ascii="Calibri" w:cs="Calibri" w:eastAsia="Calibri" w:hAnsi="Calibri"/>
          <w:color w:val="222222"/>
          <w:sz w:val="22"/>
          <w:szCs w:val="22"/>
        </w:rPr>
        <w:t xml:space="preserve">We considered two structures for how the subtitle should change across age tiers. The first ties each subtitle to the specific educational focus of that age group (for example, “Learning That Sharks Are Friends of the Ocean” for ages 3–5, or “Fear, Leadership, and What Sharks Teach Us About the Ocean” for ages 13–18). This is descriptive and useful for marketing copy, but it reads as four different books rather than one series.</w:t>
      </w:r>
    </w:p>
    <w:p>
      <w:pPr>
        <w:spacing w:after="180" w:line="300"/>
      </w:pPr>
      <w:r>
        <w:rPr>
          <w:rFonts w:ascii="Calibri" w:cs="Calibri" w:eastAsia="Calibri" w:hAnsi="Calibri"/>
          <w:color w:val="222222"/>
          <w:sz w:val="22"/>
          <w:szCs w:val="22"/>
        </w:rPr>
        <w:t xml:space="preserve">We prefer the second structure: a consistent series-identity subtitle pattern that signals increasing maturity through a simple, repeatable phrase, while keeping the title itself untouched. This is the structure we are adopting.</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600"/>
        <w:gridCol w:w="3200"/>
        <w:gridCol w:w="3000"/>
        <w:gridCol w:w="1800"/>
      </w:tblGrid>
      <w:tr>
        <w:trPr>
          <w:tblHeader/>
        </w:trPr>
        <w:tc>
          <w:tcPr>
            <w:tcW w:type="dxa" w:w="1600"/>
            <w:shd w:fill="1B3A4B"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Age Group</w:t>
            </w:r>
          </w:p>
        </w:tc>
        <w:tc>
          <w:tcPr>
            <w:tcW w:type="dxa" w:w="3200"/>
            <w:shd w:fill="1B3A4B"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Title</w:t>
            </w:r>
          </w:p>
        </w:tc>
        <w:tc>
          <w:tcPr>
            <w:tcW w:type="dxa" w:w="3000"/>
            <w:shd w:fill="1B3A4B"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Subtitle</w:t>
            </w:r>
          </w:p>
        </w:tc>
        <w:tc>
          <w:tcPr>
            <w:tcW w:type="dxa" w:w="1800"/>
            <w:shd w:fill="1B3A4B"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Series Signal</w:t>
            </w:r>
          </w:p>
        </w:tc>
      </w:tr>
      <w:tr>
        <w:tc>
          <w:tcPr>
            <w:tcW w:type="dxa" w:w="1600"/>
            <w:shd w:fill="EAF3F3" w:val="clear"/>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3–5</w:t>
            </w:r>
          </w:p>
        </w:tc>
        <w:tc>
          <w:tcPr>
            <w:tcW w:type="dxa" w:w="32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Move Toward the Shark</w:t>
            </w:r>
          </w:p>
        </w:tc>
        <w:tc>
          <w:tcPr>
            <w:tcW w:type="dxa" w:w="30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A First Ocean Adventure</w:t>
            </w:r>
          </w:p>
        </w:tc>
        <w:tc>
          <w:tcPr>
            <w:tcW w:type="dxa" w:w="18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Entry point</w:t>
            </w:r>
          </w:p>
        </w:tc>
      </w:tr>
      <w:tr>
        <w:tc>
          <w:tcPr>
            <w:tcW w:type="dxa" w:w="1600"/>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6–10</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Move Toward the Shark</w:t>
            </w:r>
          </w:p>
        </w:tc>
        <w:tc>
          <w:tcPr>
            <w:tcW w:type="dxa" w:w="30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An Ocean Adventure</w:t>
            </w:r>
          </w:p>
        </w:tc>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Steady middle</w:t>
            </w:r>
          </w:p>
        </w:tc>
      </w:tr>
      <w:tr>
        <w:tc>
          <w:tcPr>
            <w:tcW w:type="dxa" w:w="1600"/>
            <w:shd w:fill="EAF3F3" w:val="clear"/>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11–14</w:t>
            </w:r>
          </w:p>
        </w:tc>
        <w:tc>
          <w:tcPr>
            <w:tcW w:type="dxa" w:w="32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Move Toward the Shark</w:t>
            </w:r>
          </w:p>
        </w:tc>
        <w:tc>
          <w:tcPr>
            <w:tcW w:type="dxa" w:w="30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A True Ocean Adventure</w:t>
            </w:r>
          </w:p>
        </w:tc>
        <w:tc>
          <w:tcPr>
            <w:tcW w:type="dxa" w:w="18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Authenticity claim</w:t>
            </w:r>
          </w:p>
        </w:tc>
      </w:tr>
      <w:tr>
        <w:tc>
          <w:tcPr>
            <w:tcW w:type="dxa" w:w="1600"/>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15–18</w:t>
            </w:r>
          </w:p>
        </w:tc>
        <w:tc>
          <w:tcPr>
            <w:tcW w:type="dxa" w:w="32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Move Toward the Shark</w:t>
            </w:r>
          </w:p>
        </w:tc>
        <w:tc>
          <w:tcPr>
            <w:tcW w:type="dxa" w:w="30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Lessons from the Deep</w:t>
            </w:r>
          </w:p>
        </w:tc>
        <w:tc>
          <w:tcPr>
            <w:tcW w:type="dxa" w:w="18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Maturity, reflection</w:t>
            </w:r>
          </w:p>
        </w:tc>
      </w:tr>
    </w:tbl>
    <w:p>
      <w:pPr>
        <w:spacing w:after="180" w:line="300"/>
      </w:pPr>
      <w:r>
        <w:rPr>
          <w:rFonts w:ascii="Calibri" w:cs="Calibri" w:eastAsia="Calibri" w:hAnsi="Calibri"/>
          <w:color w:val="222222"/>
          <w:sz w:val="22"/>
          <w:szCs w:val="22"/>
        </w:rPr>
        <w:t xml:space="preserve">The pattern is deliberate: “A First Ocean Adventure” signals entry and wonder; “An Ocean Adventure” is steady and unadorned for our elementary readers; “A True Ocean Adventure” asserts the authenticity that is core to the 11–14 edition, where the real expedition stories carry the most weight; “Lessons from the Deep” shifts register entirely, from adventure to reflection, for our high-school readers.</w:t>
      </w:r>
    </w:p>
    <w:p>
      <w:pPr>
        <w:pStyle w:val="Heading1"/>
        <w:pBdr>
          <w:bottom w:val="single" w:color="0E7C7B" w:sz="8" w:space="4"/>
        </w:pBdr>
        <w:spacing w:after="200" w:before="480"/>
      </w:pPr>
      <w:r>
        <w:rPr>
          <w:rFonts w:ascii="Calibri" w:cs="Calibri" w:eastAsia="Calibri" w:hAnsi="Calibri"/>
          <w:b/>
          <w:bCs/>
          <w:color w:val="1B3A4B"/>
          <w:sz w:val="30"/>
          <w:szCs w:val="30"/>
        </w:rPr>
        <w:t xml:space="preserve">Educational Progression</w:t>
      </w:r>
    </w:p>
    <w:p>
      <w:pPr>
        <w:spacing w:after="180" w:line="300"/>
      </w:pPr>
      <w:r>
        <w:rPr>
          <w:rFonts w:ascii="Calibri" w:cs="Calibri" w:eastAsia="Calibri" w:hAnsi="Calibri"/>
          <w:color w:val="222222"/>
          <w:sz w:val="22"/>
          <w:szCs w:val="22"/>
        </w:rPr>
        <w:t xml:space="preserve">Underneath the naming, every edition builds on the same central message — that understanding replaces fear — but the message deepens with each stage. We are structuring the content so a reader who grows up with the series experiences a clear arc: from simple wonder, to ecological understanding, to systems thinking, to a fully developed philosophy of courage and risk.</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600"/>
        <w:gridCol w:w="4000"/>
        <w:gridCol w:w="4000"/>
      </w:tblGrid>
      <w:tr>
        <w:trPr>
          <w:tblHeader/>
        </w:trPr>
        <w:tc>
          <w:tcPr>
            <w:tcW w:type="dxa" w:w="1600"/>
            <w:shd w:fill="0E7C7B"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Age Group</w:t>
            </w:r>
          </w:p>
        </w:tc>
        <w:tc>
          <w:tcPr>
            <w:tcW w:type="dxa" w:w="4000"/>
            <w:shd w:fill="0E7C7B"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Big Idea</w:t>
            </w:r>
          </w:p>
        </w:tc>
        <w:tc>
          <w:tcPr>
            <w:tcW w:type="dxa" w:w="4000"/>
            <w:shd w:fill="0E7C7B"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Takeaway</w:t>
            </w:r>
          </w:p>
        </w:tc>
      </w:tr>
      <w:tr>
        <w:tc>
          <w:tcPr>
            <w:tcW w:type="dxa" w:w="1600"/>
            <w:shd w:fill="EAF3F3" w:val="clear"/>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3–5</w:t>
            </w:r>
          </w:p>
        </w:tc>
        <w:tc>
          <w:tcPr>
            <w:tcW w:type="dxa" w:w="40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Sharks are amazing animals.</w:t>
            </w:r>
          </w:p>
        </w:tc>
        <w:tc>
          <w:tcPr>
            <w:tcW w:type="dxa" w:w="40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Don't fear what you don't understand.</w:t>
            </w:r>
          </w:p>
        </w:tc>
      </w:tr>
      <w:tr>
        <w:tc>
          <w:tcPr>
            <w:tcW w:type="dxa" w:w="1600"/>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6–10</w:t>
            </w:r>
          </w:p>
        </w:tc>
        <w:tc>
          <w:tcPr>
            <w:tcW w:type="dxa" w:w="40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Sharks help keep the ocean healthy.</w:t>
            </w:r>
          </w:p>
        </w:tc>
        <w:tc>
          <w:tcPr>
            <w:tcW w:type="dxa" w:w="40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Learning replaces fear.</w:t>
            </w:r>
          </w:p>
        </w:tc>
      </w:tr>
      <w:tr>
        <w:tc>
          <w:tcPr>
            <w:tcW w:type="dxa" w:w="1600"/>
            <w:shd w:fill="EAF3F3" w:val="clear"/>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11–14</w:t>
            </w:r>
          </w:p>
        </w:tc>
        <w:tc>
          <w:tcPr>
            <w:tcW w:type="dxa" w:w="40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The ocean is an interconnected system, and sharks are a vital part of it.</w:t>
            </w:r>
          </w:p>
        </w:tc>
        <w:tc>
          <w:tcPr>
            <w:tcW w:type="dxa" w:w="40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Knowledge leads to confidence and stewardship.</w:t>
            </w:r>
          </w:p>
        </w:tc>
      </w:tr>
      <w:tr>
        <w:tc>
          <w:tcPr>
            <w:tcW w:type="dxa" w:w="1600"/>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15–18</w:t>
            </w:r>
          </w:p>
        </w:tc>
        <w:tc>
          <w:tcPr>
            <w:tcW w:type="dxa" w:w="40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Sharks become a metaphor for life's challenges and for understanding risk.</w:t>
            </w:r>
          </w:p>
        </w:tc>
        <w:tc>
          <w:tcPr>
            <w:tcW w:type="dxa" w:w="40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Move toward understanding, not away from uncertainty. Courage comes from preparation, knowledge, and respect.</w:t>
            </w:r>
          </w:p>
        </w:tc>
      </w:tr>
    </w:tbl>
    <w:p>
      <w:pPr>
        <w:spacing w:after="180" w:line="300"/>
      </w:pPr>
      <w:r>
        <w:rPr>
          <w:rFonts w:ascii="Calibri" w:cs="Calibri" w:eastAsia="Calibri" w:hAnsi="Calibri"/>
          <w:color w:val="222222"/>
          <w:sz w:val="22"/>
          <w:szCs w:val="22"/>
        </w:rPr>
        <w:t xml:space="preserve">This progression is not just an editorial device. It is the argument we are making to schools, parents, and educators: that this series can be a multi-year ocean literacy curriculum, not a single book with a sequel.</w:t>
      </w:r>
    </w:p>
    <w:p>
      <w:pPr>
        <w:pStyle w:val="Heading1"/>
        <w:pBdr>
          <w:bottom w:val="single" w:color="0E7C7B" w:sz="8" w:space="4"/>
        </w:pBdr>
        <w:spacing w:after="200" w:before="480"/>
      </w:pPr>
      <w:r>
        <w:rPr>
          <w:rFonts w:ascii="Calibri" w:cs="Calibri" w:eastAsia="Calibri" w:hAnsi="Calibri"/>
          <w:b/>
          <w:bCs/>
          <w:color w:val="1B3A4B"/>
          <w:sz w:val="30"/>
          <w:szCs w:val="30"/>
        </w:rPr>
        <w:t xml:space="preserve">A Signature Visual Identity</w:t>
      </w:r>
    </w:p>
    <w:p>
      <w:pPr>
        <w:spacing w:after="180" w:line="300"/>
      </w:pPr>
      <w:r>
        <w:rPr>
          <w:rFonts w:ascii="Calibri" w:cs="Calibri" w:eastAsia="Calibri" w:hAnsi="Calibri"/>
          <w:color w:val="222222"/>
          <w:sz w:val="22"/>
          <w:szCs w:val="22"/>
        </w:rPr>
        <w:t xml:space="preserve">We are using the same core cover concept across all four editions so the family resemblance is immediate, even from across a classroom or library shelf:</w:t>
      </w:r>
    </w:p>
    <w:p>
      <w:pPr>
        <w:pStyle w:val="ListParagraph"/>
        <w:numPr>
          <w:ilvl w:val="0"/>
          <w:numId w:val="2"/>
        </w:numPr>
        <w:spacing w:after="100" w:line="280"/>
      </w:pPr>
      <w:r>
        <w:rPr>
          <w:rFonts w:ascii="Calibri" w:cs="Calibri" w:eastAsia="Calibri" w:hAnsi="Calibri"/>
          <w:color w:val="222222"/>
          <w:sz w:val="22"/>
          <w:szCs w:val="22"/>
        </w:rPr>
        <w:t xml:space="preserve">Same title typography for “Move Toward the Shark” on every cover</w:t>
      </w:r>
    </w:p>
    <w:p>
      <w:pPr>
        <w:pStyle w:val="ListParagraph"/>
        <w:numPr>
          <w:ilvl w:val="0"/>
          <w:numId w:val="2"/>
        </w:numPr>
        <w:spacing w:after="100" w:line="280"/>
      </w:pPr>
      <w:r>
        <w:rPr>
          <w:rFonts w:ascii="Calibri" w:cs="Calibri" w:eastAsia="Calibri" w:hAnsi="Calibri"/>
          <w:color w:val="222222"/>
          <w:sz w:val="22"/>
          <w:szCs w:val="22"/>
        </w:rPr>
        <w:t xml:space="preserve">Same shark silhouette / logo mark, present in every edition</w:t>
      </w:r>
    </w:p>
    <w:p>
      <w:pPr>
        <w:pStyle w:val="ListParagraph"/>
        <w:numPr>
          <w:ilvl w:val="0"/>
          <w:numId w:val="2"/>
        </w:numPr>
        <w:spacing w:after="100" w:line="280"/>
      </w:pPr>
      <w:r>
        <w:rPr>
          <w:rFonts w:ascii="Calibri" w:cs="Calibri" w:eastAsia="Calibri" w:hAnsi="Calibri"/>
          <w:color w:val="222222"/>
          <w:sz w:val="22"/>
          <w:szCs w:val="22"/>
        </w:rPr>
        <w:t xml:space="preserve">Distinct color palettes by age — bright and saturated for younger readers, more sophisticated and muted for older readers</w:t>
      </w:r>
    </w:p>
    <w:p>
      <w:pPr>
        <w:pStyle w:val="ListParagraph"/>
        <w:numPr>
          <w:ilvl w:val="0"/>
          <w:numId w:val="2"/>
        </w:numPr>
        <w:spacing w:after="100" w:line="280"/>
      </w:pPr>
      <w:r>
        <w:rPr>
          <w:rFonts w:ascii="Calibri" w:cs="Calibri" w:eastAsia="Calibri" w:hAnsi="Calibri"/>
          <w:color w:val="222222"/>
          <w:sz w:val="22"/>
          <w:szCs w:val="22"/>
        </w:rPr>
        <w:t xml:space="preserve">A consistent “Ocean Literacy Series” banner across all covers</w:t>
      </w:r>
    </w:p>
    <w:p>
      <w:pPr>
        <w:pStyle w:val="ListParagraph"/>
        <w:numPr>
          <w:ilvl w:val="0"/>
          <w:numId w:val="2"/>
        </w:numPr>
        <w:spacing w:after="100" w:line="280"/>
      </w:pPr>
      <w:r>
        <w:rPr>
          <w:rFonts w:ascii="Calibri" w:cs="Calibri" w:eastAsia="Calibri" w:hAnsi="Calibri"/>
          <w:color w:val="222222"/>
          <w:sz w:val="22"/>
          <w:szCs w:val="22"/>
        </w:rPr>
        <w:t xml:space="preserve">A small age-range badge in one corner of each cover, so parents, teachers, and librarians can identify the right edition at a glance</w:t>
      </w:r>
    </w:p>
    <w:p>
      <w:pPr>
        <w:pStyle w:val="Heading1"/>
        <w:pBdr>
          <w:bottom w:val="single" w:color="0E7C7B" w:sz="8" w:space="4"/>
        </w:pBdr>
        <w:spacing w:after="200" w:before="480"/>
      </w:pPr>
      <w:r>
        <w:rPr>
          <w:rFonts w:ascii="Calibri" w:cs="Calibri" w:eastAsia="Calibri" w:hAnsi="Calibri"/>
          <w:b/>
          <w:bCs/>
          <w:color w:val="1B3A4B"/>
          <w:sz w:val="30"/>
          <w:szCs w:val="30"/>
        </w:rPr>
        <w:t xml:space="preserve">Recommended Launch Sequence</w:t>
      </w:r>
    </w:p>
    <w:p>
      <w:pPr>
        <w:spacing w:after="180" w:line="300"/>
      </w:pPr>
      <w:r>
        <w:rPr>
          <w:rFonts w:ascii="Calibri" w:cs="Calibri" w:eastAsia="Calibri" w:hAnsi="Calibri"/>
          <w:color w:val="222222"/>
          <w:sz w:val="22"/>
          <w:szCs w:val="22"/>
        </w:rPr>
        <w:t xml:space="preserve">Rather than launching all four editions at once, we plan to release them in a sequence that lets us prove and refine the story and educational framework before adapting it across the full age spectrum:</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900"/>
        <w:gridCol w:w="2400"/>
        <w:gridCol w:w="6300"/>
      </w:tblGrid>
      <w:tr>
        <w:trPr>
          <w:tblHeader/>
        </w:trPr>
        <w:tc>
          <w:tcPr>
            <w:tcW w:type="dxa" w:w="900"/>
            <w:shd w:fill="C98A3E"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Order</w:t>
            </w:r>
          </w:p>
        </w:tc>
        <w:tc>
          <w:tcPr>
            <w:tcW w:type="dxa" w:w="2400"/>
            <w:shd w:fill="C98A3E"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Edition</w:t>
            </w:r>
          </w:p>
        </w:tc>
        <w:tc>
          <w:tcPr>
            <w:tcW w:type="dxa" w:w="6300"/>
            <w:shd w:fill="C98A3E" w:val="clear"/>
            <w:tcMar>
              <w:top w:type="dxa" w:w="100"/>
              <w:left w:type="dxa" w:w="120"/>
              <w:bottom w:type="dxa" w:w="100"/>
              <w:right w:type="dxa" w:w="120"/>
            </w:tcMar>
            <w:vAlign w:val="center"/>
          </w:tcPr>
          <w:p>
            <w:pPr>
              <w:jc w:val="left"/>
            </w:pPr>
            <w:r>
              <w:rPr>
                <w:rFonts w:ascii="Calibri" w:cs="Calibri" w:eastAsia="Calibri" w:hAnsi="Calibri"/>
                <w:b/>
                <w:bCs/>
                <w:color w:val="FFFFFF"/>
                <w:sz w:val="20"/>
                <w:szCs w:val="20"/>
              </w:rPr>
              <w:t xml:space="preserve">Rationale</w:t>
            </w:r>
          </w:p>
        </w:tc>
      </w:tr>
      <w:tr>
        <w:tc>
          <w:tcPr>
            <w:tcW w:type="dxa" w:w="900"/>
            <w:shd w:fill="EAF3F3" w:val="clear"/>
            <w:tcMar>
              <w:top w:type="dxa" w:w="100"/>
              <w:left w:type="dxa" w:w="120"/>
              <w:bottom w:type="dxa" w:w="100"/>
              <w:right w:type="dxa" w:w="120"/>
            </w:tcMar>
            <w:vAlign w:val="center"/>
          </w:tcPr>
          <w:p>
            <w:pPr>
              <w:jc w:val="center"/>
            </w:pPr>
            <w:r>
              <w:rPr>
                <w:rFonts w:ascii="Calibri" w:cs="Calibri" w:eastAsia="Calibri" w:hAnsi="Calibri"/>
                <w:b/>
                <w:bCs/>
                <w:color w:val="222222"/>
                <w:sz w:val="20"/>
                <w:szCs w:val="20"/>
              </w:rPr>
              <w:t xml:space="preserve">1</w:t>
            </w:r>
          </w:p>
        </w:tc>
        <w:tc>
          <w:tcPr>
            <w:tcW w:type="dxa" w:w="2400"/>
            <w:shd w:fill="EAF3F3" w:val="clear"/>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Ages 11–14</w:t>
            </w:r>
          </w:p>
        </w:tc>
        <w:tc>
          <w:tcPr>
            <w:tcW w:type="dxa" w:w="63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The sweet spot for our authentic expedition stories, ocean science, and systems thinking. It is also where schools most actively look for engaging nonfiction and STEM resources — the edition most likely to prove the model.</w:t>
            </w:r>
          </w:p>
        </w:tc>
      </w:tr>
      <w:tr>
        <w:tc>
          <w:tcPr>
            <w:tcW w:type="dxa" w:w="900"/>
            <w:tcMar>
              <w:top w:type="dxa" w:w="100"/>
              <w:left w:type="dxa" w:w="120"/>
              <w:bottom w:type="dxa" w:w="100"/>
              <w:right w:type="dxa" w:w="120"/>
            </w:tcMar>
            <w:vAlign w:val="center"/>
          </w:tcPr>
          <w:p>
            <w:pPr>
              <w:jc w:val="center"/>
            </w:pPr>
            <w:r>
              <w:rPr>
                <w:rFonts w:ascii="Calibri" w:cs="Calibri" w:eastAsia="Calibri" w:hAnsi="Calibri"/>
                <w:b/>
                <w:bCs/>
                <w:color w:val="222222"/>
                <w:sz w:val="20"/>
                <w:szCs w:val="20"/>
              </w:rPr>
              <w:t xml:space="preserve">2</w:t>
            </w:r>
          </w:p>
        </w:tc>
        <w:tc>
          <w:tcPr>
            <w:tcW w:type="dxa" w:w="2400"/>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Ages 6–10</w:t>
            </w:r>
          </w:p>
        </w:tc>
        <w:tc>
          <w:tcPr>
            <w:tcW w:type="dxa" w:w="63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We adapt the same story and framework with more illustration and simpler language once the core narrative and educational structure are proven.</w:t>
            </w:r>
          </w:p>
        </w:tc>
      </w:tr>
      <w:tr>
        <w:tc>
          <w:tcPr>
            <w:tcW w:type="dxa" w:w="900"/>
            <w:shd w:fill="EAF3F3" w:val="clear"/>
            <w:tcMar>
              <w:top w:type="dxa" w:w="100"/>
              <w:left w:type="dxa" w:w="120"/>
              <w:bottom w:type="dxa" w:w="100"/>
              <w:right w:type="dxa" w:w="120"/>
            </w:tcMar>
            <w:vAlign w:val="center"/>
          </w:tcPr>
          <w:p>
            <w:pPr>
              <w:jc w:val="center"/>
            </w:pPr>
            <w:r>
              <w:rPr>
                <w:rFonts w:ascii="Calibri" w:cs="Calibri" w:eastAsia="Calibri" w:hAnsi="Calibri"/>
                <w:b/>
                <w:bCs/>
                <w:color w:val="222222"/>
                <w:sz w:val="20"/>
                <w:szCs w:val="20"/>
              </w:rPr>
              <w:t xml:space="preserve">3</w:t>
            </w:r>
          </w:p>
        </w:tc>
        <w:tc>
          <w:tcPr>
            <w:tcW w:type="dxa" w:w="2400"/>
            <w:shd w:fill="EAF3F3" w:val="clear"/>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Ages 3–5</w:t>
            </w:r>
          </w:p>
        </w:tc>
        <w:tc>
          <w:tcPr>
            <w:tcW w:type="dxa" w:w="6300"/>
            <w:shd w:fill="EAF3F3" w:val="clear"/>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A beautifully illustrated picture book distilling the core idea to its simplest form — wonder first, facts second.</w:t>
            </w:r>
          </w:p>
        </w:tc>
      </w:tr>
      <w:tr>
        <w:tc>
          <w:tcPr>
            <w:tcW w:type="dxa" w:w="900"/>
            <w:tcMar>
              <w:top w:type="dxa" w:w="100"/>
              <w:left w:type="dxa" w:w="120"/>
              <w:bottom w:type="dxa" w:w="100"/>
              <w:right w:type="dxa" w:w="120"/>
            </w:tcMar>
            <w:vAlign w:val="center"/>
          </w:tcPr>
          <w:p>
            <w:pPr>
              <w:jc w:val="center"/>
            </w:pPr>
            <w:r>
              <w:rPr>
                <w:rFonts w:ascii="Calibri" w:cs="Calibri" w:eastAsia="Calibri" w:hAnsi="Calibri"/>
                <w:b/>
                <w:bCs/>
                <w:color w:val="222222"/>
                <w:sz w:val="20"/>
                <w:szCs w:val="20"/>
              </w:rPr>
              <w:t xml:space="preserve">4</w:t>
            </w:r>
          </w:p>
        </w:tc>
        <w:tc>
          <w:tcPr>
            <w:tcW w:type="dxa" w:w="2400"/>
            <w:tcMar>
              <w:top w:type="dxa" w:w="100"/>
              <w:left w:type="dxa" w:w="120"/>
              <w:bottom w:type="dxa" w:w="100"/>
              <w:right w:type="dxa" w:w="120"/>
            </w:tcMar>
            <w:vAlign w:val="center"/>
          </w:tcPr>
          <w:p>
            <w:pPr>
              <w:jc w:val="left"/>
            </w:pPr>
            <w:r>
              <w:rPr>
                <w:rFonts w:ascii="Calibri" w:cs="Calibri" w:eastAsia="Calibri" w:hAnsi="Calibri"/>
                <w:b/>
                <w:bCs/>
                <w:color w:val="222222"/>
                <w:sz w:val="20"/>
                <w:szCs w:val="20"/>
              </w:rPr>
              <w:t xml:space="preserve">Ages 15–18</w:t>
            </w:r>
          </w:p>
        </w:tc>
        <w:tc>
          <w:tcPr>
            <w:tcW w:type="dxa" w:w="6300"/>
            <w:tcMar>
              <w:top w:type="dxa" w:w="100"/>
              <w:left w:type="dxa" w:w="120"/>
              <w:bottom w:type="dxa" w:w="100"/>
              <w:right w:type="dxa" w:w="120"/>
            </w:tcMar>
            <w:vAlign w:val="center"/>
          </w:tcPr>
          <w:p>
            <w:pPr>
              <w:jc w:val="left"/>
            </w:pPr>
            <w:r>
              <w:rPr>
                <w:rFonts w:ascii="Calibri" w:cs="Calibri" w:eastAsia="Calibri" w:hAnsi="Calibri"/>
                <w:b w:val="false"/>
                <w:bCs w:val="false"/>
                <w:color w:val="222222"/>
                <w:sz w:val="20"/>
                <w:szCs w:val="20"/>
              </w:rPr>
              <w:t xml:space="preserve">The most ambitious edition: sharks as a lens on ecology, leadership, risk, and decision-making. We save it for last so it can carry the full weight of the philosophy once the series identity is established.</w:t>
            </w:r>
          </w:p>
        </w:tc>
      </w:tr>
    </w:tbl>
    <w:p>
      <w:pPr>
        <w:spacing w:after="180" w:line="300"/>
      </w:pPr>
      <w:r>
        <w:rPr>
          <w:rFonts w:ascii="Calibri" w:cs="Calibri" w:eastAsia="Calibri" w:hAnsi="Calibri"/>
          <w:color w:val="222222"/>
          <w:sz w:val="22"/>
          <w:szCs w:val="22"/>
        </w:rPr>
        <w:t xml:space="preserve">This sequence also gives us a recognizable flagship title from day one, with each subsequent edition extending an already-established series rather than introducing something new.</w:t>
      </w:r>
    </w:p>
    <w:p>
      <w:pPr>
        <w:pStyle w:val="Heading1"/>
        <w:pBdr>
          <w:bottom w:val="single" w:color="0E7C7B" w:sz="8" w:space="4"/>
        </w:pBdr>
        <w:spacing w:after="200" w:before="480"/>
      </w:pPr>
      <w:r>
        <w:rPr>
          <w:rFonts w:ascii="Calibri" w:cs="Calibri" w:eastAsia="Calibri" w:hAnsi="Calibri"/>
          <w:b/>
          <w:bCs/>
          <w:color w:val="1B3A4B"/>
          <w:sz w:val="30"/>
          <w:szCs w:val="30"/>
        </w:rPr>
        <w:t xml:space="preserve">Conclusion</w:t>
      </w:r>
    </w:p>
    <w:p>
      <w:pPr>
        <w:spacing w:after="180" w:line="300"/>
      </w:pPr>
      <w:r>
        <w:rPr>
          <w:rFonts w:ascii="Calibri" w:cs="Calibri" w:eastAsia="Calibri" w:hAnsi="Calibri"/>
          <w:color w:val="222222"/>
          <w:sz w:val="22"/>
          <w:szCs w:val="22"/>
        </w:rPr>
        <w:t xml:space="preserve">“Move Toward the Shark” is more than a book title — it is the organizing idea of our entire ocean literacy series and, ultimately, of the broader platform we are building around it. By keeping the title constant and letting subtitle, content, and visual language mature with the reader, we create a series that a child can genuinely grow up with: recognizable at every stage, and deepening in exactly the ways a K–12 education should.</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2026-08-06T14:41:54.299Z</dcterms:created>
  <dcterms:modified xsi:type="dcterms:W3CDTF">2026-08-06T14:41:54.312Z</dcterms:modified>
</cp:coreProperties>
</file>

<file path=docProps/custom.xml><?xml version="1.0" encoding="utf-8"?>
<Properties xmlns="http://schemas.openxmlformats.org/officeDocument/2006/custom-properties" xmlns:vt="http://schemas.openxmlformats.org/officeDocument/2006/docPropsVTypes"/>
</file>