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spacing w:after="100"/>
        <w:jc w:val="center"/>
      </w:pPr>
      <w:r>
        <w:rPr>
          <w:b/>
          <w:bCs/>
          <w:color w:val="1B3A5C"/>
          <w:sz w:val="52"/>
          <w:szCs w:val="52"/>
        </w:rPr>
        <w:t xml:space="preserve">OCEAN LITERACY INSTITUTE</w:t>
      </w:r>
    </w:p>
    <w:p>
      <w:pPr>
        <w:spacing w:after="400"/>
        <w:jc w:val="center"/>
      </w:pPr>
      <w:r>
        <w:rPr>
          <w:i/>
          <w:iCs/>
          <w:color w:val="555555"/>
          <w:sz w:val="20"/>
          <w:szCs w:val="20"/>
        </w:rPr>
        <w:t xml:space="preserve">(working name — see Naming &amp; Brand Architecture, Section 16)</w:t>
      </w:r>
    </w:p>
    <w:p>
      <w:pPr>
        <w:spacing w:after="200"/>
        <w:jc w:val="center"/>
      </w:pPr>
      <w:r>
        <w:rPr>
          <w:color w:val="0F6E7A"/>
          <w:sz w:val="30"/>
          <w:szCs w:val="30"/>
        </w:rPr>
        <w:t xml:space="preserve">Building the Next Generation of Ocean Stewards</w:t>
      </w:r>
    </w:p>
    <w:p>
      <w:pPr>
        <w:spacing w:after="800"/>
        <w:jc w:val="center"/>
      </w:pPr>
      <w:r>
        <w:rPr>
          <w:i/>
          <w:iCs/>
          <w:sz w:val="22"/>
          <w:szCs w:val="22"/>
        </w:rPr>
        <w:t xml:space="preserve">A Comprehensive Whitepaper on Mission, Educational Framework, Brand Architecture, and Roadmap</w:t>
      </w:r>
    </w:p>
    <w:p>
      <w:pPr>
        <w:spacing w:after="80"/>
        <w:jc w:val="center"/>
      </w:pPr>
      <w:r>
        <w:rPr>
          <w:b/>
          <w:bCs/>
          <w:sz w:val="24"/>
          <w:szCs w:val="24"/>
        </w:rPr>
        <w:t xml:space="preserve">Prepared by Mike Hawkins</w:t>
      </w:r>
    </w:p>
    <w:p>
      <w:pPr>
        <w:spacing w:after="60"/>
        <w:jc w:val="center"/>
      </w:pPr>
      <w:r>
        <w:rPr>
          <w:color w:val="555555"/>
          <w:sz w:val="20"/>
          <w:szCs w:val="20"/>
        </w:rPr>
        <w:t xml:space="preserve">Founder, Author, Speaker, Rescue Diver — Ocean Risk Intelligence · CANA</w:t>
      </w:r>
    </w:p>
    <w:p>
      <w:pPr>
        <w:jc w:val="center"/>
      </w:pPr>
      <w:r>
        <w:rPr>
          <w:color w:val="555555"/>
          <w:sz w:val="20"/>
          <w:szCs w:val="20"/>
        </w:rPr>
        <w:t xml:space="preserve">August 2026</w:t>
      </w:r>
    </w:p>
    <w:p>
      <w:r>
        <w:br w:type="page"/>
      </w:r>
    </w:p>
    <w:p>
      <w:pPr>
        <w:pStyle w:val="Heading1"/>
        <w:spacing w:after="200" w:before="400"/>
      </w:pPr>
      <w:r>
        <w:t xml:space="preserve">Table of Contents</w:t>
      </w:r>
    </w:p>
    <w:sdt>
      <w:sdtPr>
        <w:alias w:val="Table of Contents"/>
      </w:sdtPr>
      <w:sdtContent>
        <w:p>
          <w:r>
            <w:fldChar w:fldCharType="begin" w:dirty="true"/>
            <w:instrText xml:space="preserve">TOC \h \o "1-2"</w:instrText>
            <w:fldChar w:fldCharType="separate"/>
          </w:r>
        </w:p>
        <w:p>
          <w:r>
            <w:fldChar w:fldCharType="end"/>
          </w:r>
        </w:p>
      </w:sdtContent>
    </w:sdt>
    <w:p>
      <w:r>
        <w:br w:type="page"/>
      </w:r>
    </w:p>
    <w:p>
      <w:pPr>
        <w:pStyle w:val="Heading1"/>
        <w:spacing w:after="200" w:before="400"/>
      </w:pPr>
      <w:r>
        <w:t xml:space="preserve">Executive Summary</w:t>
      </w:r>
    </w:p>
    <w:p>
      <w:pPr>
        <w:spacing w:after="160" w:line="276"/>
      </w:pPr>
      <w:r>
        <w:t xml:space="preserve">We believe the ocean's greatest vulnerability isn't a policy failure or a funding gap — it's a literacy gap. Millions of young people will grow up to make decisions that shape the ocean's future — as voters, consumers, engineers, and leaders — without ever understanding how the ocean actually works, why it matters, or what role they might play in protecting it.</w:t>
      </w:r>
    </w:p>
    <w:p>
      <w:pPr>
        <w:spacing w:after="160" w:line="276"/>
      </w:pPr>
      <w:r>
        <w:t xml:space="preserve">We are building the Ocean Literacy Institute to close that gap. This is one of the highest-leverage projects in our portfolio: it advances our core mission of ocean awareness while opening a durable pathway into schools, families, museums, aquariums, and, over time, speaking engagements and formal educational partnerships. Rather than another conservation nonprofit organized around a single species or a single beach, or a series of standalone children's books, we are building an educational institution rooted in systems thinking — one that grows with a child from their first picture book at age three to their first ocean-science elective in high school.</w:t>
      </w:r>
    </w:p>
    <w:p>
      <w:pPr>
        <w:spacing w:after="160" w:line="276"/>
      </w:pPr>
      <w:r>
        <w:t xml:space="preserve">Our foundation is authentic, first-person expedition experience — real stories from shark dives, cave dives, rescue operations, and open-water sailing — translated into an age-tiered library of books, curricula, and programs spanning preschool through high school. It will be powered by a national network of Education Fellows, carried by a book series with its own distinct identity, and it will grow, over the next twenty years, from a single book into an institution.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30"/>
      </w:tblGrid>
      <w:tr>
        <w:tc>
          <w:tcPr>
            <w:tcW w:type="dxa" w:w="2340"/>
            <w:shd w:fill="1B3A5C" w:color="auto" w:val="clear"/>
            <w:tcMar>
              <w:top w:type="dxa" w:w="100"/>
              <w:left w:type="dxa" w:w="120"/>
              <w:bottom w:type="dxa" w:w="100"/>
              <w:right w:type="dxa" w:w="120"/>
            </w:tcMar>
          </w:tcPr>
          <w:p>
            <w:r>
              <w:rPr>
                <w:b/>
                <w:bCs/>
                <w:color w:val="FFFFFF"/>
                <w:sz w:val="20"/>
                <w:szCs w:val="20"/>
              </w:rPr>
              <w:t xml:space="preserve">4</w:t>
            </w:r>
          </w:p>
        </w:tc>
        <w:tc>
          <w:tcPr>
            <w:tcW w:type="dxa" w:w="2340"/>
            <w:shd w:fill="1B3A5C" w:color="auto" w:val="clear"/>
            <w:tcMar>
              <w:top w:type="dxa" w:w="100"/>
              <w:left w:type="dxa" w:w="120"/>
              <w:bottom w:type="dxa" w:w="100"/>
              <w:right w:type="dxa" w:w="120"/>
            </w:tcMar>
          </w:tcPr>
          <w:p>
            <w:r>
              <w:rPr>
                <w:b/>
                <w:bCs/>
                <w:color w:val="FFFFFF"/>
                <w:sz w:val="20"/>
                <w:szCs w:val="20"/>
              </w:rPr>
              <w:t xml:space="preserve">20+</w:t>
            </w:r>
          </w:p>
        </w:tc>
        <w:tc>
          <w:tcPr>
            <w:tcW w:type="dxa" w:w="2340"/>
            <w:shd w:fill="1B3A5C" w:color="auto" w:val="clear"/>
            <w:tcMar>
              <w:top w:type="dxa" w:w="100"/>
              <w:left w:type="dxa" w:w="120"/>
              <w:bottom w:type="dxa" w:w="100"/>
              <w:right w:type="dxa" w:w="120"/>
            </w:tcMar>
          </w:tcPr>
          <w:p>
            <w:r>
              <w:rPr>
                <w:b/>
                <w:bCs/>
                <w:color w:val="FFFFFF"/>
                <w:sz w:val="20"/>
                <w:szCs w:val="20"/>
              </w:rPr>
              <w:t xml:space="preserve">10</w:t>
            </w:r>
          </w:p>
        </w:tc>
        <w:tc>
          <w:tcPr>
            <w:tcW w:type="dxa" w:w="2330"/>
            <w:shd w:fill="1B3A5C" w:color="auto" w:val="clear"/>
            <w:tcMar>
              <w:top w:type="dxa" w:w="100"/>
              <w:left w:type="dxa" w:w="120"/>
              <w:bottom w:type="dxa" w:w="100"/>
              <w:right w:type="dxa" w:w="120"/>
            </w:tcMar>
          </w:tcPr>
          <w:p>
            <w:r>
              <w:rPr>
                <w:b/>
                <w:bCs/>
                <w:color w:val="FFFFFF"/>
                <w:sz w:val="20"/>
                <w:szCs w:val="20"/>
              </w:rPr>
              <w:t xml:space="preserve">12+</w:t>
            </w:r>
          </w:p>
        </w:tc>
      </w:tr>
      <w:tr>
        <w:tc>
          <w:tcPr>
            <w:tcW w:type="dxa" w:w="2340"/>
            <w:tcMar>
              <w:top w:type="dxa" w:w="100"/>
              <w:left w:type="dxa" w:w="120"/>
              <w:bottom w:type="dxa" w:w="100"/>
              <w:right w:type="dxa" w:w="120"/>
            </w:tcMar>
          </w:tcPr>
          <w:p>
            <w:r>
              <w:rPr>
                <w:b w:val="false"/>
                <w:bCs w:val="false"/>
                <w:color w:val="222222"/>
                <w:sz w:val="20"/>
                <w:szCs w:val="20"/>
              </w:rPr>
              <w:t xml:space="preserve">age-tiered learning pathways, ages 3–18</w:t>
            </w:r>
          </w:p>
        </w:tc>
        <w:tc>
          <w:tcPr>
            <w:tcW w:type="dxa" w:w="2340"/>
            <w:tcMar>
              <w:top w:type="dxa" w:w="100"/>
              <w:left w:type="dxa" w:w="120"/>
              <w:bottom w:type="dxa" w:w="100"/>
              <w:right w:type="dxa" w:w="120"/>
            </w:tcMar>
          </w:tcPr>
          <w:p>
            <w:r>
              <w:rPr>
                <w:b w:val="false"/>
                <w:bCs w:val="false"/>
                <w:color w:val="222222"/>
                <w:sz w:val="20"/>
                <w:szCs w:val="20"/>
              </w:rPr>
              <w:t xml:space="preserve">planned titles across a five-year publishing roadmap</w:t>
            </w:r>
          </w:p>
        </w:tc>
        <w:tc>
          <w:tcPr>
            <w:tcW w:type="dxa" w:w="2340"/>
            <w:tcMar>
              <w:top w:type="dxa" w:w="100"/>
              <w:left w:type="dxa" w:w="120"/>
              <w:bottom w:type="dxa" w:w="100"/>
              <w:right w:type="dxa" w:w="120"/>
            </w:tcMar>
          </w:tcPr>
          <w:p>
            <w:r>
              <w:rPr>
                <w:b w:val="false"/>
                <w:bCs w:val="false"/>
                <w:color w:val="222222"/>
                <w:sz w:val="20"/>
                <w:szCs w:val="20"/>
              </w:rPr>
              <w:t xml:space="preserve">companion educational resources per title</w:t>
            </w:r>
          </w:p>
        </w:tc>
        <w:tc>
          <w:tcPr>
            <w:tcW w:type="dxa" w:w="2330"/>
            <w:tcMar>
              <w:top w:type="dxa" w:w="100"/>
              <w:left w:type="dxa" w:w="120"/>
              <w:bottom w:type="dxa" w:w="100"/>
              <w:right w:type="dxa" w:w="120"/>
            </w:tcMar>
          </w:tcPr>
          <w:p>
            <w:r>
              <w:rPr>
                <w:b w:val="false"/>
                <w:bCs w:val="false"/>
                <w:color w:val="222222"/>
                <w:sz w:val="20"/>
                <w:szCs w:val="20"/>
              </w:rPr>
              <w:t xml:space="preserve">ocean careers spotlighted across the series</w:t>
            </w:r>
          </w:p>
        </w:tc>
      </w:tr>
    </w:tbl>
    <w:p>
      <w:pPr>
        <w:spacing w:before="200"/>
      </w:pPr>
    </w:p>
    <w:p>
      <w:pPr>
        <w:spacing w:after="200" w:before="100"/>
        <w:jc w:val="center"/>
      </w:pPr>
      <w:r>
        <w:rPr>
          <w:i/>
          <w:iCs/>
          <w:color w:val="0F6E7A"/>
        </w:rPr>
        <w:t xml:space="preserve">The ocean isn't just somewhere we visit. It's the life-support system that connects us all — and understanding is what turns fear and indifference into stewardship.</w:t>
      </w:r>
    </w:p>
    <w:p>
      <w:pPr>
        <w:pStyle w:val="Heading1"/>
        <w:spacing w:after="200" w:before="400"/>
      </w:pPr>
      <w:r>
        <w:t xml:space="preserve">1. The Opportunity: Why Ocean Literacy, Why Now</w:t>
      </w:r>
    </w:p>
    <w:p>
      <w:pPr>
        <w:spacing w:after="160" w:line="276"/>
      </w:pPr>
      <w:r>
        <w:t xml:space="preserve">Ocean science is taught in fragments — a unit here, a field trip there — rarely as a coherent, cumulative story a child can grow up inside of. Existing ocean-education content tends toward one of two poles: dry textbook science, or single-issue conservation messaging that asks children to worry about a crisis before they've had the chance to fall in love with what they're being asked to save. Neither builds the sustained, personal connection that turns a child into a lifelong ocean advocate.</w:t>
      </w:r>
    </w:p>
    <w:p>
      <w:pPr>
        <w:spacing w:after="160" w:line="276"/>
      </w:pPr>
      <w:r>
        <w:t xml:space="preserve">We occupy the space between those poles. We believe fear shrinks when understanding grows — and that wonder, understanding, and real stories build lifelong stewards far more reliably than fear and guilt do. Every story in this series is true, grounded in real expeditions, which gives it a texture and credibility invented narratives cannot match, while remaining structured, age-appropriate, and hope-based rather than alarmist.</w:t>
      </w:r>
    </w:p>
    <w:p>
      <w:pPr>
        <w:spacing w:after="160" w:line="276"/>
      </w:pPr>
      <w:r>
        <w:t xml:space="preserve">Most ocean-focused nonprofits organize around a single cause: save a species, clean a beach, protect a reef. We are organizing around something broader and, we believe, more durable — literacy and systems thinking. Our goal is for young people to understand why the ocean matters, how it functions as Earth's life-support system, what careers exist within it, and how informed decisions lead naturally to stewardship. That focus connects directly to our broader body of work — from The Ocean Doesn't Care About Politics to Ocean Risk Intelligence's framing of the ocean as critical infrastructure — and gives the Institute a distinct identity: one that complements, rather than competes with, existing conservation organizations.</w:t>
      </w:r>
    </w:p>
    <w:p>
      <w:pPr>
        <w:pStyle w:val="Heading1"/>
        <w:spacing w:after="200" w:before="400"/>
      </w:pPr>
      <w:r>
        <w:t xml:space="preserve">2. Mission, Vision &amp; Guiding Principles</w:t>
      </w:r>
    </w:p>
    <w:p>
      <w:pPr>
        <w:pStyle w:val="Heading2"/>
        <w:spacing w:after="150" w:before="300"/>
      </w:pPr>
      <w:r>
        <w:t xml:space="preserve">Mission</w:t>
      </w:r>
    </w:p>
    <w:p>
      <w:pPr>
        <w:spacing w:after="200" w:before="100"/>
        <w:jc w:val="center"/>
      </w:pPr>
      <w:r>
        <w:rPr>
          <w:i/>
          <w:iCs/>
          <w:color w:val="0F6E7A"/>
        </w:rPr>
        <w:t xml:space="preserve">We inspire ocean literacy through authentic adventure, scientific discovery, and systems thinking so every student understands the ocean's role in sustaining life and their role in shaping its future.</w:t>
      </w:r>
    </w:p>
    <w:p>
      <w:pPr>
        <w:pStyle w:val="Heading2"/>
        <w:spacing w:after="150" w:before="300"/>
      </w:pPr>
      <w:r>
        <w:t xml:space="preserve">Vision</w:t>
      </w:r>
    </w:p>
    <w:p>
      <w:pPr>
        <w:spacing w:after="200" w:before="100"/>
        <w:jc w:val="center"/>
      </w:pPr>
      <w:r>
        <w:rPr>
          <w:i/>
          <w:iCs/>
          <w:color w:val="0F6E7A"/>
        </w:rPr>
        <w:t xml:space="preserve">A world where every student graduates with the knowledge, curiosity, and systems thinking needed to understand and care for Earth's largest life-support system.</w:t>
      </w:r>
    </w:p>
    <w:p>
      <w:pPr>
        <w:pStyle w:val="Heading2"/>
        <w:spacing w:after="150" w:before="300"/>
      </w:pPr>
      <w:r>
        <w:t xml:space="preserve">Guiding Principles</w:t>
      </w:r>
    </w:p>
    <w:p>
      <w:pPr>
        <w:spacing w:after="160" w:line="276"/>
      </w:pPr>
      <w:r>
        <w:t xml:space="preserve">Every title, program, and partnership we build is measured against seven guiding principles:</w:t>
      </w:r>
    </w:p>
    <w:p>
      <w:pPr>
        <w:pStyle w:val="ListParagraph"/>
        <w:numPr>
          <w:ilvl w:val="0"/>
          <w:numId w:val="1"/>
        </w:numPr>
        <w:spacing w:after="80"/>
      </w:pPr>
      <w:r>
        <w:t xml:space="preserve">Science-based — every claim is accurate and current</w:t>
      </w:r>
    </w:p>
    <w:p>
      <w:pPr>
        <w:pStyle w:val="ListParagraph"/>
        <w:numPr>
          <w:ilvl w:val="0"/>
          <w:numId w:val="1"/>
        </w:numPr>
        <w:spacing w:after="80"/>
      </w:pPr>
      <w:r>
        <w:t xml:space="preserve">Hope-based, not fear-based — stewardship through wonder, not anxiety</w:t>
      </w:r>
    </w:p>
    <w:p>
      <w:pPr>
        <w:pStyle w:val="ListParagraph"/>
        <w:numPr>
          <w:ilvl w:val="0"/>
          <w:numId w:val="1"/>
        </w:numPr>
        <w:spacing w:after="80"/>
      </w:pPr>
      <w:r>
        <w:t xml:space="preserve">Action-oriented — every story ends in something the reader can do</w:t>
      </w:r>
    </w:p>
    <w:p>
      <w:pPr>
        <w:pStyle w:val="ListParagraph"/>
        <w:numPr>
          <w:ilvl w:val="0"/>
          <w:numId w:val="1"/>
        </w:numPr>
        <w:spacing w:after="80"/>
      </w:pPr>
      <w:r>
        <w:t xml:space="preserve">Age-appropriate — complexity scales deliberately with the reader, never talking down to them</w:t>
      </w:r>
    </w:p>
    <w:p>
      <w:pPr>
        <w:pStyle w:val="ListParagraph"/>
        <w:numPr>
          <w:ilvl w:val="0"/>
          <w:numId w:val="1"/>
        </w:numPr>
        <w:spacing w:after="80"/>
      </w:pPr>
      <w:r>
        <w:t xml:space="preserve">Career-inspiring — the ocean as a place to build a future, not just visit</w:t>
      </w:r>
    </w:p>
    <w:p>
      <w:pPr>
        <w:pStyle w:val="ListParagraph"/>
        <w:numPr>
          <w:ilvl w:val="0"/>
          <w:numId w:val="1"/>
        </w:numPr>
        <w:spacing w:after="80"/>
      </w:pPr>
      <w:r>
        <w:t xml:space="preserve">Conservation through understanding — protect what you understand, not what you fear</w:t>
      </w:r>
    </w:p>
    <w:p>
      <w:pPr>
        <w:pStyle w:val="ListParagraph"/>
        <w:numPr>
          <w:ilvl w:val="0"/>
          <w:numId w:val="1"/>
        </w:numPr>
        <w:spacing w:after="80"/>
      </w:pPr>
      <w:r>
        <w:t xml:space="preserve">Rooted in real stories — first-person expedition experience, never invented</w:t>
      </w:r>
    </w:p>
    <w:p>
      <w:pPr>
        <w:pStyle w:val="Heading2"/>
        <w:spacing w:after="150" w:before="300"/>
      </w:pPr>
      <w:r>
        <w:t xml:space="preserve">Tagline Options</w:t>
      </w:r>
    </w:p>
    <w:p>
      <w:pPr>
        <w:spacing w:after="160" w:line="276"/>
      </w:pPr>
      <w:r>
        <w:t xml:space="preserve">Each of the following works as a standalone tagline beneath either the institutional name or the flagship initiative name:</w:t>
      </w:r>
    </w:p>
    <w:p>
      <w:pPr>
        <w:pStyle w:val="ListParagraph"/>
        <w:numPr>
          <w:ilvl w:val="0"/>
          <w:numId w:val="1"/>
        </w:numPr>
        <w:spacing w:after="80"/>
      </w:pPr>
      <w:r>
        <w:t xml:space="preserve">Understanding the Ocean. Understanding Our World.</w:t>
      </w:r>
    </w:p>
    <w:p>
      <w:pPr>
        <w:pStyle w:val="ListParagraph"/>
        <w:numPr>
          <w:ilvl w:val="0"/>
          <w:numId w:val="1"/>
        </w:numPr>
        <w:spacing w:after="80"/>
      </w:pPr>
      <w:r>
        <w:t xml:space="preserve">Where Ocean Literacy Meets Systems Thinking.</w:t>
      </w:r>
    </w:p>
    <w:p>
      <w:pPr>
        <w:pStyle w:val="ListParagraph"/>
        <w:numPr>
          <w:ilvl w:val="0"/>
          <w:numId w:val="1"/>
        </w:numPr>
        <w:spacing w:after="80"/>
      </w:pPr>
      <w:r>
        <w:t xml:space="preserve">Teaching the Ocean. Inspiring the Future.</w:t>
      </w:r>
    </w:p>
    <w:p>
      <w:pPr>
        <w:pStyle w:val="ListParagraph"/>
        <w:numPr>
          <w:ilvl w:val="0"/>
          <w:numId w:val="1"/>
        </w:numPr>
        <w:spacing w:after="80"/>
      </w:pPr>
      <w:r>
        <w:t xml:space="preserve">Helping Every Student Think Like an Ocean Steward.</w:t>
      </w:r>
    </w:p>
    <w:p>
      <w:pPr>
        <w:pStyle w:val="ListParagraph"/>
        <w:numPr>
          <w:ilvl w:val="0"/>
          <w:numId w:val="1"/>
        </w:numPr>
        <w:spacing w:after="80"/>
      </w:pPr>
      <w:r>
        <w:t xml:space="preserve">Connecting Students to the Ocean — and the Systems That Sustain Us.</w:t>
      </w:r>
    </w:p>
    <w:p>
      <w:pPr>
        <w:pStyle w:val="ListParagraph"/>
        <w:numPr>
          <w:ilvl w:val="0"/>
          <w:numId w:val="1"/>
        </w:numPr>
        <w:spacing w:after="80"/>
      </w:pPr>
      <w:r>
        <w:t xml:space="preserve">The Ocean Connects Us All.</w:t>
      </w:r>
    </w:p>
    <w:p>
      <w:pPr>
        <w:spacing w:after="160" w:line="276"/>
      </w:pPr>
      <w:r>
        <w:t xml:space="preserve">For the primary institutional identity, we recommend pairing the organization name directly with the systems-thinking tagline: Ocean Literacy Institute — Developing Ocean Citizens Through Education and Systems Thinking.</w:t>
      </w:r>
    </w:p>
    <w:p>
      <w:pPr>
        <w:pStyle w:val="Heading1"/>
        <w:spacing w:after="200" w:before="400"/>
      </w:pPr>
      <w:r>
        <w:t xml:space="preserve">3. Our Philosophy: Systems Thinking</w:t>
      </w:r>
    </w:p>
    <w:p>
      <w:pPr>
        <w:spacing w:after="160" w:line="276"/>
      </w:pPr>
      <w:r>
        <w:t xml:space="preserve">Most ocean education teaches individual topics — sharks, coral reefs, sea turtles, pollution, plastic waste. These are important, but students often leave without understanding how they are connected. Systems thinking helps students see the bigger picture: coral reefs support fisheries, fisheries support communities, healthy oceans influence weather, ocean currents regulate climate, ports support global trade, mangroves protect coastlines, biodiversity creates resilience, and human decisions affect interconnected systems. When students understand connections, they make better decisions.</w:t>
      </w:r>
    </w:p>
    <w:p>
      <w:pPr>
        <w:pStyle w:val="Heading2"/>
        <w:spacing w:after="150" w:before="300"/>
      </w:pPr>
      <w:r>
        <w:t xml:space="preserve">Our Educational Philosophy</w:t>
      </w:r>
    </w:p>
    <w:p>
      <w:pPr>
        <w:spacing w:after="160" w:line="276"/>
      </w:pPr>
      <w:r>
        <w:t xml:space="preserve">Every learning experience should help students answer four questions:</w:t>
      </w:r>
    </w:p>
    <w:p>
      <w:pPr>
        <w:pStyle w:val="ListParagraph"/>
        <w:numPr>
          <w:ilvl w:val="0"/>
          <w:numId w:val="1"/>
        </w:numPr>
        <w:spacing w:after="80"/>
      </w:pPr>
      <w:r>
        <w:t xml:space="preserve">What is happening? — Build scientific understanding.</w:t>
      </w:r>
    </w:p>
    <w:p>
      <w:pPr>
        <w:pStyle w:val="ListParagraph"/>
        <w:numPr>
          <w:ilvl w:val="0"/>
          <w:numId w:val="1"/>
        </w:numPr>
        <w:spacing w:after="80"/>
      </w:pPr>
      <w:r>
        <w:t xml:space="preserve">Why does it matter? — Show real-world importance.</w:t>
      </w:r>
    </w:p>
    <w:p>
      <w:pPr>
        <w:pStyle w:val="ListParagraph"/>
        <w:numPr>
          <w:ilvl w:val="0"/>
          <w:numId w:val="1"/>
        </w:numPr>
        <w:spacing w:after="80"/>
      </w:pPr>
      <w:r>
        <w:t xml:space="preserve">How is everything connected? — Develop systems thinking.</w:t>
      </w:r>
    </w:p>
    <w:p>
      <w:pPr>
        <w:pStyle w:val="ListParagraph"/>
        <w:numPr>
          <w:ilvl w:val="0"/>
          <w:numId w:val="1"/>
        </w:numPr>
        <w:spacing w:after="80"/>
      </w:pPr>
      <w:r>
        <w:t xml:space="preserve">What can I do? — Empower meaningful action.</w:t>
      </w:r>
    </w:p>
    <w:p>
      <w:pPr>
        <w:spacing w:after="200" w:before="100"/>
        <w:jc w:val="center"/>
      </w:pPr>
      <w:r>
        <w:rPr>
          <w:i/>
          <w:iCs/>
          <w:color w:val="0F6E7A"/>
        </w:rPr>
        <w:t xml:space="preserve">Knowledge should lead to understanding. Understanding should lead to responsibility. Responsibility should lead to action.</w:t>
      </w:r>
    </w:p>
    <w:p>
      <w:pPr>
        <w:pStyle w:val="Heading2"/>
        <w:spacing w:after="150" w:before="300"/>
      </w:pPr>
      <w:r>
        <w:t xml:space="preserve">A Different Kind of Ocean Education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rPr>
          <w:tblHeader/>
        </w:trPr>
        <w:tc>
          <w:tcPr>
            <w:tcW w:type="dxa" w:w="4675"/>
            <w:shd w:fill="1B3A5C" w:color="auto" w:val="clear"/>
            <w:tcMar>
              <w:top w:type="dxa" w:w="100"/>
              <w:left w:type="dxa" w:w="120"/>
              <w:bottom w:type="dxa" w:w="100"/>
              <w:right w:type="dxa" w:w="120"/>
            </w:tcMar>
          </w:tcPr>
          <w:p>
            <w:r>
              <w:rPr>
                <w:b/>
                <w:bCs/>
                <w:color w:val="FFFFFF"/>
                <w:sz w:val="20"/>
                <w:szCs w:val="20"/>
              </w:rPr>
              <w:t xml:space="preserve">What We Don't Do</w:t>
            </w:r>
          </w:p>
        </w:tc>
        <w:tc>
          <w:tcPr>
            <w:tcW w:type="dxa" w:w="4675"/>
            <w:shd w:fill="1B3A5C" w:color="auto" w:val="clear"/>
            <w:tcMar>
              <w:top w:type="dxa" w:w="100"/>
              <w:left w:type="dxa" w:w="120"/>
              <w:bottom w:type="dxa" w:w="100"/>
              <w:right w:type="dxa" w:w="120"/>
            </w:tcMar>
          </w:tcPr>
          <w:p>
            <w:r>
              <w:rPr>
                <w:b/>
                <w:bCs/>
                <w:color w:val="FFFFFF"/>
                <w:sz w:val="20"/>
                <w:szCs w:val="20"/>
              </w:rPr>
              <w:t xml:space="preserve">What We Do Instead</w:t>
            </w:r>
          </w:p>
        </w:tc>
      </w:tr>
      <w:tr>
        <w:tc>
          <w:tcPr>
            <w:tcW w:type="dxa" w:w="4675"/>
            <w:tcMar>
              <w:top w:type="dxa" w:w="100"/>
              <w:left w:type="dxa" w:w="120"/>
              <w:bottom w:type="dxa" w:w="100"/>
              <w:right w:type="dxa" w:w="120"/>
            </w:tcMar>
          </w:tcPr>
          <w:p>
            <w:r>
              <w:rPr>
                <w:b w:val="false"/>
                <w:bCs w:val="false"/>
                <w:color w:val="222222"/>
                <w:sz w:val="20"/>
                <w:szCs w:val="20"/>
              </w:rPr>
              <w:t xml:space="preserve">We do not teach fear.</w:t>
            </w:r>
          </w:p>
        </w:tc>
        <w:tc>
          <w:tcPr>
            <w:tcW w:type="dxa" w:w="4675"/>
            <w:tcMar>
              <w:top w:type="dxa" w:w="100"/>
              <w:left w:type="dxa" w:w="120"/>
              <w:bottom w:type="dxa" w:w="100"/>
              <w:right w:type="dxa" w:w="120"/>
            </w:tcMar>
          </w:tcPr>
          <w:p>
            <w:r>
              <w:rPr>
                <w:b w:val="false"/>
                <w:bCs w:val="false"/>
                <w:color w:val="222222"/>
                <w:sz w:val="20"/>
                <w:szCs w:val="20"/>
              </w:rPr>
              <w:t xml:space="preserve">We teach understanding.</w:t>
            </w:r>
          </w:p>
        </w:tc>
      </w:tr>
      <w:tr>
        <w:tc>
          <w:tcPr>
            <w:tcW w:type="dxa" w:w="4675"/>
            <w:tcMar>
              <w:top w:type="dxa" w:w="100"/>
              <w:left w:type="dxa" w:w="120"/>
              <w:bottom w:type="dxa" w:w="100"/>
              <w:right w:type="dxa" w:w="120"/>
            </w:tcMar>
          </w:tcPr>
          <w:p>
            <w:r>
              <w:rPr>
                <w:b w:val="false"/>
                <w:bCs w:val="false"/>
                <w:color w:val="222222"/>
                <w:sz w:val="20"/>
                <w:szCs w:val="20"/>
              </w:rPr>
              <w:t xml:space="preserve">We do not promote guilt.</w:t>
            </w:r>
          </w:p>
        </w:tc>
        <w:tc>
          <w:tcPr>
            <w:tcW w:type="dxa" w:w="4675"/>
            <w:tcMar>
              <w:top w:type="dxa" w:w="100"/>
              <w:left w:type="dxa" w:w="120"/>
              <w:bottom w:type="dxa" w:w="100"/>
              <w:right w:type="dxa" w:w="120"/>
            </w:tcMar>
          </w:tcPr>
          <w:p>
            <w:r>
              <w:rPr>
                <w:b w:val="false"/>
                <w:bCs w:val="false"/>
                <w:color w:val="222222"/>
                <w:sz w:val="20"/>
                <w:szCs w:val="20"/>
              </w:rPr>
              <w:t xml:space="preserve">We inspire responsibility.</w:t>
            </w:r>
          </w:p>
        </w:tc>
      </w:tr>
      <w:tr>
        <w:tc>
          <w:tcPr>
            <w:tcW w:type="dxa" w:w="4675"/>
            <w:tcMar>
              <w:top w:type="dxa" w:w="100"/>
              <w:left w:type="dxa" w:w="120"/>
              <w:bottom w:type="dxa" w:w="100"/>
              <w:right w:type="dxa" w:w="120"/>
            </w:tcMar>
          </w:tcPr>
          <w:p>
            <w:r>
              <w:rPr>
                <w:b w:val="false"/>
                <w:bCs w:val="false"/>
                <w:color w:val="222222"/>
                <w:sz w:val="20"/>
                <w:szCs w:val="20"/>
              </w:rPr>
              <w:t xml:space="preserve">We do not focus only on problems.</w:t>
            </w:r>
          </w:p>
        </w:tc>
        <w:tc>
          <w:tcPr>
            <w:tcW w:type="dxa" w:w="4675"/>
            <w:tcMar>
              <w:top w:type="dxa" w:w="100"/>
              <w:left w:type="dxa" w:w="120"/>
              <w:bottom w:type="dxa" w:w="100"/>
              <w:right w:type="dxa" w:w="120"/>
            </w:tcMar>
          </w:tcPr>
          <w:p>
            <w:r>
              <w:rPr>
                <w:b w:val="false"/>
                <w:bCs w:val="false"/>
                <w:color w:val="222222"/>
                <w:sz w:val="20"/>
                <w:szCs w:val="20"/>
              </w:rPr>
              <w:t xml:space="preserve">We explore solutions.</w:t>
            </w:r>
          </w:p>
        </w:tc>
      </w:tr>
      <w:tr>
        <w:tc>
          <w:tcPr>
            <w:tcW w:type="dxa" w:w="4675"/>
            <w:tcMar>
              <w:top w:type="dxa" w:w="100"/>
              <w:left w:type="dxa" w:w="120"/>
              <w:bottom w:type="dxa" w:w="100"/>
              <w:right w:type="dxa" w:w="120"/>
            </w:tcMar>
          </w:tcPr>
          <w:p>
            <w:r>
              <w:rPr>
                <w:b w:val="false"/>
                <w:bCs w:val="false"/>
                <w:color w:val="222222"/>
                <w:sz w:val="20"/>
                <w:szCs w:val="20"/>
              </w:rPr>
              <w:t xml:space="preserve">We do not simply present facts.</w:t>
            </w:r>
          </w:p>
        </w:tc>
        <w:tc>
          <w:tcPr>
            <w:tcW w:type="dxa" w:w="4675"/>
            <w:tcMar>
              <w:top w:type="dxa" w:w="100"/>
              <w:left w:type="dxa" w:w="120"/>
              <w:bottom w:type="dxa" w:w="100"/>
              <w:right w:type="dxa" w:w="120"/>
            </w:tcMar>
          </w:tcPr>
          <w:p>
            <w:r>
              <w:rPr>
                <w:b w:val="false"/>
                <w:bCs w:val="false"/>
                <w:color w:val="222222"/>
                <w:sz w:val="20"/>
                <w:szCs w:val="20"/>
              </w:rPr>
              <w:t xml:space="preserve">We cultivate curiosity.</w:t>
            </w:r>
          </w:p>
        </w:tc>
      </w:tr>
    </w:tbl>
    <w:p>
      <w:pPr>
        <w:spacing w:before="200"/>
      </w:pPr>
    </w:p>
    <w:p>
      <w:pPr>
        <w:pStyle w:val="Heading2"/>
        <w:spacing w:after="150" w:before="300"/>
      </w:pPr>
      <w:r>
        <w:t xml:space="preserve">Developing Ocean Citizens</w:t>
      </w:r>
    </w:p>
    <w:p>
      <w:pPr>
        <w:spacing w:after="160" w:line="276"/>
      </w:pPr>
      <w:r>
        <w:t xml:space="preserve">Our goal is to help every student become an informed ocean citizen. That does not mean every child becomes a marine biologist. It means every child understands why the ocean matters, how ocean systems support life, how human choices influence those systems, and how informed decisions can strengthen the future of our planet.</w:t>
      </w:r>
    </w:p>
    <w:p>
      <w:pPr>
        <w:spacing w:after="200" w:before="100"/>
        <w:jc w:val="center"/>
      </w:pPr>
      <w:r>
        <w:rPr>
          <w:i/>
          <w:iCs/>
          <w:color w:val="0F6E7A"/>
        </w:rPr>
        <w:t xml:space="preserve">When children understand how the ocean works, they begin to understand how the world works. And when they understand how the world works, they are better prepared to help shape its future.</w:t>
      </w:r>
    </w:p>
    <w:p>
      <w:pPr>
        <w:pStyle w:val="Heading1"/>
        <w:spacing w:after="200" w:before="400"/>
      </w:pPr>
      <w:r>
        <w:t xml:space="preserve">4. The Educational Framework</w:t>
      </w:r>
    </w:p>
    <w:p>
      <w:pPr>
        <w:spacing w:after="160" w:line="276"/>
      </w:pPr>
      <w:r>
        <w:t xml:space="preserve">Every book and educational resource we produce follows the same signature structure — the model that defines our brand and distinguishes it from any comparable series on the shelf. A teacher, parent, or librarian who picks up any title in the series will immediately recognize the structure, which is what makes the series usable at scale in classrooms and homes alike.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6350"/>
      </w:tblGrid>
      <w:tr>
        <w:trPr>
          <w:tblHeader/>
        </w:trPr>
        <w:tc>
          <w:tcPr>
            <w:tcW w:type="dxa" w:w="3000"/>
            <w:shd w:fill="1B3A5C" w:color="auto" w:val="clear"/>
            <w:tcMar>
              <w:top w:type="dxa" w:w="100"/>
              <w:left w:type="dxa" w:w="120"/>
              <w:bottom w:type="dxa" w:w="100"/>
              <w:right w:type="dxa" w:w="120"/>
            </w:tcMar>
          </w:tcPr>
          <w:p>
            <w:r>
              <w:rPr>
                <w:b/>
                <w:bCs/>
                <w:color w:val="FFFFFF"/>
                <w:sz w:val="20"/>
                <w:szCs w:val="20"/>
              </w:rPr>
              <w:t xml:space="preserve">Element</w:t>
            </w:r>
          </w:p>
        </w:tc>
        <w:tc>
          <w:tcPr>
            <w:tcW w:type="dxa" w:w="6350"/>
            <w:shd w:fill="1B3A5C" w:color="auto" w:val="clear"/>
            <w:tcMar>
              <w:top w:type="dxa" w:w="100"/>
              <w:left w:type="dxa" w:w="120"/>
              <w:bottom w:type="dxa" w:w="100"/>
              <w:right w:type="dxa" w:w="120"/>
            </w:tcMar>
          </w:tcPr>
          <w:p>
            <w:r>
              <w:rPr>
                <w:b/>
                <w:bCs/>
                <w:color w:val="FFFFFF"/>
                <w:sz w:val="20"/>
                <w:szCs w:val="20"/>
              </w:rPr>
              <w:t xml:space="preserve">What It Delivers</w:t>
            </w:r>
          </w:p>
        </w:tc>
      </w:tr>
      <w:tr>
        <w:tc>
          <w:tcPr>
            <w:tcW w:type="dxa" w:w="3000"/>
            <w:tcMar>
              <w:top w:type="dxa" w:w="100"/>
              <w:left w:type="dxa" w:w="120"/>
              <w:bottom w:type="dxa" w:w="100"/>
              <w:right w:type="dxa" w:w="120"/>
            </w:tcMar>
          </w:tcPr>
          <w:p>
            <w:r>
              <w:rPr>
                <w:b w:val="false"/>
                <w:bCs w:val="false"/>
                <w:color w:val="222222"/>
                <w:sz w:val="20"/>
                <w:szCs w:val="20"/>
              </w:rPr>
              <w:t xml:space="preserve">Adventure Story</w:t>
            </w:r>
          </w:p>
        </w:tc>
        <w:tc>
          <w:tcPr>
            <w:tcW w:type="dxa" w:w="6350"/>
            <w:tcMar>
              <w:top w:type="dxa" w:w="100"/>
              <w:left w:type="dxa" w:w="120"/>
              <w:bottom w:type="dxa" w:w="100"/>
              <w:right w:type="dxa" w:w="120"/>
            </w:tcMar>
          </w:tcPr>
          <w:p>
            <w:r>
              <w:rPr>
                <w:b w:val="false"/>
                <w:bCs w:val="false"/>
                <w:color w:val="222222"/>
                <w:sz w:val="20"/>
                <w:szCs w:val="20"/>
              </w:rPr>
              <w:t xml:space="preserve">A true, first-person expedition experience — opened by “Mike’s Logbook,” a real expedition data entry recording location, water temperature, visibility, depth, and conditions.</w:t>
            </w:r>
          </w:p>
        </w:tc>
      </w:tr>
      <w:tr>
        <w:tc>
          <w:tcPr>
            <w:tcW w:type="dxa" w:w="3000"/>
            <w:tcMar>
              <w:top w:type="dxa" w:w="100"/>
              <w:left w:type="dxa" w:w="120"/>
              <w:bottom w:type="dxa" w:w="100"/>
              <w:right w:type="dxa" w:w="120"/>
            </w:tcMar>
          </w:tcPr>
          <w:p>
            <w:r>
              <w:rPr>
                <w:b w:val="false"/>
                <w:bCs w:val="false"/>
                <w:color w:val="222222"/>
                <w:sz w:val="20"/>
                <w:szCs w:val="20"/>
              </w:rPr>
              <w:t xml:space="preserve">Ocean Science</w:t>
            </w:r>
          </w:p>
        </w:tc>
        <w:tc>
          <w:tcPr>
            <w:tcW w:type="dxa" w:w="6350"/>
            <w:tcMar>
              <w:top w:type="dxa" w:w="100"/>
              <w:left w:type="dxa" w:w="120"/>
              <w:bottom w:type="dxa" w:w="100"/>
              <w:right w:type="dxa" w:w="120"/>
            </w:tcMar>
          </w:tcPr>
          <w:p>
            <w:r>
              <w:rPr>
                <w:b w:val="false"/>
                <w:bCs w:val="false"/>
                <w:color w:val="222222"/>
                <w:sz w:val="20"/>
                <w:szCs w:val="20"/>
              </w:rPr>
              <w:t xml:space="preserve">The real biology, physics, and ecology behind the moment, explained at grade level.</w:t>
            </w:r>
          </w:p>
        </w:tc>
      </w:tr>
      <w:tr>
        <w:tc>
          <w:tcPr>
            <w:tcW w:type="dxa" w:w="3000"/>
            <w:tcMar>
              <w:top w:type="dxa" w:w="100"/>
              <w:left w:type="dxa" w:w="120"/>
              <w:bottom w:type="dxa" w:w="100"/>
              <w:right w:type="dxa" w:w="120"/>
            </w:tcMar>
          </w:tcPr>
          <w:p>
            <w:r>
              <w:rPr>
                <w:b w:val="false"/>
                <w:bCs w:val="false"/>
                <w:color w:val="222222"/>
                <w:sz w:val="20"/>
                <w:szCs w:val="20"/>
              </w:rPr>
              <w:t xml:space="preserve">Ocean Career</w:t>
            </w:r>
          </w:p>
        </w:tc>
        <w:tc>
          <w:tcPr>
            <w:tcW w:type="dxa" w:w="6350"/>
            <w:tcMar>
              <w:top w:type="dxa" w:w="100"/>
              <w:left w:type="dxa" w:w="120"/>
              <w:bottom w:type="dxa" w:w="100"/>
              <w:right w:type="dxa" w:w="120"/>
            </w:tcMar>
          </w:tcPr>
          <w:p>
            <w:r>
              <w:rPr>
                <w:b w:val="false"/>
                <w:bCs w:val="false"/>
                <w:color w:val="222222"/>
                <w:sz w:val="20"/>
                <w:szCs w:val="20"/>
              </w:rPr>
              <w:t xml:space="preserve">A working professional whose job intersects with the story — the bridge from wonder to vocation.</w:t>
            </w:r>
          </w:p>
        </w:tc>
      </w:tr>
      <w:tr>
        <w:tc>
          <w:tcPr>
            <w:tcW w:type="dxa" w:w="3000"/>
            <w:tcMar>
              <w:top w:type="dxa" w:w="100"/>
              <w:left w:type="dxa" w:w="120"/>
              <w:bottom w:type="dxa" w:w="100"/>
              <w:right w:type="dxa" w:w="120"/>
            </w:tcMar>
          </w:tcPr>
          <w:p>
            <w:r>
              <w:rPr>
                <w:b w:val="false"/>
                <w:bCs w:val="false"/>
                <w:color w:val="222222"/>
                <w:sz w:val="20"/>
                <w:szCs w:val="20"/>
              </w:rPr>
              <w:t xml:space="preserve">Conservation Challenge</w:t>
            </w:r>
          </w:p>
        </w:tc>
        <w:tc>
          <w:tcPr>
            <w:tcW w:type="dxa" w:w="6350"/>
            <w:tcMar>
              <w:top w:type="dxa" w:w="100"/>
              <w:left w:type="dxa" w:w="120"/>
              <w:bottom w:type="dxa" w:w="100"/>
              <w:right w:type="dxa" w:w="120"/>
            </w:tcMar>
          </w:tcPr>
          <w:p>
            <w:r>
              <w:rPr>
                <w:b w:val="false"/>
                <w:bCs w:val="false"/>
                <w:color w:val="222222"/>
                <w:sz w:val="20"/>
                <w:szCs w:val="20"/>
              </w:rPr>
              <w:t xml:space="preserve">What is at stake, told through hope and agency rather than fear.</w:t>
            </w:r>
          </w:p>
        </w:tc>
      </w:tr>
      <w:tr>
        <w:tc>
          <w:tcPr>
            <w:tcW w:type="dxa" w:w="3000"/>
            <w:tcMar>
              <w:top w:type="dxa" w:w="100"/>
              <w:left w:type="dxa" w:w="120"/>
              <w:bottom w:type="dxa" w:w="100"/>
              <w:right w:type="dxa" w:w="120"/>
            </w:tcMar>
          </w:tcPr>
          <w:p>
            <w:r>
              <w:rPr>
                <w:b w:val="false"/>
                <w:bCs w:val="false"/>
                <w:color w:val="222222"/>
                <w:sz w:val="20"/>
                <w:szCs w:val="20"/>
              </w:rPr>
              <w:t xml:space="preserve">Character Lesson</w:t>
            </w:r>
          </w:p>
        </w:tc>
        <w:tc>
          <w:tcPr>
            <w:tcW w:type="dxa" w:w="6350"/>
            <w:tcMar>
              <w:top w:type="dxa" w:w="100"/>
              <w:left w:type="dxa" w:w="120"/>
              <w:bottom w:type="dxa" w:w="100"/>
              <w:right w:type="dxa" w:w="120"/>
            </w:tcMar>
          </w:tcPr>
          <w:p>
            <w:r>
              <w:rPr>
                <w:b w:val="false"/>
                <w:bCs w:val="false"/>
                <w:color w:val="222222"/>
                <w:sz w:val="20"/>
                <w:szCs w:val="20"/>
              </w:rPr>
              <w:t xml:space="preserve">The internal shift — courage, curiosity, resilience — that the experience produced.</w:t>
            </w:r>
          </w:p>
        </w:tc>
      </w:tr>
      <w:tr>
        <w:tc>
          <w:tcPr>
            <w:tcW w:type="dxa" w:w="3000"/>
            <w:tcMar>
              <w:top w:type="dxa" w:w="100"/>
              <w:left w:type="dxa" w:w="120"/>
              <w:bottom w:type="dxa" w:w="100"/>
              <w:right w:type="dxa" w:w="120"/>
            </w:tcMar>
          </w:tcPr>
          <w:p>
            <w:r>
              <w:rPr>
                <w:b w:val="false"/>
                <w:bCs w:val="false"/>
                <w:color w:val="222222"/>
                <w:sz w:val="20"/>
                <w:szCs w:val="20"/>
              </w:rPr>
              <w:t xml:space="preserve">“Did You Know?” Facts</w:t>
            </w:r>
          </w:p>
        </w:tc>
        <w:tc>
          <w:tcPr>
            <w:tcW w:type="dxa" w:w="6350"/>
            <w:tcMar>
              <w:top w:type="dxa" w:w="100"/>
              <w:left w:type="dxa" w:w="120"/>
              <w:bottom w:type="dxa" w:w="100"/>
              <w:right w:type="dxa" w:w="120"/>
            </w:tcMar>
          </w:tcPr>
          <w:p>
            <w:r>
              <w:rPr>
                <w:b w:val="false"/>
                <w:bCs w:val="false"/>
                <w:color w:val="222222"/>
                <w:sz w:val="20"/>
                <w:szCs w:val="20"/>
              </w:rPr>
              <w:t xml:space="preserve">Bite-sized, memorable science facts that extend the story.</w:t>
            </w:r>
          </w:p>
        </w:tc>
      </w:tr>
      <w:tr>
        <w:tc>
          <w:tcPr>
            <w:tcW w:type="dxa" w:w="3000"/>
            <w:tcMar>
              <w:top w:type="dxa" w:w="100"/>
              <w:left w:type="dxa" w:w="120"/>
              <w:bottom w:type="dxa" w:w="100"/>
              <w:right w:type="dxa" w:w="120"/>
            </w:tcMar>
          </w:tcPr>
          <w:p>
            <w:r>
              <w:rPr>
                <w:b w:val="false"/>
                <w:bCs w:val="false"/>
                <w:color w:val="222222"/>
                <w:sz w:val="20"/>
                <w:szCs w:val="20"/>
              </w:rPr>
              <w:t xml:space="preserve">Classroom Activity</w:t>
            </w:r>
          </w:p>
        </w:tc>
        <w:tc>
          <w:tcPr>
            <w:tcW w:type="dxa" w:w="6350"/>
            <w:tcMar>
              <w:top w:type="dxa" w:w="100"/>
              <w:left w:type="dxa" w:w="120"/>
              <w:bottom w:type="dxa" w:w="100"/>
              <w:right w:type="dxa" w:w="120"/>
            </w:tcMar>
          </w:tcPr>
          <w:p>
            <w:r>
              <w:rPr>
                <w:b w:val="false"/>
                <w:bCs w:val="false"/>
                <w:color w:val="222222"/>
                <w:sz w:val="20"/>
                <w:szCs w:val="20"/>
              </w:rPr>
              <w:t xml:space="preserve">A standards-aligned exercise teachers can run without additional preparation.</w:t>
            </w:r>
          </w:p>
        </w:tc>
      </w:tr>
      <w:tr>
        <w:tc>
          <w:tcPr>
            <w:tcW w:type="dxa" w:w="3000"/>
            <w:tcMar>
              <w:top w:type="dxa" w:w="100"/>
              <w:left w:type="dxa" w:w="120"/>
              <w:bottom w:type="dxa" w:w="100"/>
              <w:right w:type="dxa" w:w="120"/>
            </w:tcMar>
          </w:tcPr>
          <w:p>
            <w:r>
              <w:rPr>
                <w:b w:val="false"/>
                <w:bCs w:val="false"/>
                <w:color w:val="222222"/>
                <w:sz w:val="20"/>
                <w:szCs w:val="20"/>
              </w:rPr>
              <w:t xml:space="preserve">Family Discussion</w:t>
            </w:r>
          </w:p>
        </w:tc>
        <w:tc>
          <w:tcPr>
            <w:tcW w:type="dxa" w:w="6350"/>
            <w:tcMar>
              <w:top w:type="dxa" w:w="100"/>
              <w:left w:type="dxa" w:w="120"/>
              <w:bottom w:type="dxa" w:w="100"/>
              <w:right w:type="dxa" w:w="120"/>
            </w:tcMar>
          </w:tcPr>
          <w:p>
            <w:r>
              <w:rPr>
                <w:b w:val="false"/>
                <w:bCs w:val="false"/>
                <w:color w:val="222222"/>
                <w:sz w:val="20"/>
                <w:szCs w:val="20"/>
              </w:rPr>
              <w:t xml:space="preserve">Discussion questions that carry the story from the classroom into the home.</w:t>
            </w:r>
          </w:p>
        </w:tc>
      </w:tr>
      <w:tr>
        <w:tc>
          <w:tcPr>
            <w:tcW w:type="dxa" w:w="3000"/>
            <w:tcMar>
              <w:top w:type="dxa" w:w="100"/>
              <w:left w:type="dxa" w:w="120"/>
              <w:bottom w:type="dxa" w:w="100"/>
              <w:right w:type="dxa" w:w="120"/>
            </w:tcMar>
          </w:tcPr>
          <w:p>
            <w:r>
              <w:rPr>
                <w:b w:val="false"/>
                <w:bCs w:val="false"/>
                <w:color w:val="222222"/>
                <w:sz w:val="20"/>
                <w:szCs w:val="20"/>
              </w:rPr>
              <w:t xml:space="preserve">Action Challenge</w:t>
            </w:r>
          </w:p>
        </w:tc>
        <w:tc>
          <w:tcPr>
            <w:tcW w:type="dxa" w:w="6350"/>
            <w:tcMar>
              <w:top w:type="dxa" w:w="100"/>
              <w:left w:type="dxa" w:w="120"/>
              <w:bottom w:type="dxa" w:w="100"/>
              <w:right w:type="dxa" w:w="120"/>
            </w:tcMar>
          </w:tcPr>
          <w:p>
            <w:r>
              <w:rPr>
                <w:b w:val="false"/>
                <w:bCs w:val="false"/>
                <w:color w:val="222222"/>
                <w:sz w:val="20"/>
                <w:szCs w:val="20"/>
              </w:rPr>
              <w:t xml:space="preserve">One concrete, age-appropriate step the reader can take this week.</w:t>
            </w:r>
          </w:p>
        </w:tc>
      </w:tr>
      <w:tr>
        <w:tc>
          <w:tcPr>
            <w:tcW w:type="dxa" w:w="3000"/>
            <w:tcMar>
              <w:top w:type="dxa" w:w="100"/>
              <w:left w:type="dxa" w:w="120"/>
              <w:bottom w:type="dxa" w:w="100"/>
              <w:right w:type="dxa" w:w="120"/>
            </w:tcMar>
          </w:tcPr>
          <w:p>
            <w:r>
              <w:rPr>
                <w:b w:val="false"/>
                <w:bCs w:val="false"/>
                <w:color w:val="222222"/>
                <w:sz w:val="20"/>
                <w:szCs w:val="20"/>
              </w:rPr>
              <w:t xml:space="preserve">Companion Video</w:t>
            </w:r>
          </w:p>
        </w:tc>
        <w:tc>
          <w:tcPr>
            <w:tcW w:type="dxa" w:w="6350"/>
            <w:tcMar>
              <w:top w:type="dxa" w:w="100"/>
              <w:left w:type="dxa" w:w="120"/>
              <w:bottom w:type="dxa" w:w="100"/>
              <w:right w:type="dxa" w:w="120"/>
            </w:tcMar>
          </w:tcPr>
          <w:p>
            <w:r>
              <w:rPr>
                <w:b w:val="false"/>
                <w:bCs w:val="false"/>
                <w:color w:val="222222"/>
                <w:sz w:val="20"/>
                <w:szCs w:val="20"/>
              </w:rPr>
              <w:t xml:space="preserve">A QR-linked video accessible from the page itself.</w:t>
            </w:r>
          </w:p>
        </w:tc>
      </w:tr>
    </w:tbl>
    <w:p>
      <w:pPr>
        <w:pStyle w:val="Heading1"/>
        <w:spacing w:after="200" w:before="400"/>
      </w:pPr>
      <w:r>
        <w:t xml:space="preserve">5. Age-Tiered Learning Pathways</w:t>
      </w:r>
    </w:p>
    <w:p>
      <w:pPr>
        <w:spacing w:after="160" w:line="276"/>
      </w:pPr>
      <w:r>
        <w:t xml:space="preserve">We are building four parallel learning paths, each carrying the same mission and themes forward at increasing complexity, so a single child can grow through the entire series — from a picture book at age four to systems thinking, ocean risk, marine technology, and career pathways by age seventeen.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4750"/>
      </w:tblGrid>
      <w:tr>
        <w:trPr>
          <w:tblHeader/>
        </w:trPr>
        <w:tc>
          <w:tcPr>
            <w:tcW w:type="dxa" w:w="1400"/>
            <w:shd w:fill="1B3A5C" w:color="auto" w:val="clear"/>
            <w:tcMar>
              <w:top w:type="dxa" w:w="100"/>
              <w:left w:type="dxa" w:w="120"/>
              <w:bottom w:type="dxa" w:w="100"/>
              <w:right w:type="dxa" w:w="120"/>
            </w:tcMar>
          </w:tcPr>
          <w:p>
            <w:r>
              <w:rPr>
                <w:b/>
                <w:bCs/>
                <w:color w:val="FFFFFF"/>
                <w:sz w:val="20"/>
                <w:szCs w:val="20"/>
              </w:rPr>
              <w:t xml:space="preserve">Ages</w:t>
            </w:r>
          </w:p>
        </w:tc>
        <w:tc>
          <w:tcPr>
            <w:tcW w:type="dxa" w:w="3200"/>
            <w:shd w:fill="1B3A5C" w:color="auto" w:val="clear"/>
            <w:tcMar>
              <w:top w:type="dxa" w:w="100"/>
              <w:left w:type="dxa" w:w="120"/>
              <w:bottom w:type="dxa" w:w="100"/>
              <w:right w:type="dxa" w:w="120"/>
            </w:tcMar>
          </w:tcPr>
          <w:p>
            <w:r>
              <w:rPr>
                <w:b/>
                <w:bCs/>
                <w:color w:val="FFFFFF"/>
                <w:sz w:val="20"/>
                <w:szCs w:val="20"/>
              </w:rPr>
              <w:t xml:space="preserve">Format</w:t>
            </w:r>
          </w:p>
        </w:tc>
        <w:tc>
          <w:tcPr>
            <w:tcW w:type="dxa" w:w="4750"/>
            <w:shd w:fill="1B3A5C" w:color="auto" w:val="clear"/>
            <w:tcMar>
              <w:top w:type="dxa" w:w="100"/>
              <w:left w:type="dxa" w:w="120"/>
              <w:bottom w:type="dxa" w:w="100"/>
              <w:right w:type="dxa" w:w="120"/>
            </w:tcMar>
          </w:tcPr>
          <w:p>
            <w:r>
              <w:rPr>
                <w:b/>
                <w:bCs/>
                <w:color w:val="FFFFFF"/>
                <w:sz w:val="20"/>
                <w:szCs w:val="20"/>
              </w:rPr>
              <w:t xml:space="preserve">Emphasis</w:t>
            </w:r>
          </w:p>
        </w:tc>
      </w:tr>
      <w:tr>
        <w:tc>
          <w:tcPr>
            <w:tcW w:type="dxa" w:w="1400"/>
            <w:tcMar>
              <w:top w:type="dxa" w:w="100"/>
              <w:left w:type="dxa" w:w="120"/>
              <w:bottom w:type="dxa" w:w="100"/>
              <w:right w:type="dxa" w:w="120"/>
            </w:tcMar>
          </w:tcPr>
          <w:p>
            <w:r>
              <w:rPr>
                <w:b w:val="false"/>
                <w:bCs w:val="false"/>
                <w:color w:val="222222"/>
                <w:sz w:val="20"/>
                <w:szCs w:val="20"/>
              </w:rPr>
              <w:t xml:space="preserve">3–5</w:t>
            </w:r>
          </w:p>
        </w:tc>
        <w:tc>
          <w:tcPr>
            <w:tcW w:type="dxa" w:w="3200"/>
            <w:tcMar>
              <w:top w:type="dxa" w:w="100"/>
              <w:left w:type="dxa" w:w="120"/>
              <w:bottom w:type="dxa" w:w="100"/>
              <w:right w:type="dxa" w:w="120"/>
            </w:tcMar>
          </w:tcPr>
          <w:p>
            <w:r>
              <w:rPr>
                <w:b w:val="false"/>
                <w:bCs w:val="false"/>
                <w:color w:val="222222"/>
                <w:sz w:val="20"/>
                <w:szCs w:val="20"/>
              </w:rPr>
              <w:t xml:space="preserve">Wonder Books / Picture Books</w:t>
            </w:r>
          </w:p>
        </w:tc>
        <w:tc>
          <w:tcPr>
            <w:tcW w:type="dxa" w:w="4750"/>
            <w:tcMar>
              <w:top w:type="dxa" w:w="100"/>
              <w:left w:type="dxa" w:w="120"/>
              <w:bottom w:type="dxa" w:w="100"/>
              <w:right w:type="dxa" w:w="120"/>
            </w:tcMar>
          </w:tcPr>
          <w:p>
            <w:r>
              <w:rPr>
                <w:b w:val="false"/>
                <w:bCs w:val="false"/>
                <w:color w:val="222222"/>
                <w:sz w:val="20"/>
                <w:szCs w:val="20"/>
              </w:rPr>
              <w:t xml:space="preserve">Wonder and warmth — the ocean as a place of beauty, not danger; a first emotional connection.</w:t>
            </w:r>
          </w:p>
        </w:tc>
      </w:tr>
      <w:tr>
        <w:tc>
          <w:tcPr>
            <w:tcW w:type="dxa" w:w="1400"/>
            <w:tcMar>
              <w:top w:type="dxa" w:w="100"/>
              <w:left w:type="dxa" w:w="120"/>
              <w:bottom w:type="dxa" w:w="100"/>
              <w:right w:type="dxa" w:w="120"/>
            </w:tcMar>
          </w:tcPr>
          <w:p>
            <w:r>
              <w:rPr>
                <w:b w:val="false"/>
                <w:bCs w:val="false"/>
                <w:color w:val="222222"/>
                <w:sz w:val="20"/>
                <w:szCs w:val="20"/>
              </w:rPr>
              <w:t xml:space="preserve">6–10</w:t>
            </w:r>
          </w:p>
        </w:tc>
        <w:tc>
          <w:tcPr>
            <w:tcW w:type="dxa" w:w="3200"/>
            <w:tcMar>
              <w:top w:type="dxa" w:w="100"/>
              <w:left w:type="dxa" w:w="120"/>
              <w:bottom w:type="dxa" w:w="100"/>
              <w:right w:type="dxa" w:w="120"/>
            </w:tcMar>
          </w:tcPr>
          <w:p>
            <w:r>
              <w:rPr>
                <w:b w:val="false"/>
                <w:bCs w:val="false"/>
                <w:color w:val="222222"/>
                <w:sz w:val="20"/>
                <w:szCs w:val="20"/>
              </w:rPr>
              <w:t xml:space="preserve">Early Readers / Adventure Intro</w:t>
            </w:r>
          </w:p>
        </w:tc>
        <w:tc>
          <w:tcPr>
            <w:tcW w:type="dxa" w:w="4750"/>
            <w:tcMar>
              <w:top w:type="dxa" w:w="100"/>
              <w:left w:type="dxa" w:w="120"/>
              <w:bottom w:type="dxa" w:w="100"/>
              <w:right w:type="dxa" w:w="120"/>
            </w:tcMar>
          </w:tcPr>
          <w:p>
            <w:r>
              <w:rPr>
                <w:b w:val="false"/>
                <w:bCs w:val="false"/>
                <w:color w:val="222222"/>
                <w:sz w:val="20"/>
                <w:szCs w:val="20"/>
              </w:rPr>
              <w:t xml:space="preserve">Adventure and simple science — the story carries the facts.</w:t>
            </w:r>
          </w:p>
        </w:tc>
      </w:tr>
      <w:tr>
        <w:tc>
          <w:tcPr>
            <w:tcW w:type="dxa" w:w="1400"/>
            <w:tcMar>
              <w:top w:type="dxa" w:w="100"/>
              <w:left w:type="dxa" w:w="120"/>
              <w:bottom w:type="dxa" w:w="100"/>
              <w:right w:type="dxa" w:w="120"/>
            </w:tcMar>
          </w:tcPr>
          <w:p>
            <w:r>
              <w:rPr>
                <w:b w:val="false"/>
                <w:bCs w:val="false"/>
                <w:color w:val="222222"/>
                <w:sz w:val="20"/>
                <w:szCs w:val="20"/>
              </w:rPr>
              <w:t xml:space="preserve">11–14</w:t>
            </w:r>
          </w:p>
        </w:tc>
        <w:tc>
          <w:tcPr>
            <w:tcW w:type="dxa" w:w="3200"/>
            <w:tcMar>
              <w:top w:type="dxa" w:w="100"/>
              <w:left w:type="dxa" w:w="120"/>
              <w:bottom w:type="dxa" w:w="100"/>
              <w:right w:type="dxa" w:w="120"/>
            </w:tcMar>
          </w:tcPr>
          <w:p>
            <w:r>
              <w:rPr>
                <w:b w:val="false"/>
                <w:bCs w:val="false"/>
                <w:color w:val="222222"/>
                <w:sz w:val="20"/>
                <w:szCs w:val="20"/>
              </w:rPr>
              <w:t xml:space="preserve">Chapter Books / Adventure + Science</w:t>
            </w:r>
          </w:p>
        </w:tc>
        <w:tc>
          <w:tcPr>
            <w:tcW w:type="dxa" w:w="4750"/>
            <w:tcMar>
              <w:top w:type="dxa" w:w="100"/>
              <w:left w:type="dxa" w:w="120"/>
              <w:bottom w:type="dxa" w:w="100"/>
              <w:right w:type="dxa" w:w="120"/>
            </w:tcMar>
          </w:tcPr>
          <w:p>
            <w:r>
              <w:rPr>
                <w:b w:val="false"/>
                <w:bCs w:val="false"/>
                <w:color w:val="222222"/>
                <w:sz w:val="20"/>
                <w:szCs w:val="20"/>
              </w:rPr>
              <w:t xml:space="preserve">Adventure, science, and character development woven together, with classroom-ready content.</w:t>
            </w:r>
          </w:p>
        </w:tc>
      </w:tr>
      <w:tr>
        <w:tc>
          <w:tcPr>
            <w:tcW w:type="dxa" w:w="1400"/>
            <w:tcMar>
              <w:top w:type="dxa" w:w="100"/>
              <w:left w:type="dxa" w:w="120"/>
              <w:bottom w:type="dxa" w:w="100"/>
              <w:right w:type="dxa" w:w="120"/>
            </w:tcMar>
          </w:tcPr>
          <w:p>
            <w:r>
              <w:rPr>
                <w:b w:val="false"/>
                <w:bCs w:val="false"/>
                <w:color w:val="222222"/>
                <w:sz w:val="20"/>
                <w:szCs w:val="20"/>
              </w:rPr>
              <w:t xml:space="preserve">15–18</w:t>
            </w:r>
          </w:p>
        </w:tc>
        <w:tc>
          <w:tcPr>
            <w:tcW w:type="dxa" w:w="3200"/>
            <w:tcMar>
              <w:top w:type="dxa" w:w="100"/>
              <w:left w:type="dxa" w:w="120"/>
              <w:bottom w:type="dxa" w:w="100"/>
              <w:right w:type="dxa" w:w="120"/>
            </w:tcMar>
          </w:tcPr>
          <w:p>
            <w:r>
              <w:rPr>
                <w:b w:val="false"/>
                <w:bCs w:val="false"/>
                <w:color w:val="222222"/>
                <w:sz w:val="20"/>
                <w:szCs w:val="20"/>
              </w:rPr>
              <w:t xml:space="preserve">YA Nonfiction</w:t>
            </w:r>
          </w:p>
        </w:tc>
        <w:tc>
          <w:tcPr>
            <w:tcW w:type="dxa" w:w="4750"/>
            <w:tcMar>
              <w:top w:type="dxa" w:w="100"/>
              <w:left w:type="dxa" w:w="120"/>
              <w:bottom w:type="dxa" w:w="100"/>
              <w:right w:type="dxa" w:w="120"/>
            </w:tcMar>
          </w:tcPr>
          <w:p>
            <w:r>
              <w:rPr>
                <w:b w:val="false"/>
                <w:bCs w:val="false"/>
                <w:color w:val="222222"/>
                <w:sz w:val="20"/>
                <w:szCs w:val="20"/>
              </w:rPr>
              <w:t xml:space="preserve">Systems thinking and career pathways — longer-form nonfiction bridging personal narrative to STEM careers and real-world stakes.</w:t>
            </w:r>
          </w:p>
        </w:tc>
      </w:tr>
    </w:tbl>
    <w:p>
      <w:pPr>
        <w:pStyle w:val="Heading1"/>
        <w:spacing w:after="200" w:before="400"/>
      </w:pPr>
      <w:r>
        <w:t xml:space="preserve">6. The Book Series: A Brand Distinct from the Institution</w:t>
      </w:r>
    </w:p>
    <w:p>
      <w:pPr>
        <w:spacing w:after="160" w:line="276"/>
      </w:pPr>
      <w:r>
        <w:t xml:space="preserve">The book series needs its own memorable identity, distinct from the institution that will eventually house it. Flagship series like The Magic School Bus, Who Was...?, and Eyewitness Books show the pattern: the parent institution builds trust, while the series itself becomes the brand children actually recognize, ask for by name, and collect. A nonprofit name has to carry mission, credibility, and fundability; a series name has to carry curiosity, memorability, and a promise a child can repeat to a friend. Trying to make one name do both usually weakens it for both purposes.</w:t>
      </w:r>
    </w:p>
    <w:p>
      <w:pPr>
        <w:spacing w:after="160" w:line="276"/>
      </w:pPr>
      <w:r>
        <w:t xml:space="preserve">We recommend the same separation here: the Institute becomes the trusted institution behind the work, positioned around ocean literacy and systems thinking broadly. The book series carries its own name, under which individually titled books live, each opening with a true story and closing with the same two reflection questions.</w:t>
      </w:r>
    </w:p>
    <w:p>
      <w:pPr>
        <w:pStyle w:val="Heading2"/>
        <w:spacing w:after="150" w:before="300"/>
      </w:pPr>
      <w:r>
        <w:t xml:space="preserve">Naming Concepts Considered</w:t>
      </w:r>
    </w:p>
    <w:p>
      <w:pPr>
        <w:spacing w:after="160" w:line="276"/>
      </w:pPr>
      <w:r>
        <w:t xml:space="preserve">Concepts were grouped into five families, each aligned with a different angle on the mission — personal story, systems thinking, adventure, courage/character, and education.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6950"/>
      </w:tblGrid>
      <w:tr>
        <w:trPr>
          <w:tblHeader/>
        </w:trPr>
        <w:tc>
          <w:tcPr>
            <w:tcW w:type="dxa" w:w="2400"/>
            <w:shd w:fill="1B3A5C" w:color="auto" w:val="clear"/>
            <w:tcMar>
              <w:top w:type="dxa" w:w="100"/>
              <w:left w:type="dxa" w:w="120"/>
              <w:bottom w:type="dxa" w:w="100"/>
              <w:right w:type="dxa" w:w="120"/>
            </w:tcMar>
          </w:tcPr>
          <w:p>
            <w:r>
              <w:rPr>
                <w:b/>
                <w:bCs/>
                <w:color w:val="FFFFFF"/>
                <w:sz w:val="20"/>
                <w:szCs w:val="20"/>
              </w:rPr>
              <w:t xml:space="preserve">Family</w:t>
            </w:r>
          </w:p>
        </w:tc>
        <w:tc>
          <w:tcPr>
            <w:tcW w:type="dxa" w:w="6950"/>
            <w:shd w:fill="1B3A5C" w:color="auto" w:val="clear"/>
            <w:tcMar>
              <w:top w:type="dxa" w:w="100"/>
              <w:left w:type="dxa" w:w="120"/>
              <w:bottom w:type="dxa" w:w="100"/>
              <w:right w:type="dxa" w:w="120"/>
            </w:tcMar>
          </w:tcPr>
          <w:p>
            <w:r>
              <w:rPr>
                <w:b/>
                <w:bCs/>
                <w:color w:val="FFFFFF"/>
                <w:sz w:val="20"/>
                <w:szCs w:val="20"/>
              </w:rPr>
              <w:t xml:space="preserve">Concepts</w:t>
            </w:r>
          </w:p>
        </w:tc>
      </w:tr>
      <w:tr>
        <w:tc>
          <w:tcPr>
            <w:tcW w:type="dxa" w:w="2400"/>
            <w:tcMar>
              <w:top w:type="dxa" w:w="100"/>
              <w:left w:type="dxa" w:w="120"/>
              <w:bottom w:type="dxa" w:w="100"/>
              <w:right w:type="dxa" w:w="120"/>
            </w:tcMar>
          </w:tcPr>
          <w:p>
            <w:r>
              <w:rPr>
                <w:b w:val="false"/>
                <w:bCs w:val="false"/>
                <w:color w:val="222222"/>
                <w:sz w:val="20"/>
                <w:szCs w:val="20"/>
              </w:rPr>
              <w:t xml:space="preserve">Tier 1 — Strongest</w:t>
            </w:r>
          </w:p>
        </w:tc>
        <w:tc>
          <w:tcPr>
            <w:tcW w:type="dxa" w:w="6950"/>
            <w:tcMar>
              <w:top w:type="dxa" w:w="100"/>
              <w:left w:type="dxa" w:w="120"/>
              <w:bottom w:type="dxa" w:w="100"/>
              <w:right w:type="dxa" w:w="120"/>
            </w:tcMar>
          </w:tcPr>
          <w:p>
            <w:r>
              <w:rPr>
                <w:b w:val="false"/>
                <w:bCs w:val="false"/>
                <w:color w:val="222222"/>
                <w:sz w:val="20"/>
                <w:szCs w:val="20"/>
              </w:rPr>
              <w:t xml:space="preserve">Move Toward the Shark™ (a phrase that becomes a philosophy, extensible across many fears/subjects); Mike's Ocean Adventures™; Lessons from the Deep™; Ocean Adventures That Matter™; The Ocean Explorer Series™</w:t>
            </w:r>
          </w:p>
        </w:tc>
      </w:tr>
      <w:tr>
        <w:tc>
          <w:tcPr>
            <w:tcW w:type="dxa" w:w="2400"/>
            <w:tcMar>
              <w:top w:type="dxa" w:w="100"/>
              <w:left w:type="dxa" w:w="120"/>
              <w:bottom w:type="dxa" w:w="100"/>
              <w:right w:type="dxa" w:w="120"/>
            </w:tcMar>
          </w:tcPr>
          <w:p>
            <w:r>
              <w:rPr>
                <w:b w:val="false"/>
                <w:bCs w:val="false"/>
                <w:color w:val="222222"/>
                <w:sz w:val="20"/>
                <w:szCs w:val="20"/>
              </w:rPr>
              <w:t xml:space="preserve">Systems Thinking</w:t>
            </w:r>
          </w:p>
        </w:tc>
        <w:tc>
          <w:tcPr>
            <w:tcW w:type="dxa" w:w="6950"/>
            <w:tcMar>
              <w:top w:type="dxa" w:w="100"/>
              <w:left w:type="dxa" w:w="120"/>
              <w:bottom w:type="dxa" w:w="100"/>
              <w:right w:type="dxa" w:w="120"/>
            </w:tcMar>
          </w:tcPr>
          <w:p>
            <w:r>
              <w:rPr>
                <w:b w:val="false"/>
                <w:bCs w:val="false"/>
                <w:color w:val="222222"/>
                <w:sz w:val="20"/>
                <w:szCs w:val="20"/>
              </w:rPr>
              <w:t xml:space="preserve">Connected Ocean™; The Ocean Works Like This™; The Big Ocean Story™; Ocean Connections™</w:t>
            </w:r>
          </w:p>
        </w:tc>
      </w:tr>
      <w:tr>
        <w:tc>
          <w:tcPr>
            <w:tcW w:type="dxa" w:w="2400"/>
            <w:tcMar>
              <w:top w:type="dxa" w:w="100"/>
              <w:left w:type="dxa" w:w="120"/>
              <w:bottom w:type="dxa" w:w="100"/>
              <w:right w:type="dxa" w:w="120"/>
            </w:tcMar>
          </w:tcPr>
          <w:p>
            <w:r>
              <w:rPr>
                <w:b w:val="false"/>
                <w:bCs w:val="false"/>
                <w:color w:val="222222"/>
                <w:sz w:val="20"/>
                <w:szCs w:val="20"/>
              </w:rPr>
              <w:t xml:space="preserve">Adventure</w:t>
            </w:r>
          </w:p>
        </w:tc>
        <w:tc>
          <w:tcPr>
            <w:tcW w:type="dxa" w:w="6950"/>
            <w:tcMar>
              <w:top w:type="dxa" w:w="100"/>
              <w:left w:type="dxa" w:w="120"/>
              <w:bottom w:type="dxa" w:w="100"/>
              <w:right w:type="dxa" w:w="120"/>
            </w:tcMar>
          </w:tcPr>
          <w:p>
            <w:r>
              <w:rPr>
                <w:b w:val="false"/>
                <w:bCs w:val="false"/>
                <w:color w:val="222222"/>
                <w:sz w:val="20"/>
                <w:szCs w:val="20"/>
              </w:rPr>
              <w:t xml:space="preserve">True Ocean Adventures™; Into the Blue™; Beyond the Beach™; Beneath the Surface™</w:t>
            </w:r>
          </w:p>
        </w:tc>
      </w:tr>
      <w:tr>
        <w:tc>
          <w:tcPr>
            <w:tcW w:type="dxa" w:w="2400"/>
            <w:tcMar>
              <w:top w:type="dxa" w:w="100"/>
              <w:left w:type="dxa" w:w="120"/>
              <w:bottom w:type="dxa" w:w="100"/>
              <w:right w:type="dxa" w:w="120"/>
            </w:tcMar>
          </w:tcPr>
          <w:p>
            <w:r>
              <w:rPr>
                <w:b w:val="false"/>
                <w:bCs w:val="false"/>
                <w:color w:val="222222"/>
                <w:sz w:val="20"/>
                <w:szCs w:val="20"/>
              </w:rPr>
              <w:t xml:space="preserve">Courage &amp; Character</w:t>
            </w:r>
          </w:p>
        </w:tc>
        <w:tc>
          <w:tcPr>
            <w:tcW w:type="dxa" w:w="6950"/>
            <w:tcMar>
              <w:top w:type="dxa" w:w="100"/>
              <w:left w:type="dxa" w:w="120"/>
              <w:bottom w:type="dxa" w:w="100"/>
              <w:right w:type="dxa" w:w="120"/>
            </w:tcMar>
          </w:tcPr>
          <w:p>
            <w:r>
              <w:rPr>
                <w:b w:val="false"/>
                <w:bCs w:val="false"/>
                <w:color w:val="222222"/>
                <w:sz w:val="20"/>
                <w:szCs w:val="20"/>
              </w:rPr>
              <w:t xml:space="preserve">Brave in the Blue™; Courage Below the Surface™; Fear Into Wonder™</w:t>
            </w:r>
          </w:p>
        </w:tc>
      </w:tr>
      <w:tr>
        <w:tc>
          <w:tcPr>
            <w:tcW w:type="dxa" w:w="2400"/>
            <w:tcMar>
              <w:top w:type="dxa" w:w="100"/>
              <w:left w:type="dxa" w:w="120"/>
              <w:bottom w:type="dxa" w:w="100"/>
              <w:right w:type="dxa" w:w="120"/>
            </w:tcMar>
          </w:tcPr>
          <w:p>
            <w:r>
              <w:rPr>
                <w:b w:val="false"/>
                <w:bCs w:val="false"/>
                <w:color w:val="222222"/>
                <w:sz w:val="20"/>
                <w:szCs w:val="20"/>
              </w:rPr>
              <w:t xml:space="preserve">Educational</w:t>
            </w:r>
          </w:p>
        </w:tc>
        <w:tc>
          <w:tcPr>
            <w:tcW w:type="dxa" w:w="6950"/>
            <w:tcMar>
              <w:top w:type="dxa" w:w="100"/>
              <w:left w:type="dxa" w:w="120"/>
              <w:bottom w:type="dxa" w:w="100"/>
              <w:right w:type="dxa" w:w="120"/>
            </w:tcMar>
          </w:tcPr>
          <w:p>
            <w:r>
              <w:rPr>
                <w:b w:val="false"/>
                <w:bCs w:val="false"/>
                <w:color w:val="222222"/>
                <w:sz w:val="20"/>
                <w:szCs w:val="20"/>
              </w:rPr>
              <w:t xml:space="preserve">Ocean Literacy Adventures™; Discover the Ocean™; Ocean Detectives™</w:t>
            </w:r>
          </w:p>
        </w:tc>
      </w:tr>
    </w:tbl>
    <w:p>
      <w:pPr>
        <w:spacing w:before="200"/>
      </w:pPr>
    </w:p>
    <w:p>
      <w:pPr>
        <w:pStyle w:val="Heading2"/>
        <w:spacing w:after="150" w:before="300"/>
      </w:pPr>
      <w:r>
        <w:t xml:space="preserve">Recommended Series Architecture</w:t>
      </w:r>
    </w:p>
    <w:p>
      <w:pPr>
        <w:spacing w:after="160" w:line="276"/>
      </w:pPr>
      <w:r>
        <w:t xml:space="preserve">A layered structure: a single series brand sits above a set of individually and distinctly titled books. The series brand carries recognition and consistency; each title carries its own story and hook.</w:t>
      </w:r>
    </w:p>
    <w:p>
      <w:pPr>
        <w:pStyle w:val="ListParagraph"/>
        <w:numPr>
          <w:ilvl w:val="0"/>
          <w:numId w:val="1"/>
        </w:numPr>
        <w:spacing w:after="80"/>
      </w:pPr>
      <w:r>
        <w:t xml:space="preserve">Series brand: Ocean Adventures with Mike™</w:t>
      </w:r>
    </w:p>
    <w:p>
      <w:pPr>
        <w:pStyle w:val="ListParagraph"/>
        <w:numPr>
          <w:ilvl w:val="0"/>
          <w:numId w:val="1"/>
        </w:numPr>
        <w:spacing w:after="80"/>
      </w:pPr>
      <w:r>
        <w:t xml:space="preserve">Opening signature on every book: “This really happened.” — telling a child, immediately and without explanation, that they are entering something that actually occurred</w:t>
      </w:r>
    </w:p>
    <w:p>
      <w:pPr>
        <w:pStyle w:val="ListParagraph"/>
        <w:numPr>
          <w:ilvl w:val="0"/>
          <w:numId w:val="1"/>
        </w:numPr>
        <w:spacing w:after="80"/>
      </w:pPr>
      <w:r>
        <w:t xml:space="preserve">Closing rhythm on every book: “What did we learn about the ocean? What did we learn about ourselves?”</w:t>
      </w:r>
    </w:p>
    <w:p>
      <w:pPr>
        <w:pStyle w:val="ListParagraph"/>
        <w:numPr>
          <w:ilvl w:val="0"/>
          <w:numId w:val="1"/>
        </w:numPr>
        <w:spacing w:after="80"/>
      </w:pPr>
      <w:r>
        <w:t xml:space="preserve">Individual titles retain full creative freedom without being constrained by the series name</w:t>
      </w:r>
    </w:p>
    <w:p>
      <w:pPr>
        <w:pStyle w:val="ListParagraph"/>
        <w:numPr>
          <w:ilvl w:val="0"/>
          <w:numId w:val="1"/>
        </w:numPr>
        <w:spacing w:after="80"/>
      </w:pPr>
      <w:r>
        <w:t xml:space="preserve">The Institute remains the trusted institutional umbrella; the series brand is what children learn to recognize and ask for by name</w:t>
      </w:r>
    </w:p>
    <w:p>
      <w:pPr>
        <w:spacing w:after="160" w:line="276"/>
      </w:pPr>
      <w:r>
        <w:t xml:space="preserve">This structure preserves everything strongest across the concepts considered — the philosophy of Move Toward the Shark, the personal authenticity of Mike's Ocean Adventures, and the cross-age reach of Lessons from the Deep — without forcing a single name to carry all of it at once.</w:t>
      </w:r>
    </w:p>
    <w:p>
      <w:pPr>
        <w:pStyle w:val="Heading1"/>
        <w:spacing w:after="200" w:before="400"/>
      </w:pPr>
      <w:r>
        <w:t xml:space="preserve">7. The Book Universe: A Five-Year Publishing Roadmap</w:t>
      </w:r>
    </w:p>
    <w:p>
      <w:pPr>
        <w:spacing w:after="160" w:line="276"/>
      </w:pPr>
      <w:r>
        <w:t xml:space="preserve">We will build out a full library across four tiers, each reinforcing the same mission at a different reading level. Series One, Ocean Adventures, opens with our flagship title and expands across picture books, elementary readers, middle-school, and high-school nonfiction.</w:t>
      </w:r>
    </w:p>
    <w:p>
      <w:pPr>
        <w:pStyle w:val="Heading2"/>
        <w:spacing w:after="150" w:before="300"/>
      </w:pPr>
      <w:r>
        <w:t xml:space="preserve">Picture Books (Ages 3–5)</w:t>
      </w:r>
    </w:p>
    <w:p>
      <w:pPr>
        <w:pStyle w:val="ListParagraph"/>
        <w:numPr>
          <w:ilvl w:val="0"/>
          <w:numId w:val="1"/>
        </w:numPr>
        <w:spacing w:after="80"/>
      </w:pPr>
      <w:r>
        <w:t xml:space="preserve">Move Toward the Shark</w:t>
      </w:r>
    </w:p>
    <w:p>
      <w:pPr>
        <w:pStyle w:val="ListParagraph"/>
        <w:numPr>
          <w:ilvl w:val="0"/>
          <w:numId w:val="1"/>
        </w:numPr>
        <w:spacing w:after="80"/>
      </w:pPr>
      <w:r>
        <w:t xml:space="preserve">Why Coral Reefs Matter</w:t>
      </w:r>
    </w:p>
    <w:p>
      <w:pPr>
        <w:pStyle w:val="ListParagraph"/>
        <w:numPr>
          <w:ilvl w:val="0"/>
          <w:numId w:val="1"/>
        </w:numPr>
        <w:spacing w:after="80"/>
      </w:pPr>
      <w:r>
        <w:t xml:space="preserve">Meet the Manta Rays</w:t>
      </w:r>
    </w:p>
    <w:p>
      <w:pPr>
        <w:pStyle w:val="ListParagraph"/>
        <w:numPr>
          <w:ilvl w:val="0"/>
          <w:numId w:val="1"/>
        </w:numPr>
        <w:spacing w:after="80"/>
      </w:pPr>
      <w:r>
        <w:t xml:space="preserve">Sea Turtles Go Home</w:t>
      </w:r>
    </w:p>
    <w:p>
      <w:pPr>
        <w:pStyle w:val="ListParagraph"/>
        <w:numPr>
          <w:ilvl w:val="0"/>
          <w:numId w:val="1"/>
        </w:numPr>
        <w:spacing w:after="80"/>
      </w:pPr>
      <w:r>
        <w:t xml:space="preserve">The Ocean Is Alive</w:t>
      </w:r>
    </w:p>
    <w:p>
      <w:pPr>
        <w:pStyle w:val="Heading2"/>
        <w:spacing w:after="150" w:before="300"/>
      </w:pPr>
      <w:r>
        <w:t xml:space="preserve">Elementary (Ages 6–10)</w:t>
      </w:r>
    </w:p>
    <w:p>
      <w:pPr>
        <w:pStyle w:val="ListParagraph"/>
        <w:numPr>
          <w:ilvl w:val="0"/>
          <w:numId w:val="1"/>
        </w:numPr>
        <w:spacing w:after="80"/>
      </w:pPr>
      <w:r>
        <w:t xml:space="preserve">The Cave That Changed Me</w:t>
      </w:r>
    </w:p>
    <w:p>
      <w:pPr>
        <w:pStyle w:val="ListParagraph"/>
        <w:numPr>
          <w:ilvl w:val="0"/>
          <w:numId w:val="1"/>
        </w:numPr>
        <w:spacing w:after="80"/>
      </w:pPr>
      <w:r>
        <w:t xml:space="preserve">My First Shark Dive</w:t>
      </w:r>
    </w:p>
    <w:p>
      <w:pPr>
        <w:pStyle w:val="ListParagraph"/>
        <w:numPr>
          <w:ilvl w:val="0"/>
          <w:numId w:val="1"/>
        </w:numPr>
        <w:spacing w:after="80"/>
      </w:pPr>
      <w:r>
        <w:t xml:space="preserve">Rescue Diver</w:t>
      </w:r>
    </w:p>
    <w:p>
      <w:pPr>
        <w:pStyle w:val="ListParagraph"/>
        <w:numPr>
          <w:ilvl w:val="0"/>
          <w:numId w:val="1"/>
        </w:numPr>
        <w:spacing w:after="80"/>
      </w:pPr>
      <w:r>
        <w:t xml:space="preserve">The Ocean Doesn't Care</w:t>
      </w:r>
    </w:p>
    <w:p>
      <w:pPr>
        <w:pStyle w:val="ListParagraph"/>
        <w:numPr>
          <w:ilvl w:val="0"/>
          <w:numId w:val="1"/>
        </w:numPr>
        <w:spacing w:after="80"/>
      </w:pPr>
      <w:r>
        <w:t xml:space="preserve">Every Wave Tells a Story</w:t>
      </w:r>
    </w:p>
    <w:p>
      <w:pPr>
        <w:pStyle w:val="ListParagraph"/>
        <w:numPr>
          <w:ilvl w:val="0"/>
          <w:numId w:val="1"/>
        </w:numPr>
        <w:spacing w:after="80"/>
      </w:pPr>
      <w:r>
        <w:t xml:space="preserve">The Day I Learned to Breathe</w:t>
      </w:r>
    </w:p>
    <w:p>
      <w:pPr>
        <w:pStyle w:val="ListParagraph"/>
        <w:numPr>
          <w:ilvl w:val="0"/>
          <w:numId w:val="1"/>
        </w:numPr>
        <w:spacing w:after="80"/>
      </w:pPr>
      <w:r>
        <w:t xml:space="preserve">Storms, Waves and Wonder</w:t>
      </w:r>
    </w:p>
    <w:p>
      <w:pPr>
        <w:pStyle w:val="ListParagraph"/>
        <w:numPr>
          <w:ilvl w:val="0"/>
          <w:numId w:val="1"/>
        </w:numPr>
        <w:spacing w:after="80"/>
      </w:pPr>
      <w:r>
        <w:t xml:space="preserve">Ocean Heroes</w:t>
      </w:r>
    </w:p>
    <w:p>
      <w:pPr>
        <w:pStyle w:val="Heading2"/>
        <w:spacing w:after="150" w:before="300"/>
      </w:pPr>
      <w:r>
        <w:t xml:space="preserve">Middle School (Ages 11–14)</w:t>
      </w:r>
    </w:p>
    <w:p>
      <w:pPr>
        <w:pStyle w:val="ListParagraph"/>
        <w:numPr>
          <w:ilvl w:val="0"/>
          <w:numId w:val="1"/>
        </w:numPr>
        <w:spacing w:after="80"/>
      </w:pPr>
      <w:r>
        <w:t xml:space="preserve">Pressure Changes Everything</w:t>
      </w:r>
    </w:p>
    <w:p>
      <w:pPr>
        <w:pStyle w:val="ListParagraph"/>
        <w:numPr>
          <w:ilvl w:val="0"/>
          <w:numId w:val="1"/>
        </w:numPr>
        <w:spacing w:after="80"/>
      </w:pPr>
      <w:r>
        <w:t xml:space="preserve">Ocean Explorers</w:t>
      </w:r>
    </w:p>
    <w:p>
      <w:pPr>
        <w:pStyle w:val="ListParagraph"/>
        <w:numPr>
          <w:ilvl w:val="0"/>
          <w:numId w:val="1"/>
        </w:numPr>
        <w:spacing w:after="80"/>
      </w:pPr>
      <w:r>
        <w:t xml:space="preserve">The Ocean Is Critical Infrastructure</w:t>
      </w:r>
    </w:p>
    <w:p>
      <w:pPr>
        <w:pStyle w:val="ListParagraph"/>
        <w:numPr>
          <w:ilvl w:val="0"/>
          <w:numId w:val="1"/>
        </w:numPr>
        <w:spacing w:after="80"/>
      </w:pPr>
      <w:r>
        <w:t xml:space="preserve">Hidden World Beneath the Surface</w:t>
      </w:r>
    </w:p>
    <w:p>
      <w:pPr>
        <w:pStyle w:val="ListParagraph"/>
        <w:numPr>
          <w:ilvl w:val="0"/>
          <w:numId w:val="1"/>
        </w:numPr>
        <w:spacing w:after="80"/>
      </w:pPr>
      <w:r>
        <w:t xml:space="preserve">The Sargassum Story</w:t>
      </w:r>
    </w:p>
    <w:p>
      <w:pPr>
        <w:pStyle w:val="Heading2"/>
        <w:spacing w:after="150" w:before="300"/>
      </w:pPr>
      <w:r>
        <w:t xml:space="preserve">High School (Ages 15–18)</w:t>
      </w:r>
    </w:p>
    <w:p>
      <w:pPr>
        <w:pStyle w:val="ListParagraph"/>
        <w:numPr>
          <w:ilvl w:val="0"/>
          <w:numId w:val="1"/>
        </w:numPr>
        <w:spacing w:after="80"/>
      </w:pPr>
      <w:r>
        <w:t xml:space="preserve">Ocean Systems</w:t>
      </w:r>
    </w:p>
    <w:p>
      <w:pPr>
        <w:pStyle w:val="ListParagraph"/>
        <w:numPr>
          <w:ilvl w:val="0"/>
          <w:numId w:val="1"/>
        </w:numPr>
        <w:spacing w:after="80"/>
      </w:pPr>
      <w:r>
        <w:t xml:space="preserve">Ocean Risk Intelligence</w:t>
      </w:r>
    </w:p>
    <w:p>
      <w:pPr>
        <w:pStyle w:val="ListParagraph"/>
        <w:numPr>
          <w:ilvl w:val="0"/>
          <w:numId w:val="1"/>
        </w:numPr>
        <w:spacing w:after="80"/>
      </w:pPr>
      <w:r>
        <w:t xml:space="preserve">Marine Technology</w:t>
      </w:r>
    </w:p>
    <w:p>
      <w:pPr>
        <w:pStyle w:val="ListParagraph"/>
        <w:numPr>
          <w:ilvl w:val="0"/>
          <w:numId w:val="1"/>
        </w:numPr>
        <w:spacing w:after="80"/>
      </w:pPr>
      <w:r>
        <w:t xml:space="preserve">Leadership Under Pressure</w:t>
      </w:r>
    </w:p>
    <w:p>
      <w:pPr>
        <w:pStyle w:val="ListParagraph"/>
        <w:numPr>
          <w:ilvl w:val="0"/>
          <w:numId w:val="1"/>
        </w:numPr>
        <w:spacing w:after="80"/>
      </w:pPr>
      <w:r>
        <w:t xml:space="preserve">Careers Beneath the Surface</w:t>
      </w:r>
    </w:p>
    <w:p>
      <w:pPr>
        <w:pStyle w:val="Heading2"/>
        <w:spacing w:after="150" w:before="300"/>
      </w:pPr>
      <w:r>
        <w:t xml:space="preserve">Flagship Title: Move Toward the Shark</w:t>
      </w:r>
    </w:p>
    <w:p>
      <w:pPr>
        <w:spacing w:after="160" w:line="276"/>
      </w:pPr>
      <w:r>
        <w:t xml:space="preserve">Our flagship title carries the series' central metaphor: fear shrinks when understanding grows. It opens the series, establishes the framework in practice, and serves as the pilot for every companion resource we build. Its chapter arc is designed as the template every future title will follow:</w:t>
      </w:r>
    </w:p>
    <w:p>
      <w:pPr>
        <w:pStyle w:val="ListParagraph"/>
        <w:numPr>
          <w:ilvl w:val="0"/>
          <w:numId w:val="1"/>
        </w:numPr>
        <w:spacing w:after="80"/>
      </w:pPr>
      <w:r>
        <w:t xml:space="preserve">Introduction — everyone is afraid of something</w:t>
      </w:r>
    </w:p>
    <w:p>
      <w:pPr>
        <w:pStyle w:val="ListParagraph"/>
        <w:numPr>
          <w:ilvl w:val="0"/>
          <w:numId w:val="1"/>
        </w:numPr>
        <w:spacing w:after="80"/>
      </w:pPr>
      <w:r>
        <w:t xml:space="preserve">Meet Mike — who we are, and why the ocean matters to us</w:t>
      </w:r>
    </w:p>
    <w:p>
      <w:pPr>
        <w:pStyle w:val="ListParagraph"/>
        <w:numPr>
          <w:ilvl w:val="0"/>
          <w:numId w:val="1"/>
        </w:numPr>
        <w:spacing w:after="80"/>
      </w:pPr>
      <w:r>
        <w:t xml:space="preserve">The First Shark — the real experience at the center of the book</w:t>
      </w:r>
    </w:p>
    <w:p>
      <w:pPr>
        <w:pStyle w:val="ListParagraph"/>
        <w:numPr>
          <w:ilvl w:val="0"/>
          <w:numId w:val="1"/>
        </w:numPr>
        <w:spacing w:after="80"/>
      </w:pPr>
      <w:r>
        <w:t xml:space="preserve">What Sharks Really Do — facts, species, behavior, food chain</w:t>
      </w:r>
    </w:p>
    <w:p>
      <w:pPr>
        <w:pStyle w:val="ListParagraph"/>
        <w:numPr>
          <w:ilvl w:val="0"/>
          <w:numId w:val="1"/>
        </w:numPr>
        <w:spacing w:after="80"/>
      </w:pPr>
      <w:r>
        <w:t xml:space="preserve">Why Sharks Matter — healthy reefs, healthy fish, healthy oceans</w:t>
      </w:r>
    </w:p>
    <w:p>
      <w:pPr>
        <w:pStyle w:val="ListParagraph"/>
        <w:numPr>
          <w:ilvl w:val="0"/>
          <w:numId w:val="1"/>
        </w:numPr>
        <w:spacing w:after="80"/>
      </w:pPr>
      <w:r>
        <w:t xml:space="preserve">Fear vs. Facts — common myths against scientific truth</w:t>
      </w:r>
    </w:p>
    <w:p>
      <w:pPr>
        <w:pStyle w:val="ListParagraph"/>
        <w:numPr>
          <w:ilvl w:val="0"/>
          <w:numId w:val="1"/>
        </w:numPr>
        <w:spacing w:after="80"/>
      </w:pPr>
      <w:r>
        <w:t xml:space="preserve">What Courage Really Means — understanding in place of panic</w:t>
      </w:r>
    </w:p>
    <w:p>
      <w:pPr>
        <w:pStyle w:val="ListParagraph"/>
        <w:numPr>
          <w:ilvl w:val="0"/>
          <w:numId w:val="1"/>
        </w:numPr>
        <w:spacing w:after="80"/>
      </w:pPr>
      <w:r>
        <w:t xml:space="preserve">How You Can Help Sharks — simple, concrete actions</w:t>
      </w:r>
    </w:p>
    <w:p>
      <w:pPr>
        <w:pStyle w:val="ListParagraph"/>
        <w:numPr>
          <w:ilvl w:val="0"/>
          <w:numId w:val="1"/>
        </w:numPr>
        <w:spacing w:after="80"/>
      </w:pPr>
      <w:r>
        <w:t xml:space="preserve">Ocean Career Spotlight — marine biologist, research diver, veterinarian, ocean engineer</w:t>
      </w:r>
    </w:p>
    <w:p>
      <w:pPr>
        <w:pStyle w:val="ListParagraph"/>
        <w:numPr>
          <w:ilvl w:val="0"/>
          <w:numId w:val="1"/>
        </w:numPr>
        <w:spacing w:after="80"/>
      </w:pPr>
      <w:r>
        <w:t xml:space="preserve">Activity Section — games, drawing, questions, science</w:t>
      </w:r>
    </w:p>
    <w:p>
      <w:pPr>
        <w:pStyle w:val="ListParagraph"/>
        <w:numPr>
          <w:ilvl w:val="0"/>
          <w:numId w:val="1"/>
        </w:numPr>
        <w:spacing w:after="80"/>
      </w:pPr>
      <w:r>
        <w:t xml:space="preserve">The Shark Challenge — one simple action to close the book</w:t>
      </w:r>
    </w:p>
    <w:p>
      <w:pPr>
        <w:spacing w:after="160" w:line="276"/>
      </w:pPr>
      <w:r>
        <w:t xml:space="preserve">Sample opening line, used across the series: “This really happened. The water was crystal clear. I took a deep breath and slipped beneath the surface. Somewhere below me was a shark...”</w:t>
      </w:r>
    </w:p>
    <w:p>
      <w:pPr>
        <w:pStyle w:val="Heading1"/>
        <w:spacing w:after="200" w:before="400"/>
      </w:pPr>
      <w:r>
        <w:t xml:space="preserve">8. Companion Resources &amp; Digital Ecosystem</w:t>
      </w:r>
    </w:p>
    <w:p>
      <w:pPr>
        <w:spacing w:after="160" w:line="276"/>
      </w:pPr>
      <w:r>
        <w:t xml:space="preserve">A book alone reaches a reader. A book with companion resources reaches a classroom, a family, and a curriculum. Every title ships with a full resource set: a teacher guide, student workbook, and parent guide; science activities, vocabulary lists, and STEM exercises; lesson plans and classroom discussion prompts; and an ocean journal with reading comprehension questions.</w:t>
      </w:r>
    </w:p>
    <w:p>
      <w:pPr>
        <w:spacing w:after="160" w:line="276"/>
      </w:pPr>
      <w:r>
        <w:t xml:space="preserve">Each book also carries a QR code linking to a three-to-five-minute companion video — behind-the-scenes footage from the real expedition, animal animations, and an interactive quiz — all hosted on a dedicated website built for students, teachers, and parents.</w:t>
      </w:r>
    </w:p>
    <w:p>
      <w:pPr>
        <w:pStyle w:val="Heading1"/>
        <w:spacing w:after="200" w:before="400"/>
      </w:pPr>
      <w:r>
        <w:t xml:space="preserve">9. Career Exploration</w:t>
      </w:r>
    </w:p>
    <w:p>
      <w:pPr>
        <w:spacing w:after="160" w:line="276"/>
      </w:pPr>
      <w:r>
        <w:t xml:space="preserve">One of the series' unique contributions is treating the ocean not just as something to protect, but as a place to build a career. Every title spotlights a different profession, so students finish each book understanding not just why the ocean matters, but how they could spend a working life helping to protect and understand it:</w:t>
      </w:r>
    </w:p>
    <w:p>
      <w:pPr>
        <w:pStyle w:val="ListParagraph"/>
        <w:numPr>
          <w:ilvl w:val="0"/>
          <w:numId w:val="1"/>
        </w:numPr>
        <w:spacing w:after="80"/>
      </w:pPr>
      <w:r>
        <w:t xml:space="preserve">Marine biologist, marine veterinarian, marine archaeologist</w:t>
      </w:r>
    </w:p>
    <w:p>
      <w:pPr>
        <w:pStyle w:val="ListParagraph"/>
        <w:numPr>
          <w:ilvl w:val="0"/>
          <w:numId w:val="1"/>
        </w:numPr>
        <w:spacing w:after="80"/>
      </w:pPr>
      <w:r>
        <w:t xml:space="preserve">Rescue diver, Coast Guard officer, underwater robotics technician</w:t>
      </w:r>
    </w:p>
    <w:p>
      <w:pPr>
        <w:pStyle w:val="ListParagraph"/>
        <w:numPr>
          <w:ilvl w:val="0"/>
          <w:numId w:val="1"/>
        </w:numPr>
        <w:spacing w:after="80"/>
      </w:pPr>
      <w:r>
        <w:t xml:space="preserve">Ocean engineer, oceanographer, fisheries scientist</w:t>
      </w:r>
    </w:p>
    <w:p>
      <w:pPr>
        <w:pStyle w:val="ListParagraph"/>
        <w:numPr>
          <w:ilvl w:val="0"/>
          <w:numId w:val="1"/>
        </w:numPr>
        <w:spacing w:after="80"/>
      </w:pPr>
      <w:r>
        <w:t xml:space="preserve">Environmental lawyer, data scientist, conservation photographer</w:t>
      </w:r>
    </w:p>
    <w:p>
      <w:pPr>
        <w:pStyle w:val="ListParagraph"/>
        <w:numPr>
          <w:ilvl w:val="0"/>
          <w:numId w:val="1"/>
        </w:numPr>
        <w:spacing w:after="80"/>
      </w:pPr>
      <w:r>
        <w:t xml:space="preserve">Research diver, ocean risk analyst</w:t>
      </w:r>
    </w:p>
    <w:p>
      <w:pPr>
        <w:pStyle w:val="Heading1"/>
        <w:spacing w:after="200" w:before="400"/>
      </w:pPr>
      <w:r>
        <w:t xml:space="preserve">10. The Education Fellows Program</w:t>
      </w:r>
    </w:p>
    <w:p>
      <w:pPr>
        <w:spacing w:after="160" w:line="276"/>
      </w:pPr>
      <w:r>
        <w:t xml:space="preserve">The ocean shapes climate, weather, food systems, and economies on every continent, yet most students move through K-12 education with only a fragmentary understanding of how it works or why it matters. The Ocean Literacy Education Fellows Program is our answer to that gap: a mission-driven professional community that pairs authentic, first-person ocean experience with the classroom expertise of career educators to build a new generation of ocean-literacy resources for students ages 3–18.</w:t>
      </w:r>
    </w:p>
    <w:p>
      <w:pPr>
        <w:spacing w:after="160" w:line="276"/>
      </w:pPr>
      <w:r>
        <w:t xml:space="preserve">Rather than treating educator involvement as an informal favor or a one-off review, we are structuring it as a Fellowship — a recognized, purpose-built role with real ownership over the content students will use for years to come.</w:t>
      </w:r>
    </w:p>
    <w:p>
      <w:pPr>
        <w:spacing w:after="200" w:before="100"/>
        <w:jc w:val="center"/>
      </w:pPr>
      <w:r>
        <w:rPr>
          <w:i/>
          <w:iCs/>
          <w:color w:val="0F6E7A"/>
        </w:rPr>
        <w:t xml:space="preserve">Equip young people with the knowledge, inspiration, and confidence to understand, appreciate, and protect the ocean — the planet's largest life-support system.</w:t>
      </w:r>
    </w:p>
    <w:p>
      <w:pPr>
        <w:pStyle w:val="Heading2"/>
        <w:spacing w:after="150" w:before="300"/>
      </w:pPr>
      <w:r>
        <w:t xml:space="preserve">Why an Education Fellows Program?</w:t>
      </w:r>
    </w:p>
    <w:p>
      <w:pPr>
        <w:spacing w:after="160" w:line="276"/>
      </w:pPr>
      <w:r>
        <w:t xml:space="preserve">The most meaningful educational innovations happen when diverse expertise comes together. Mike Hawkins brings more than four decades of experience as a rescue diver, adventure athlete, author, speaker, and ocean systems advocate — firsthand material that most ocean-education content never touches. Education Fellows bring decades of experience helping students learn, ask questions, solve problems, and discover their potential. Neither strength substitutes for the other; the program exists because both are necessary.</w:t>
      </w:r>
    </w:p>
    <w:p>
      <w:pPr>
        <w:pStyle w:val="Heading2"/>
        <w:spacing w:after="150" w:before="300"/>
      </w:pPr>
      <w:r>
        <w:t xml:space="preserve">Who Can Become a Fellow?</w:t>
      </w:r>
    </w:p>
    <w:p>
      <w:pPr>
        <w:spacing w:after="160" w:line="276"/>
      </w:pPr>
      <w:r>
        <w:t xml:space="preserve">We welcome individuals with experience in education and youth development, including classroom teachers, retired educators, school administrators, librarians, curriculum specialists, STEM and marine science educators, museum and aquarium educators, outdoor and environmental educators, homeschool leaders, literacy specialists, university faculty, and youth program leaders.</w:t>
      </w:r>
    </w:p>
    <w:p>
      <w:pPr>
        <w:spacing w:after="160" w:line="276"/>
      </w:pPr>
      <w:r>
        <w:t xml:space="preserve">Retired educators are especially encouraged to participate. The Fellows Program offers a meaningful “second chapter” opportunity: a way to continue making an impact by helping shape resources that may influence students for decades, without the demands of a full-time classroom.</w:t>
      </w:r>
    </w:p>
    <w:p>
      <w:pPr>
        <w:pStyle w:val="Heading2"/>
        <w:spacing w:after="150" w:before="300"/>
      </w:pPr>
      <w:r>
        <w:t xml:space="preserve">What Fellows Help Create</w:t>
      </w:r>
    </w:p>
    <w:p>
      <w:pPr>
        <w:pStyle w:val="ListParagraph"/>
        <w:numPr>
          <w:ilvl w:val="0"/>
          <w:numId w:val="1"/>
        </w:numPr>
        <w:spacing w:after="80"/>
      </w:pPr>
      <w:r>
        <w:t xml:space="preserve">Children's, middle-grade, and young adult books</w:t>
      </w:r>
    </w:p>
    <w:p>
      <w:pPr>
        <w:pStyle w:val="ListParagraph"/>
        <w:numPr>
          <w:ilvl w:val="0"/>
          <w:numId w:val="1"/>
        </w:numPr>
        <w:spacing w:after="80"/>
      </w:pPr>
      <w:r>
        <w:t xml:space="preserve">Teacher guides, classroom lesson plans, and student workbooks</w:t>
      </w:r>
    </w:p>
    <w:p>
      <w:pPr>
        <w:pStyle w:val="ListParagraph"/>
        <w:numPr>
          <w:ilvl w:val="0"/>
          <w:numId w:val="1"/>
        </w:numPr>
        <w:spacing w:after="80"/>
      </w:pPr>
      <w:r>
        <w:t xml:space="preserve">Family discussion guides and hands-on STEM activities</w:t>
      </w:r>
    </w:p>
    <w:p>
      <w:pPr>
        <w:pStyle w:val="ListParagraph"/>
        <w:numPr>
          <w:ilvl w:val="0"/>
          <w:numId w:val="1"/>
        </w:numPr>
        <w:spacing w:after="80"/>
      </w:pPr>
      <w:r>
        <w:t xml:space="preserve">Career exploration materials and school presentations</w:t>
      </w:r>
    </w:p>
    <w:p>
      <w:pPr>
        <w:pStyle w:val="ListParagraph"/>
        <w:numPr>
          <w:ilvl w:val="0"/>
          <w:numId w:val="1"/>
        </w:numPr>
        <w:spacing w:after="80"/>
      </w:pPr>
      <w:r>
        <w:t xml:space="preserve">Educational videos and community outreach programs</w:t>
      </w:r>
    </w:p>
    <w:p>
      <w:pPr>
        <w:pStyle w:val="Heading2"/>
        <w:spacing w:after="150" w:before="300"/>
      </w:pPr>
      <w:r>
        <w:t xml:space="preserve">Areas of Contribution</w:t>
      </w:r>
    </w:p>
    <w:p>
      <w:pPr>
        <w:spacing w:after="160" w:line="276"/>
      </w:pPr>
      <w:r>
        <w:t xml:space="preserve">Participation is flexible and matched to each Fellow's interests: some contribute a few hours a month, others take on leadership roles for specific projects. Fellows may review manuscripts, advise on age-appropriate content, align materials with educational standards, design classroom activities and discussion questions, pilot lessons and collect feedback, build relationships with schools and educational organizations, mentor future Fellows, and identify new opportunities for growth.</w:t>
      </w:r>
    </w:p>
    <w:p>
      <w:pPr>
        <w:pStyle w:val="Heading2"/>
        <w:spacing w:after="150" w:before="300"/>
      </w:pPr>
      <w:r>
        <w:t xml:space="preserve">Fellowship Principles</w:t>
      </w:r>
    </w:p>
    <w:p>
      <w:pPr>
        <w:spacing w:after="160" w:line="276"/>
      </w:pPr>
      <w:r>
        <w:t xml:space="preserve">Every Fellow shares a commitment to scientific integrity, educational excellence, curiosity-driven learning, respect for the ocean and its ecosystems, positive and solutions-focused conservation, critical thinking, collaboration, and lifelong learning.</w:t>
      </w:r>
    </w:p>
    <w:p>
      <w:pPr>
        <w:pStyle w:val="Heading2"/>
        <w:spacing w:after="150" w:before="300"/>
      </w:pPr>
      <w:r>
        <w:t xml:space="preserve">Program Structure: A Tiered Fellowship</w:t>
      </w:r>
    </w:p>
    <w:p>
      <w:pPr>
        <w:spacing w:after="160" w:line="276"/>
      </w:pPr>
      <w:r>
        <w:t xml:space="preserve">To create prestige around early leadership while giving the program a sustainable path for growth, the Fellows Program is organized into three tiers: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900"/>
        <w:gridCol w:w="5100"/>
        <w:gridCol w:w="2350"/>
      </w:tblGrid>
      <w:tr>
        <w:trPr>
          <w:tblHeader/>
        </w:trPr>
        <w:tc>
          <w:tcPr>
            <w:tcW w:type="dxa" w:w="1900"/>
            <w:shd w:fill="1B3A5C" w:color="auto" w:val="clear"/>
            <w:tcMar>
              <w:top w:type="dxa" w:w="100"/>
              <w:left w:type="dxa" w:w="120"/>
              <w:bottom w:type="dxa" w:w="100"/>
              <w:right w:type="dxa" w:w="120"/>
            </w:tcMar>
          </w:tcPr>
          <w:p>
            <w:r>
              <w:rPr>
                <w:b/>
                <w:bCs/>
                <w:color w:val="FFFFFF"/>
                <w:sz w:val="20"/>
                <w:szCs w:val="20"/>
              </w:rPr>
              <w:t xml:space="preserve">Tier</w:t>
            </w:r>
          </w:p>
        </w:tc>
        <w:tc>
          <w:tcPr>
            <w:tcW w:type="dxa" w:w="5100"/>
            <w:shd w:fill="1B3A5C" w:color="auto" w:val="clear"/>
            <w:tcMar>
              <w:top w:type="dxa" w:w="100"/>
              <w:left w:type="dxa" w:w="120"/>
              <w:bottom w:type="dxa" w:w="100"/>
              <w:right w:type="dxa" w:w="120"/>
            </w:tcMar>
          </w:tcPr>
          <w:p>
            <w:r>
              <w:rPr>
                <w:b/>
                <w:bCs/>
                <w:color w:val="FFFFFF"/>
                <w:sz w:val="20"/>
                <w:szCs w:val="20"/>
              </w:rPr>
              <w:t xml:space="preserve">Description</w:t>
            </w:r>
          </w:p>
        </w:tc>
        <w:tc>
          <w:tcPr>
            <w:tcW w:type="dxa" w:w="2350"/>
            <w:shd w:fill="1B3A5C" w:color="auto" w:val="clear"/>
            <w:tcMar>
              <w:top w:type="dxa" w:w="100"/>
              <w:left w:type="dxa" w:w="120"/>
              <w:bottom w:type="dxa" w:w="100"/>
              <w:right w:type="dxa" w:w="120"/>
            </w:tcMar>
          </w:tcPr>
          <w:p>
            <w:r>
              <w:rPr>
                <w:b/>
                <w:bCs/>
                <w:color w:val="FFFFFF"/>
                <w:sz w:val="20"/>
                <w:szCs w:val="20"/>
              </w:rPr>
              <w:t xml:space="preserve">Primary Role</w:t>
            </w:r>
          </w:p>
        </w:tc>
      </w:tr>
      <w:tr>
        <w:tc>
          <w:tcPr>
            <w:tcW w:type="dxa" w:w="1900"/>
            <w:tcMar>
              <w:top w:type="dxa" w:w="100"/>
              <w:left w:type="dxa" w:w="120"/>
              <w:bottom w:type="dxa" w:w="100"/>
              <w:right w:type="dxa" w:w="120"/>
            </w:tcMar>
          </w:tcPr>
          <w:p>
            <w:r>
              <w:rPr>
                <w:b w:val="false"/>
                <w:bCs w:val="false"/>
                <w:color w:val="222222"/>
                <w:sz w:val="20"/>
                <w:szCs w:val="20"/>
              </w:rPr>
              <w:t xml:space="preserve">Founding Fellows</w:t>
            </w:r>
          </w:p>
        </w:tc>
        <w:tc>
          <w:tcPr>
            <w:tcW w:type="dxa" w:w="5100"/>
            <w:tcMar>
              <w:top w:type="dxa" w:w="100"/>
              <w:left w:type="dxa" w:w="120"/>
              <w:bottom w:type="dxa" w:w="100"/>
              <w:right w:type="dxa" w:w="120"/>
            </w:tcMar>
          </w:tcPr>
          <w:p>
            <w:r>
              <w:rPr>
                <w:b w:val="false"/>
                <w:bCs w:val="false"/>
                <w:color w:val="222222"/>
                <w:sz w:val="20"/>
                <w:szCs w:val="20"/>
              </w:rPr>
              <w:t xml:space="preserve">An invitation-only cohort of 10–20 respected educators who establish the program's vision, review the first books, and serve as public ambassadors.</w:t>
            </w:r>
          </w:p>
        </w:tc>
        <w:tc>
          <w:tcPr>
            <w:tcW w:type="dxa" w:w="2350"/>
            <w:tcMar>
              <w:top w:type="dxa" w:w="100"/>
              <w:left w:type="dxa" w:w="120"/>
              <w:bottom w:type="dxa" w:w="100"/>
              <w:right w:type="dxa" w:w="120"/>
            </w:tcMar>
          </w:tcPr>
          <w:p>
            <w:r>
              <w:rPr>
                <w:b w:val="false"/>
                <w:bCs w:val="false"/>
                <w:color w:val="222222"/>
                <w:sz w:val="20"/>
                <w:szCs w:val="20"/>
              </w:rPr>
              <w:t xml:space="preserve">Vision-setting, first review, ambassadorship</w:t>
            </w:r>
          </w:p>
        </w:tc>
      </w:tr>
      <w:tr>
        <w:tc>
          <w:tcPr>
            <w:tcW w:type="dxa" w:w="1900"/>
            <w:tcMar>
              <w:top w:type="dxa" w:w="100"/>
              <w:left w:type="dxa" w:w="120"/>
              <w:bottom w:type="dxa" w:w="100"/>
              <w:right w:type="dxa" w:w="120"/>
            </w:tcMar>
          </w:tcPr>
          <w:p>
            <w:r>
              <w:rPr>
                <w:b w:val="false"/>
                <w:bCs w:val="false"/>
                <w:color w:val="222222"/>
                <w:sz w:val="20"/>
                <w:szCs w:val="20"/>
              </w:rPr>
              <w:t xml:space="preserve">Education Fellows</w:t>
            </w:r>
          </w:p>
        </w:tc>
        <w:tc>
          <w:tcPr>
            <w:tcW w:type="dxa" w:w="5100"/>
            <w:tcMar>
              <w:top w:type="dxa" w:w="100"/>
              <w:left w:type="dxa" w:w="120"/>
              <w:bottom w:type="dxa" w:w="100"/>
              <w:right w:type="dxa" w:w="120"/>
            </w:tcMar>
          </w:tcPr>
          <w:p>
            <w:r>
              <w:rPr>
                <w:b w:val="false"/>
                <w:bCs w:val="false"/>
                <w:color w:val="222222"/>
                <w:sz w:val="20"/>
                <w:szCs w:val="20"/>
              </w:rPr>
              <w:t xml:space="preserve">Ongoing contributors who review content, develop classroom activities, and pilot materials in schools and community programs.</w:t>
            </w:r>
          </w:p>
        </w:tc>
        <w:tc>
          <w:tcPr>
            <w:tcW w:type="dxa" w:w="2350"/>
            <w:tcMar>
              <w:top w:type="dxa" w:w="100"/>
              <w:left w:type="dxa" w:w="120"/>
              <w:bottom w:type="dxa" w:w="100"/>
              <w:right w:type="dxa" w:w="120"/>
            </w:tcMar>
          </w:tcPr>
          <w:p>
            <w:r>
              <w:rPr>
                <w:b w:val="false"/>
                <w:bCs w:val="false"/>
                <w:color w:val="222222"/>
                <w:sz w:val="20"/>
                <w:szCs w:val="20"/>
              </w:rPr>
              <w:t xml:space="preserve">Content review, activity design, piloting</w:t>
            </w:r>
          </w:p>
        </w:tc>
      </w:tr>
      <w:tr>
        <w:tc>
          <w:tcPr>
            <w:tcW w:type="dxa" w:w="1900"/>
            <w:tcMar>
              <w:top w:type="dxa" w:w="100"/>
              <w:left w:type="dxa" w:w="120"/>
              <w:bottom w:type="dxa" w:w="100"/>
              <w:right w:type="dxa" w:w="120"/>
            </w:tcMar>
          </w:tcPr>
          <w:p>
            <w:r>
              <w:rPr>
                <w:b w:val="false"/>
                <w:bCs w:val="false"/>
                <w:color w:val="222222"/>
                <w:sz w:val="20"/>
                <w:szCs w:val="20"/>
              </w:rPr>
              <w:t xml:space="preserve">Student Fellows</w:t>
            </w:r>
          </w:p>
        </w:tc>
        <w:tc>
          <w:tcPr>
            <w:tcW w:type="dxa" w:w="5100"/>
            <w:tcMar>
              <w:top w:type="dxa" w:w="100"/>
              <w:left w:type="dxa" w:w="120"/>
              <w:bottom w:type="dxa" w:w="100"/>
              <w:right w:type="dxa" w:w="120"/>
            </w:tcMar>
          </w:tcPr>
          <w:p>
            <w:r>
              <w:rPr>
                <w:b w:val="false"/>
                <w:bCs w:val="false"/>
                <w:color w:val="222222"/>
                <w:sz w:val="20"/>
                <w:szCs w:val="20"/>
              </w:rPr>
              <w:t xml:space="preserve">High school and college students interested in marine science, education, or conservation who help create youth-facing content and provide audience feedback.</w:t>
            </w:r>
          </w:p>
        </w:tc>
        <w:tc>
          <w:tcPr>
            <w:tcW w:type="dxa" w:w="2350"/>
            <w:tcMar>
              <w:top w:type="dxa" w:w="100"/>
              <w:left w:type="dxa" w:w="120"/>
              <w:bottom w:type="dxa" w:w="100"/>
              <w:right w:type="dxa" w:w="120"/>
            </w:tcMar>
          </w:tcPr>
          <w:p>
            <w:r>
              <w:rPr>
                <w:b w:val="false"/>
                <w:bCs w:val="false"/>
                <w:color w:val="222222"/>
                <w:sz w:val="20"/>
                <w:szCs w:val="20"/>
              </w:rPr>
              <w:t xml:space="preserve">Youth-facing content, peer feedback</w:t>
            </w:r>
          </w:p>
        </w:tc>
      </w:tr>
    </w:tbl>
    <w:p>
      <w:pPr>
        <w:spacing w:before="200"/>
      </w:pPr>
    </w:p>
    <w:p>
      <w:pPr>
        <w:spacing w:after="200" w:before="100"/>
        <w:jc w:val="center"/>
      </w:pPr>
      <w:r>
        <w:rPr>
          <w:i/>
          <w:iCs/>
          <w:color w:val="0F6E7A"/>
        </w:rPr>
        <w:t xml:space="preserve">Real adventures. Real science. Real learning. A lifetime of impact.</w:t>
      </w:r>
    </w:p>
    <w:p>
      <w:pPr>
        <w:pStyle w:val="Heading1"/>
        <w:spacing w:after="200" w:before="400"/>
      </w:pPr>
      <w:r>
        <w:t xml:space="preserve">11. School, Museum &amp; Institutional Programs</w:t>
      </w:r>
    </w:p>
    <w:p>
      <w:pPr>
        <w:spacing w:after="160" w:line="276"/>
      </w:pPr>
      <w:r>
        <w:t xml:space="preserve">Beyond the page, we will develop grade-specific live presentations, with hands-on activities wherever possible, for elementary, middle, and high schools; homeschool groups and libraries; museums and aquariums; and youth organizations. These programs create the natural bridge from the book series into our broader speaking and consulting work — each school visit is both an educational contribution and an introduction to our wider mission.</w:t>
      </w:r>
    </w:p>
    <w:p>
      <w:pPr>
        <w:pStyle w:val="Heading1"/>
        <w:spacing w:after="200" w:before="400"/>
      </w:pPr>
      <w:r>
        <w:t xml:space="preserve">12. Strategic Partnerships</w:t>
      </w:r>
    </w:p>
    <w:p>
      <w:pPr>
        <w:spacing w:after="160" w:line="276"/>
      </w:pPr>
      <w:r>
        <w:t xml:space="preserve">We will pursue relationships with organizations whose mission overlaps with ours, prioritizing partners who can amplify distribution and open the door to speaking and educational programs:</w:t>
      </w:r>
    </w:p>
    <w:p>
      <w:pPr>
        <w:pStyle w:val="ListParagraph"/>
        <w:numPr>
          <w:ilvl w:val="0"/>
          <w:numId w:val="1"/>
        </w:numPr>
        <w:spacing w:after="80"/>
      </w:pPr>
      <w:r>
        <w:t xml:space="preserve">Aquariums, science museums, and conservation nonprofits</w:t>
      </w:r>
    </w:p>
    <w:p>
      <w:pPr>
        <w:pStyle w:val="ListParagraph"/>
        <w:numPr>
          <w:ilvl w:val="0"/>
          <w:numId w:val="1"/>
        </w:numPr>
        <w:spacing w:after="80"/>
      </w:pPr>
      <w:r>
        <w:t xml:space="preserve">Universities, school districts, and homeschool associations</w:t>
      </w:r>
    </w:p>
    <w:p>
      <w:pPr>
        <w:pStyle w:val="ListParagraph"/>
        <w:numPr>
          <w:ilvl w:val="0"/>
          <w:numId w:val="1"/>
        </w:numPr>
        <w:spacing w:after="80"/>
      </w:pPr>
      <w:r>
        <w:t xml:space="preserve">Libraries, Scouting organizations, Boys &amp; Girls Clubs, and YMCA programs</w:t>
      </w:r>
    </w:p>
    <w:p>
      <w:pPr>
        <w:pStyle w:val="ListParagraph"/>
        <w:numPr>
          <w:ilvl w:val="0"/>
          <w:numId w:val="1"/>
        </w:numPr>
        <w:spacing w:after="80"/>
      </w:pPr>
      <w:r>
        <w:t xml:space="preserve">STEM education initiatives</w:t>
      </w:r>
    </w:p>
    <w:p>
      <w:pPr>
        <w:pStyle w:val="ListParagraph"/>
        <w:numPr>
          <w:ilvl w:val="0"/>
          <w:numId w:val="1"/>
        </w:numPr>
        <w:spacing w:after="80"/>
      </w:pPr>
      <w:r>
        <w:t xml:space="preserve">PBS and other public-media educational partnerships</w:t>
      </w:r>
    </w:p>
    <w:p>
      <w:pPr>
        <w:pStyle w:val="Heading1"/>
        <w:spacing w:after="200" w:before="400"/>
      </w:pPr>
      <w:r>
        <w:t xml:space="preserve">13. Where We Fit in a Larger Portfolio</w:t>
      </w:r>
    </w:p>
    <w:p>
      <w:pPr>
        <w:spacing w:after="160" w:line="276"/>
      </w:pPr>
      <w:r>
        <w:t xml:space="preserve">We see our work as one part of a complementary set of organizations, each serving a distinct audience with a distinct mission — together reinforcing one another without competing: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300"/>
        <w:gridCol w:w="1500"/>
        <w:gridCol w:w="3300"/>
        <w:gridCol w:w="2250"/>
      </w:tblGrid>
      <w:tr>
        <w:trPr>
          <w:tblHeader/>
        </w:trPr>
        <w:tc>
          <w:tcPr>
            <w:tcW w:type="dxa" w:w="2300"/>
            <w:shd w:fill="1B3A5C" w:color="auto" w:val="clear"/>
            <w:tcMar>
              <w:top w:type="dxa" w:w="100"/>
              <w:left w:type="dxa" w:w="120"/>
              <w:bottom w:type="dxa" w:w="100"/>
              <w:right w:type="dxa" w:w="120"/>
            </w:tcMar>
          </w:tcPr>
          <w:p>
            <w:r>
              <w:rPr>
                <w:b/>
                <w:bCs/>
                <w:color w:val="FFFFFF"/>
                <w:sz w:val="20"/>
                <w:szCs w:val="20"/>
              </w:rPr>
              <w:t xml:space="preserve">Organization</w:t>
            </w:r>
          </w:p>
        </w:tc>
        <w:tc>
          <w:tcPr>
            <w:tcW w:type="dxa" w:w="1500"/>
            <w:shd w:fill="1B3A5C" w:color="auto" w:val="clear"/>
            <w:tcMar>
              <w:top w:type="dxa" w:w="100"/>
              <w:left w:type="dxa" w:w="120"/>
              <w:bottom w:type="dxa" w:w="100"/>
              <w:right w:type="dxa" w:w="120"/>
            </w:tcMar>
          </w:tcPr>
          <w:p>
            <w:r>
              <w:rPr>
                <w:b/>
                <w:bCs/>
                <w:color w:val="FFFFFF"/>
                <w:sz w:val="20"/>
                <w:szCs w:val="20"/>
              </w:rPr>
              <w:t xml:space="preserve">Structure</w:t>
            </w:r>
          </w:p>
        </w:tc>
        <w:tc>
          <w:tcPr>
            <w:tcW w:type="dxa" w:w="3300"/>
            <w:shd w:fill="1B3A5C" w:color="auto" w:val="clear"/>
            <w:tcMar>
              <w:top w:type="dxa" w:w="100"/>
              <w:left w:type="dxa" w:w="120"/>
              <w:bottom w:type="dxa" w:w="100"/>
              <w:right w:type="dxa" w:w="120"/>
            </w:tcMar>
          </w:tcPr>
          <w:p>
            <w:r>
              <w:rPr>
                <w:b/>
                <w:bCs/>
                <w:color w:val="FFFFFF"/>
                <w:sz w:val="20"/>
                <w:szCs w:val="20"/>
              </w:rPr>
              <w:t xml:space="preserve">Mission</w:t>
            </w:r>
          </w:p>
        </w:tc>
        <w:tc>
          <w:tcPr>
            <w:tcW w:type="dxa" w:w="2250"/>
            <w:shd w:fill="1B3A5C" w:color="auto" w:val="clear"/>
            <w:tcMar>
              <w:top w:type="dxa" w:w="100"/>
              <w:left w:type="dxa" w:w="120"/>
              <w:bottom w:type="dxa" w:w="100"/>
              <w:right w:type="dxa" w:w="120"/>
            </w:tcMar>
          </w:tcPr>
          <w:p>
            <w:r>
              <w:rPr>
                <w:b/>
                <w:bCs/>
                <w:color w:val="FFFFFF"/>
                <w:sz w:val="20"/>
                <w:szCs w:val="20"/>
              </w:rPr>
              <w:t xml:space="preserve">Audience</w:t>
            </w:r>
          </w:p>
        </w:tc>
      </w:tr>
      <w:tr>
        <w:tc>
          <w:tcPr>
            <w:tcW w:type="dxa" w:w="2300"/>
            <w:tcMar>
              <w:top w:type="dxa" w:w="100"/>
              <w:left w:type="dxa" w:w="120"/>
              <w:bottom w:type="dxa" w:w="100"/>
              <w:right w:type="dxa" w:w="120"/>
            </w:tcMar>
          </w:tcPr>
          <w:p>
            <w:r>
              <w:rPr>
                <w:b w:val="false"/>
                <w:bCs w:val="false"/>
                <w:color w:val="222222"/>
                <w:sz w:val="20"/>
                <w:szCs w:val="20"/>
              </w:rPr>
              <w:t xml:space="preserve">Ocean Risk Intelligence</w:t>
            </w:r>
          </w:p>
        </w:tc>
        <w:tc>
          <w:tcPr>
            <w:tcW w:type="dxa" w:w="1500"/>
            <w:tcMar>
              <w:top w:type="dxa" w:w="100"/>
              <w:left w:type="dxa" w:w="120"/>
              <w:bottom w:type="dxa" w:w="100"/>
              <w:right w:type="dxa" w:w="120"/>
            </w:tcMar>
          </w:tcPr>
          <w:p>
            <w:r>
              <w:rPr>
                <w:b w:val="false"/>
                <w:bCs w:val="false"/>
                <w:color w:val="222222"/>
                <w:sz w:val="20"/>
                <w:szCs w:val="20"/>
              </w:rPr>
              <w:t xml:space="preserve">For-profit</w:t>
            </w:r>
          </w:p>
        </w:tc>
        <w:tc>
          <w:tcPr>
            <w:tcW w:type="dxa" w:w="3300"/>
            <w:tcMar>
              <w:top w:type="dxa" w:w="100"/>
              <w:left w:type="dxa" w:w="120"/>
              <w:bottom w:type="dxa" w:w="100"/>
              <w:right w:type="dxa" w:w="120"/>
            </w:tcMar>
          </w:tcPr>
          <w:p>
            <w:r>
              <w:rPr>
                <w:b w:val="false"/>
                <w:bCs w:val="false"/>
                <w:color w:val="222222"/>
                <w:sz w:val="20"/>
                <w:szCs w:val="20"/>
              </w:rPr>
              <w:t xml:space="preserve">Help governments and organizations manage ocean-related risk.</w:t>
            </w:r>
          </w:p>
        </w:tc>
        <w:tc>
          <w:tcPr>
            <w:tcW w:type="dxa" w:w="2250"/>
            <w:tcMar>
              <w:top w:type="dxa" w:w="100"/>
              <w:left w:type="dxa" w:w="120"/>
              <w:bottom w:type="dxa" w:w="100"/>
              <w:right w:type="dxa" w:w="120"/>
            </w:tcMar>
          </w:tcPr>
          <w:p>
            <w:r>
              <w:rPr>
                <w:b w:val="false"/>
                <w:bCs w:val="false"/>
                <w:color w:val="222222"/>
                <w:sz w:val="20"/>
                <w:szCs w:val="20"/>
              </w:rPr>
              <w:t xml:space="preserve">Governments, ports, coastal communities, industry, investors</w:t>
            </w:r>
          </w:p>
        </w:tc>
      </w:tr>
      <w:tr>
        <w:tc>
          <w:tcPr>
            <w:tcW w:type="dxa" w:w="2300"/>
            <w:tcMar>
              <w:top w:type="dxa" w:w="100"/>
              <w:left w:type="dxa" w:w="120"/>
              <w:bottom w:type="dxa" w:w="100"/>
              <w:right w:type="dxa" w:w="120"/>
            </w:tcMar>
          </w:tcPr>
          <w:p>
            <w:r>
              <w:rPr>
                <w:b w:val="false"/>
                <w:bCs w:val="false"/>
                <w:color w:val="222222"/>
                <w:sz w:val="20"/>
                <w:szCs w:val="20"/>
              </w:rPr>
              <w:t xml:space="preserve">Live CANA</w:t>
            </w:r>
          </w:p>
        </w:tc>
        <w:tc>
          <w:tcPr>
            <w:tcW w:type="dxa" w:w="1500"/>
            <w:tcMar>
              <w:top w:type="dxa" w:w="100"/>
              <w:left w:type="dxa" w:w="120"/>
              <w:bottom w:type="dxa" w:w="100"/>
              <w:right w:type="dxa" w:w="120"/>
            </w:tcMar>
          </w:tcPr>
          <w:p>
            <w:r>
              <w:rPr>
                <w:b w:val="false"/>
                <w:bCs w:val="false"/>
                <w:color w:val="222222"/>
                <w:sz w:val="20"/>
                <w:szCs w:val="20"/>
              </w:rPr>
              <w:t xml:space="preserve">For-profit</w:t>
            </w:r>
          </w:p>
        </w:tc>
        <w:tc>
          <w:tcPr>
            <w:tcW w:type="dxa" w:w="3300"/>
            <w:tcMar>
              <w:top w:type="dxa" w:w="100"/>
              <w:left w:type="dxa" w:w="120"/>
              <w:bottom w:type="dxa" w:w="100"/>
              <w:right w:type="dxa" w:w="120"/>
            </w:tcMar>
          </w:tcPr>
          <w:p>
            <w:r>
              <w:rPr>
                <w:b w:val="false"/>
                <w:bCs w:val="false"/>
                <w:color w:val="222222"/>
                <w:sz w:val="20"/>
                <w:szCs w:val="20"/>
              </w:rPr>
              <w:t xml:space="preserve">Help people develop courage, resilience, and purpose.</w:t>
            </w:r>
          </w:p>
        </w:tc>
        <w:tc>
          <w:tcPr>
            <w:tcW w:type="dxa" w:w="2250"/>
            <w:tcMar>
              <w:top w:type="dxa" w:w="100"/>
              <w:left w:type="dxa" w:w="120"/>
              <w:bottom w:type="dxa" w:w="100"/>
              <w:right w:type="dxa" w:w="120"/>
            </w:tcMar>
          </w:tcPr>
          <w:p>
            <w:r>
              <w:rPr>
                <w:b w:val="false"/>
                <w:bCs w:val="false"/>
                <w:color w:val="222222"/>
                <w:sz w:val="20"/>
                <w:szCs w:val="20"/>
              </w:rPr>
              <w:t xml:space="preserve">Executives, athletes, leadership audiences</w:t>
            </w:r>
          </w:p>
        </w:tc>
      </w:tr>
      <w:tr>
        <w:tc>
          <w:tcPr>
            <w:tcW w:type="dxa" w:w="2300"/>
            <w:tcMar>
              <w:top w:type="dxa" w:w="100"/>
              <w:left w:type="dxa" w:w="120"/>
              <w:bottom w:type="dxa" w:w="100"/>
              <w:right w:type="dxa" w:w="120"/>
            </w:tcMar>
          </w:tcPr>
          <w:p>
            <w:r>
              <w:rPr>
                <w:b w:val="false"/>
                <w:bCs w:val="false"/>
                <w:color w:val="222222"/>
                <w:sz w:val="20"/>
                <w:szCs w:val="20"/>
              </w:rPr>
              <w:t xml:space="preserve">Ocean Literacy Institute</w:t>
            </w:r>
          </w:p>
        </w:tc>
        <w:tc>
          <w:tcPr>
            <w:tcW w:type="dxa" w:w="1500"/>
            <w:tcMar>
              <w:top w:type="dxa" w:w="100"/>
              <w:left w:type="dxa" w:w="120"/>
              <w:bottom w:type="dxa" w:w="100"/>
              <w:right w:type="dxa" w:w="120"/>
            </w:tcMar>
          </w:tcPr>
          <w:p>
            <w:r>
              <w:rPr>
                <w:b w:val="false"/>
                <w:bCs w:val="false"/>
                <w:color w:val="222222"/>
                <w:sz w:val="20"/>
                <w:szCs w:val="20"/>
              </w:rPr>
              <w:t xml:space="preserve">Nonprofit</w:t>
            </w:r>
          </w:p>
        </w:tc>
        <w:tc>
          <w:tcPr>
            <w:tcW w:type="dxa" w:w="3300"/>
            <w:tcMar>
              <w:top w:type="dxa" w:w="100"/>
              <w:left w:type="dxa" w:w="120"/>
              <w:bottom w:type="dxa" w:w="100"/>
              <w:right w:type="dxa" w:w="120"/>
            </w:tcMar>
          </w:tcPr>
          <w:p>
            <w:r>
              <w:rPr>
                <w:b w:val="false"/>
                <w:bCs w:val="false"/>
                <w:color w:val="222222"/>
                <w:sz w:val="20"/>
                <w:szCs w:val="20"/>
              </w:rPr>
              <w:t xml:space="preserve">Inspire the next generation to understand and care for the ocean.</w:t>
            </w:r>
          </w:p>
        </w:tc>
        <w:tc>
          <w:tcPr>
            <w:tcW w:type="dxa" w:w="2250"/>
            <w:tcMar>
              <w:top w:type="dxa" w:w="100"/>
              <w:left w:type="dxa" w:w="120"/>
              <w:bottom w:type="dxa" w:w="100"/>
              <w:right w:type="dxa" w:w="120"/>
            </w:tcMar>
          </w:tcPr>
          <w:p>
            <w:r>
              <w:rPr>
                <w:b w:val="false"/>
                <w:bCs w:val="false"/>
                <w:color w:val="222222"/>
                <w:sz w:val="20"/>
                <w:szCs w:val="20"/>
              </w:rPr>
              <w:t xml:space="preserve">Students, teachers, families, schools, libraries, museums, aquariums</w:t>
            </w:r>
          </w:p>
        </w:tc>
      </w:tr>
    </w:tbl>
    <w:p>
      <w:pPr>
        <w:spacing w:before="200"/>
      </w:pPr>
    </w:p>
    <w:p>
      <w:pPr>
        <w:spacing w:after="160" w:line="276"/>
      </w:pPr>
      <w:r>
        <w:t xml:space="preserve">Together, these organizations reinforce one another while serving entirely different audiences — commercial risk intelligence for institutions today, and educational formation for the citizens, leaders, and stewards of tomorrow.</w:t>
      </w:r>
    </w:p>
    <w:p>
      <w:pPr>
        <w:pStyle w:val="Heading1"/>
        <w:spacing w:after="200" w:before="400"/>
      </w:pPr>
      <w:r>
        <w:t xml:space="preserve">14. Why a Nonprofit Structure</w:t>
      </w:r>
    </w:p>
    <w:p>
      <w:pPr>
        <w:spacing w:after="160" w:line="276"/>
      </w:pPr>
      <w:r>
        <w:t xml:space="preserve">We could operate this initiative under our existing commercial ventures for the first 6–12 months while we validate the model — writing the first books, recruiting Fellows, and piloting programs with minimal overhead. That path is fastest, least expensive, and keeps us in full control while we prove the concept.</w:t>
      </w:r>
    </w:p>
    <w:p>
      <w:pPr>
        <w:spacing w:after="160" w:line="276"/>
      </w:pPr>
      <w:r>
        <w:t xml:space="preserve">But we see that as a bridge, not a destination. Schools and foundations generally prefer partnering with educational nonprofits. Grants and charitable donations are largely unavailable to commercial publishing efforts, and educators are more likely to trust a mission-driven organization than what could otherwise look like a commercial book series. A nonprofit structure removes that friction and aligns our structure with our mission.</w:t>
      </w:r>
    </w:p>
    <w:p>
      <w:pPr>
        <w:spacing w:after="200" w:before="100"/>
        <w:jc w:val="center"/>
      </w:pPr>
      <w:r>
        <w:rPr>
          <w:i/>
          <w:iCs/>
          <w:color w:val="0F6E7A"/>
        </w:rPr>
        <w:t xml:space="preserve">“To inspire and educate the next generation to understand, appreciate, and protect the ocean through authentic stories, science, and educational experiences.”</w:t>
      </w:r>
    </w:p>
    <w:p>
      <w:pPr>
        <w:spacing w:after="160" w:line="276"/>
      </w:pPr>
      <w:r>
        <w:t xml:space="preserve">Under that mission, the nonprofit would oversee the Education Fellows Program, the children's book series, teacher resources, school programs, scholarships, a student ambassador program, community events, educational videos, partnerships with museums and aquariums, and ongoing research on ocean literacy itself. Our books can still generate royalties throughout, with some titles published through the nonprofit and others through our existing business depending on the goals of each title.</w:t>
      </w:r>
    </w:p>
    <w:p>
      <w:pPr>
        <w:pStyle w:val="Heading2"/>
        <w:spacing w:after="150" w:before="300"/>
      </w:pPr>
      <w:r>
        <w:t xml:space="preserve">Revenue &amp; Sustainability</w:t>
      </w:r>
    </w:p>
    <w:p>
      <w:pPr>
        <w:spacing w:after="160" w:line="276"/>
      </w:pPr>
      <w:r>
        <w:t xml:space="preserve">A nonprofit structure does not mean a single funding stream — it means diversifying revenue deliberately, which makes the mission more resilient than any single channel could. We anticipate multiple funding streams:</w:t>
      </w:r>
    </w:p>
    <w:p>
      <w:pPr>
        <w:pStyle w:val="ListParagraph"/>
        <w:numPr>
          <w:ilvl w:val="0"/>
          <w:numId w:val="1"/>
        </w:numPr>
        <w:spacing w:after="80"/>
      </w:pPr>
      <w:r>
        <w:t xml:space="preserve">Book sales and teacher guides</w:t>
      </w:r>
    </w:p>
    <w:p>
      <w:pPr>
        <w:pStyle w:val="ListParagraph"/>
        <w:numPr>
          <w:ilvl w:val="0"/>
          <w:numId w:val="1"/>
        </w:numPr>
        <w:spacing w:after="80"/>
      </w:pPr>
      <w:r>
        <w:t xml:space="preserve">Speaking engagements and corporate sponsorships</w:t>
      </w:r>
    </w:p>
    <w:p>
      <w:pPr>
        <w:pStyle w:val="ListParagraph"/>
        <w:numPr>
          <w:ilvl w:val="0"/>
          <w:numId w:val="1"/>
        </w:numPr>
        <w:spacing w:after="80"/>
      </w:pPr>
      <w:r>
        <w:t xml:space="preserve">Foundation grants and individual donations</w:t>
      </w:r>
    </w:p>
    <w:p>
      <w:pPr>
        <w:pStyle w:val="ListParagraph"/>
        <w:numPr>
          <w:ilvl w:val="0"/>
          <w:numId w:val="1"/>
        </w:numPr>
        <w:spacing w:after="80"/>
      </w:pPr>
      <w:r>
        <w:t xml:space="preserve">Memberships and educational licensing</w:t>
      </w:r>
    </w:p>
    <w:p>
      <w:pPr>
        <w:pStyle w:val="ListParagraph"/>
        <w:numPr>
          <w:ilvl w:val="0"/>
          <w:numId w:val="1"/>
        </w:numPr>
        <w:spacing w:after="80"/>
      </w:pPr>
      <w:r>
        <w:t xml:space="preserve">Summer camps and professional development workshops</w:t>
      </w:r>
    </w:p>
    <w:p>
      <w:pPr>
        <w:pStyle w:val="ListParagraph"/>
        <w:numPr>
          <w:ilvl w:val="0"/>
          <w:numId w:val="1"/>
        </w:numPr>
        <w:spacing w:after="80"/>
      </w:pPr>
      <w:r>
        <w:t xml:space="preserve">Events and conferences</w:t>
      </w:r>
    </w:p>
    <w:p>
      <w:pPr>
        <w:pStyle w:val="Heading1"/>
        <w:spacing w:after="200" w:before="400"/>
      </w:pPr>
      <w:r>
        <w:t xml:space="preserve">15. Building an Institution, Not a Book Series</w:t>
      </w:r>
    </w:p>
    <w:p>
      <w:pPr>
        <w:spacing w:after="160" w:line="276"/>
      </w:pPr>
      <w:r>
        <w:t xml:space="preserve">We are not building this around any one person. We are building something designed to thrive for decades, run by a board of educators, marine scientists, and business leaders, and sustained by a growing community of Fellows, teachers, and students.</w:t>
      </w:r>
    </w:p>
    <w:p>
      <w:pPr>
        <w:spacing w:after="160" w:line="276"/>
      </w:pPr>
      <w:r>
        <w:t xml:space="preserve">Twenty years from now, we envision:</w:t>
      </w:r>
    </w:p>
    <w:p>
      <w:pPr>
        <w:pStyle w:val="ListParagraph"/>
        <w:numPr>
          <w:ilvl w:val="0"/>
          <w:numId w:val="1"/>
        </w:numPr>
        <w:spacing w:after="80"/>
      </w:pPr>
      <w:r>
        <w:t xml:space="preserve">Hundreds of Education Fellows</w:t>
      </w:r>
    </w:p>
    <w:p>
      <w:pPr>
        <w:pStyle w:val="ListParagraph"/>
        <w:numPr>
          <w:ilvl w:val="0"/>
          <w:numId w:val="1"/>
        </w:numPr>
        <w:spacing w:after="80"/>
      </w:pPr>
      <w:r>
        <w:t xml:space="preserve">Hundreds of schools using our curriculum</w:t>
      </w:r>
    </w:p>
    <w:p>
      <w:pPr>
        <w:pStyle w:val="ListParagraph"/>
        <w:numPr>
          <w:ilvl w:val="0"/>
          <w:numId w:val="1"/>
        </w:numPr>
        <w:spacing w:after="80"/>
      </w:pPr>
      <w:r>
        <w:t xml:space="preserve">Thousands of teachers</w:t>
      </w:r>
    </w:p>
    <w:p>
      <w:pPr>
        <w:pStyle w:val="ListParagraph"/>
        <w:numPr>
          <w:ilvl w:val="0"/>
          <w:numId w:val="1"/>
        </w:numPr>
        <w:spacing w:after="80"/>
      </w:pPr>
      <w:r>
        <w:t xml:space="preserve">Millions of students reached</w:t>
      </w:r>
    </w:p>
    <w:p>
      <w:pPr>
        <w:pStyle w:val="ListParagraph"/>
        <w:numPr>
          <w:ilvl w:val="0"/>
          <w:numId w:val="1"/>
        </w:numPr>
        <w:spacing w:after="80"/>
      </w:pPr>
      <w:r>
        <w:t xml:space="preserve">An annual Ocean Literacy Summit</w:t>
      </w:r>
    </w:p>
    <w:p>
      <w:pPr>
        <w:pStyle w:val="ListParagraph"/>
        <w:numPr>
          <w:ilvl w:val="0"/>
          <w:numId w:val="1"/>
        </w:numPr>
        <w:spacing w:after="80"/>
      </w:pPr>
      <w:r>
        <w:t xml:space="preserve">Student innovation challenges</w:t>
      </w:r>
    </w:p>
    <w:p>
      <w:pPr>
        <w:pStyle w:val="ListParagraph"/>
        <w:numPr>
          <w:ilvl w:val="0"/>
          <w:numId w:val="1"/>
        </w:numPr>
        <w:spacing w:after="80"/>
      </w:pPr>
      <w:r>
        <w:t xml:space="preserve">Grants supporting classroom ocean projects</w:t>
      </w:r>
    </w:p>
    <w:p>
      <w:pPr>
        <w:pStyle w:val="ListParagraph"/>
        <w:numPr>
          <w:ilvl w:val="0"/>
          <w:numId w:val="1"/>
        </w:numPr>
        <w:spacing w:after="80"/>
      </w:pPr>
      <w:r>
        <w:t xml:space="preserve">Museum and aquarium partnerships</w:t>
      </w:r>
    </w:p>
    <w:p>
      <w:pPr>
        <w:pStyle w:val="ListParagraph"/>
        <w:numPr>
          <w:ilvl w:val="0"/>
          <w:numId w:val="1"/>
        </w:numPr>
        <w:spacing w:after="80"/>
      </w:pPr>
      <w:r>
        <w:t xml:space="preserve">Ocean Literacy Awards</w:t>
      </w:r>
    </w:p>
    <w:p>
      <w:pPr>
        <w:pStyle w:val="ListParagraph"/>
        <w:numPr>
          <w:ilvl w:val="0"/>
          <w:numId w:val="1"/>
        </w:numPr>
        <w:spacing w:after="80"/>
      </w:pPr>
      <w:r>
        <w:t xml:space="preserve">A youth advisory council</w:t>
      </w:r>
    </w:p>
    <w:p>
      <w:pPr>
        <w:pStyle w:val="ListParagraph"/>
        <w:numPr>
          <w:ilvl w:val="0"/>
          <w:numId w:val="1"/>
        </w:numPr>
        <w:spacing w:after="80"/>
      </w:pPr>
      <w:r>
        <w:t xml:space="preserve">Career mentorship programs connecting students to the ocean economy</w:t>
      </w:r>
    </w:p>
    <w:p>
      <w:pPr>
        <w:spacing w:after="160" w:line="276"/>
      </w:pPr>
      <w:r>
        <w:t xml:space="preserve">That is the difference between a book series and an institution — and it's the difference we intend to make.</w:t>
      </w:r>
    </w:p>
    <w:p>
      <w:pPr>
        <w:pStyle w:val="Heading1"/>
        <w:spacing w:after="200" w:before="400"/>
      </w:pPr>
      <w:r>
        <w:t xml:space="preserve">16. Naming &amp; Brand Architecture</w:t>
      </w:r>
    </w:p>
    <w:p>
      <w:pPr>
        <w:spacing w:after="160" w:line="276"/>
      </w:pPr>
      <w:r>
        <w:t xml:space="preserve">A nonprofit's name is its first and most durable asset. It is what appears on grant applications, IRS filings, school partnership agreements, museum signage, and press coverage for decades. Changing it later — once donors, schools, and government partners have built trust in it — is costly and disruptive. Because this organization's roadmap includes books, curriculum, an Education Fellows Program, original research, and public-awareness campaigns, the name has to hold all of that weight simultaneously.</w:t>
      </w:r>
    </w:p>
    <w:p>
      <w:pPr>
        <w:spacing w:after="160" w:line="276"/>
      </w:pPr>
      <w:r>
        <w:t xml:space="preserve">Two risks work against a weak choice: founder-bound names limit institutional credibility — a name tied too closely to a founder's personal brand becomes a ceiling and complicates succession. And program-bound names don't scale — a name tied to one program or one book series, however strong, will feel outgrown the moment the organization launches its second or third initiative. The strongest nonprofit names in this space describe the mission, not the messenger.</w:t>
      </w:r>
    </w:p>
    <w:p>
      <w:pPr>
        <w:pStyle w:val="Heading2"/>
        <w:spacing w:after="150" w:before="300"/>
      </w:pPr>
      <w:r>
        <w:t xml:space="preserve">Naming Strategy Principles</w:t>
      </w:r>
    </w:p>
    <w:p>
      <w:pPr>
        <w:pStyle w:val="ListParagraph"/>
        <w:numPr>
          <w:ilvl w:val="0"/>
          <w:numId w:val="1"/>
        </w:numPr>
        <w:spacing w:after="80"/>
      </w:pPr>
      <w:r>
        <w:t xml:space="preserve">Simple and memorable — easy to say out loud and easy to spell from memory</w:t>
      </w:r>
    </w:p>
    <w:p>
      <w:pPr>
        <w:pStyle w:val="ListParagraph"/>
        <w:numPr>
          <w:ilvl w:val="0"/>
          <w:numId w:val="1"/>
        </w:numPr>
        <w:spacing w:after="80"/>
      </w:pPr>
      <w:r>
        <w:t xml:space="preserve">Broad enough to scale — supports growth from a regional program into a national, and eventually international, institution</w:t>
      </w:r>
    </w:p>
    <w:p>
      <w:pPr>
        <w:pStyle w:val="ListParagraph"/>
        <w:numPr>
          <w:ilvl w:val="0"/>
          <w:numId w:val="1"/>
        </w:numPr>
        <w:spacing w:after="80"/>
      </w:pPr>
      <w:r>
        <w:t xml:space="preserve">Immediately communicates mission — a newcomer understands what the organization does within seconds</w:t>
      </w:r>
    </w:p>
    <w:p>
      <w:pPr>
        <w:pStyle w:val="ListParagraph"/>
        <w:numPr>
          <w:ilvl w:val="0"/>
          <w:numId w:val="1"/>
        </w:numPr>
        <w:spacing w:after="80"/>
      </w:pPr>
      <w:r>
        <w:t xml:space="preserve">Legal and public alignment — the legal entity name and the public-facing brand should match closely, avoiding a “doing business as” identity that differs from the incorporated name</w:t>
      </w:r>
    </w:p>
    <w:p>
      <w:pPr>
        <w:pStyle w:val="Heading2"/>
        <w:spacing w:after="150" w:before="300"/>
      </w:pPr>
      <w:r>
        <w:t xml:space="preserve">Evaluating the Candidates</w:t>
      </w:r>
    </w:p>
    <w:p>
      <w:pPr>
        <w:spacing w:after="160" w:line="276"/>
      </w:pPr>
      <w:r>
        <w:t xml:space="preserve">Names were evaluated against three criteria: immediate clarity of mission, credibility with institutional partners (schools, foundations, museums, agencies), and headroom to grow into research, fellowships, and curriculum without a rebrand.</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1200"/>
        <w:gridCol w:w="5550"/>
      </w:tblGrid>
      <w:tr>
        <w:trPr>
          <w:tblHeader/>
        </w:trPr>
        <w:tc>
          <w:tcPr>
            <w:tcW w:type="dxa" w:w="2600"/>
            <w:shd w:fill="1B3A5C" w:color="auto" w:val="clear"/>
            <w:tcMar>
              <w:top w:type="dxa" w:w="100"/>
              <w:left w:type="dxa" w:w="120"/>
              <w:bottom w:type="dxa" w:w="100"/>
              <w:right w:type="dxa" w:w="120"/>
            </w:tcMar>
          </w:tcPr>
          <w:p>
            <w:r>
              <w:rPr>
                <w:b/>
                <w:bCs/>
                <w:color w:val="FFFFFF"/>
                <w:sz w:val="20"/>
                <w:szCs w:val="20"/>
              </w:rPr>
              <w:t xml:space="preserve">Name</w:t>
            </w:r>
          </w:p>
        </w:tc>
        <w:tc>
          <w:tcPr>
            <w:tcW w:type="dxa" w:w="1200"/>
            <w:shd w:fill="1B3A5C" w:color="auto" w:val="clear"/>
            <w:tcMar>
              <w:top w:type="dxa" w:w="100"/>
              <w:left w:type="dxa" w:w="120"/>
              <w:bottom w:type="dxa" w:w="100"/>
              <w:right w:type="dxa" w:w="120"/>
            </w:tcMar>
          </w:tcPr>
          <w:p>
            <w:r>
              <w:rPr>
                <w:b/>
                <w:bCs/>
                <w:color w:val="FFFFFF"/>
                <w:sz w:val="20"/>
                <w:szCs w:val="20"/>
              </w:rPr>
              <w:t xml:space="preserve">Rating</w:t>
            </w:r>
          </w:p>
        </w:tc>
        <w:tc>
          <w:tcPr>
            <w:tcW w:type="dxa" w:w="5550"/>
            <w:shd w:fill="1B3A5C" w:color="auto" w:val="clear"/>
            <w:tcMar>
              <w:top w:type="dxa" w:w="100"/>
              <w:left w:type="dxa" w:w="120"/>
              <w:bottom w:type="dxa" w:w="100"/>
              <w:right w:type="dxa" w:w="120"/>
            </w:tcMar>
          </w:tcPr>
          <w:p>
            <w:r>
              <w:rPr>
                <w:b/>
                <w:bCs/>
                <w:color w:val="FFFFFF"/>
                <w:sz w:val="20"/>
                <w:szCs w:val="20"/>
              </w:rPr>
              <w:t xml:space="preserve">Rationale</w:t>
            </w:r>
          </w:p>
        </w:tc>
      </w:tr>
      <w:tr>
        <w:tc>
          <w:tcPr>
            <w:tcW w:type="dxa" w:w="2600"/>
            <w:tcMar>
              <w:top w:type="dxa" w:w="100"/>
              <w:left w:type="dxa" w:w="120"/>
              <w:bottom w:type="dxa" w:w="100"/>
              <w:right w:type="dxa" w:w="120"/>
            </w:tcMar>
          </w:tcPr>
          <w:p>
            <w:r>
              <w:rPr>
                <w:b w:val="false"/>
                <w:bCs w:val="false"/>
                <w:color w:val="222222"/>
                <w:sz w:val="20"/>
                <w:szCs w:val="20"/>
              </w:rPr>
              <w:t xml:space="preserve">Ocean Literacy Institute</w:t>
            </w:r>
          </w:p>
        </w:tc>
        <w:tc>
          <w:tcPr>
            <w:tcW w:type="dxa" w:w="1200"/>
            <w:tcMar>
              <w:top w:type="dxa" w:w="100"/>
              <w:left w:type="dxa" w:w="120"/>
              <w:bottom w:type="dxa" w:w="100"/>
              <w:right w:type="dxa" w:w="120"/>
            </w:tcMar>
          </w:tcPr>
          <w:p>
            <w:r>
              <w:rPr>
                <w:b w:val="false"/>
                <w:bCs w:val="false"/>
                <w:color w:val="222222"/>
                <w:sz w:val="20"/>
                <w:szCs w:val="20"/>
              </w:rPr>
              <w:t xml:space="preserve">★★★★★</w:t>
            </w:r>
          </w:p>
        </w:tc>
        <w:tc>
          <w:tcPr>
            <w:tcW w:type="dxa" w:w="5550"/>
            <w:tcMar>
              <w:top w:type="dxa" w:w="100"/>
              <w:left w:type="dxa" w:w="120"/>
              <w:bottom w:type="dxa" w:w="100"/>
              <w:right w:type="dxa" w:w="120"/>
            </w:tcMar>
          </w:tcPr>
          <w:p>
            <w:r>
              <w:rPr>
                <w:b w:val="false"/>
                <w:bCs w:val="false"/>
                <w:color w:val="222222"/>
                <w:sz w:val="20"/>
                <w:szCs w:val="20"/>
              </w:rPr>
              <w:t xml:space="preserve">Top recommendation. Immediately communicates purpose; credible with schools, foundations, museums, and government; broad enough for books, research, fellowships, and curriculum; timeless and professional.</w:t>
            </w:r>
          </w:p>
        </w:tc>
      </w:tr>
      <w:tr>
        <w:tc>
          <w:tcPr>
            <w:tcW w:type="dxa" w:w="2600"/>
            <w:tcMar>
              <w:top w:type="dxa" w:w="100"/>
              <w:left w:type="dxa" w:w="120"/>
              <w:bottom w:type="dxa" w:w="100"/>
              <w:right w:type="dxa" w:w="120"/>
            </w:tcMar>
          </w:tcPr>
          <w:p>
            <w:r>
              <w:rPr>
                <w:b w:val="false"/>
                <w:bCs w:val="false"/>
                <w:color w:val="222222"/>
                <w:sz w:val="20"/>
                <w:szCs w:val="20"/>
              </w:rPr>
              <w:t xml:space="preserve">Ocean Systems Institute</w:t>
            </w:r>
          </w:p>
        </w:tc>
        <w:tc>
          <w:tcPr>
            <w:tcW w:type="dxa" w:w="1200"/>
            <w:tcMar>
              <w:top w:type="dxa" w:w="100"/>
              <w:left w:type="dxa" w:w="120"/>
              <w:bottom w:type="dxa" w:w="100"/>
              <w:right w:type="dxa" w:w="120"/>
            </w:tcMar>
          </w:tcPr>
          <w:p>
            <w:r>
              <w:rPr>
                <w:b w:val="false"/>
                <w:bCs w:val="false"/>
                <w:color w:val="222222"/>
                <w:sz w:val="20"/>
                <w:szCs w:val="20"/>
              </w:rPr>
              <w:t xml:space="preserve">★★★★★</w:t>
            </w:r>
          </w:p>
        </w:tc>
        <w:tc>
          <w:tcPr>
            <w:tcW w:type="dxa" w:w="5550"/>
            <w:tcMar>
              <w:top w:type="dxa" w:w="100"/>
              <w:left w:type="dxa" w:w="120"/>
              <w:bottom w:type="dxa" w:w="100"/>
              <w:right w:type="dxa" w:w="120"/>
            </w:tcMar>
          </w:tcPr>
          <w:p>
            <w:r>
              <w:rPr>
                <w:b w:val="false"/>
                <w:bCs w:val="false"/>
                <w:color w:val="222222"/>
                <w:sz w:val="20"/>
                <w:szCs w:val="20"/>
              </w:rPr>
              <w:t xml:space="preserve">Reflects the founding philosophy directly — teaching interconnected systems rather than isolated facts.</w:t>
            </w:r>
          </w:p>
        </w:tc>
      </w:tr>
      <w:tr>
        <w:tc>
          <w:tcPr>
            <w:tcW w:type="dxa" w:w="2600"/>
            <w:tcMar>
              <w:top w:type="dxa" w:w="100"/>
              <w:left w:type="dxa" w:w="120"/>
              <w:bottom w:type="dxa" w:w="100"/>
              <w:right w:type="dxa" w:w="120"/>
            </w:tcMar>
          </w:tcPr>
          <w:p>
            <w:r>
              <w:rPr>
                <w:b w:val="false"/>
                <w:bCs w:val="false"/>
                <w:color w:val="222222"/>
                <w:sz w:val="20"/>
                <w:szCs w:val="20"/>
              </w:rPr>
              <w:t xml:space="preserve">Ocean Literacy.org (brand)</w:t>
            </w:r>
          </w:p>
        </w:tc>
        <w:tc>
          <w:tcPr>
            <w:tcW w:type="dxa" w:w="1200"/>
            <w:tcMar>
              <w:top w:type="dxa" w:w="100"/>
              <w:left w:type="dxa" w:w="120"/>
              <w:bottom w:type="dxa" w:w="100"/>
              <w:right w:type="dxa" w:w="120"/>
            </w:tcMar>
          </w:tcPr>
          <w:p>
            <w:r>
              <w:rPr>
                <w:b w:val="false"/>
                <w:bCs w:val="false"/>
                <w:color w:val="222222"/>
                <w:sz w:val="20"/>
                <w:szCs w:val="20"/>
              </w:rPr>
              <w:t xml:space="preserve">★★★★★</w:t>
            </w:r>
          </w:p>
        </w:tc>
        <w:tc>
          <w:tcPr>
            <w:tcW w:type="dxa" w:w="5550"/>
            <w:tcMar>
              <w:top w:type="dxa" w:w="100"/>
              <w:left w:type="dxa" w:w="120"/>
              <w:bottom w:type="dxa" w:w="100"/>
              <w:right w:type="dxa" w:w="120"/>
            </w:tcMar>
          </w:tcPr>
          <w:p>
            <w:r>
              <w:rPr>
                <w:b w:val="false"/>
                <w:bCs w:val="false"/>
                <w:color w:val="222222"/>
                <w:sz w:val="20"/>
                <w:szCs w:val="20"/>
              </w:rPr>
              <w:t xml:space="preserve">The ideal brand if available — short, direct, and highly memorable.</w:t>
            </w:r>
          </w:p>
        </w:tc>
      </w:tr>
      <w:tr>
        <w:tc>
          <w:tcPr>
            <w:tcW w:type="dxa" w:w="2600"/>
            <w:tcMar>
              <w:top w:type="dxa" w:w="100"/>
              <w:left w:type="dxa" w:w="120"/>
              <w:bottom w:type="dxa" w:w="100"/>
              <w:right w:type="dxa" w:w="120"/>
            </w:tcMar>
          </w:tcPr>
          <w:p>
            <w:r>
              <w:rPr>
                <w:b w:val="false"/>
                <w:bCs w:val="false"/>
                <w:color w:val="222222"/>
                <w:sz w:val="20"/>
                <w:szCs w:val="20"/>
              </w:rPr>
              <w:t xml:space="preserve">Blue Planet Learning Institute</w:t>
            </w:r>
          </w:p>
        </w:tc>
        <w:tc>
          <w:tcPr>
            <w:tcW w:type="dxa" w:w="1200"/>
            <w:tcMar>
              <w:top w:type="dxa" w:w="100"/>
              <w:left w:type="dxa" w:w="120"/>
              <w:bottom w:type="dxa" w:w="100"/>
              <w:right w:type="dxa" w:w="120"/>
            </w:tcMar>
          </w:tcPr>
          <w:p>
            <w:r>
              <w:rPr>
                <w:b w:val="false"/>
                <w:bCs w:val="false"/>
                <w:color w:val="222222"/>
                <w:sz w:val="20"/>
                <w:szCs w:val="20"/>
              </w:rPr>
              <w:t xml:space="preserve">★★★★☆</w:t>
            </w:r>
          </w:p>
        </w:tc>
        <w:tc>
          <w:tcPr>
            <w:tcW w:type="dxa" w:w="5550"/>
            <w:tcMar>
              <w:top w:type="dxa" w:w="100"/>
              <w:left w:type="dxa" w:w="120"/>
              <w:bottom w:type="dxa" w:w="100"/>
              <w:right w:type="dxa" w:w="120"/>
            </w:tcMar>
          </w:tcPr>
          <w:p>
            <w:r>
              <w:rPr>
                <w:b w:val="false"/>
                <w:bCs w:val="false"/>
                <w:color w:val="222222"/>
                <w:sz w:val="20"/>
                <w:szCs w:val="20"/>
              </w:rPr>
              <w:t xml:space="preserve">Broad enough for international expansion; could encompass oceans, freshwater, climate, and biodiversity.</w:t>
            </w:r>
          </w:p>
        </w:tc>
      </w:tr>
      <w:tr>
        <w:tc>
          <w:tcPr>
            <w:tcW w:type="dxa" w:w="2600"/>
            <w:tcMar>
              <w:top w:type="dxa" w:w="100"/>
              <w:left w:type="dxa" w:w="120"/>
              <w:bottom w:type="dxa" w:w="100"/>
              <w:right w:type="dxa" w:w="120"/>
            </w:tcMar>
          </w:tcPr>
          <w:p>
            <w:r>
              <w:rPr>
                <w:b w:val="false"/>
                <w:bCs w:val="false"/>
                <w:color w:val="222222"/>
                <w:sz w:val="20"/>
                <w:szCs w:val="20"/>
              </w:rPr>
              <w:t xml:space="preserve">Ocean Futures Institute</w:t>
            </w:r>
          </w:p>
        </w:tc>
        <w:tc>
          <w:tcPr>
            <w:tcW w:type="dxa" w:w="1200"/>
            <w:tcMar>
              <w:top w:type="dxa" w:w="100"/>
              <w:left w:type="dxa" w:w="120"/>
              <w:bottom w:type="dxa" w:w="100"/>
              <w:right w:type="dxa" w:w="120"/>
            </w:tcMar>
          </w:tcPr>
          <w:p>
            <w:r>
              <w:rPr>
                <w:b w:val="false"/>
                <w:bCs w:val="false"/>
                <w:color w:val="222222"/>
                <w:sz w:val="20"/>
                <w:szCs w:val="20"/>
              </w:rPr>
              <w:t xml:space="preserve">★★★★☆</w:t>
            </w:r>
          </w:p>
        </w:tc>
        <w:tc>
          <w:tcPr>
            <w:tcW w:type="dxa" w:w="5550"/>
            <w:tcMar>
              <w:top w:type="dxa" w:w="100"/>
              <w:left w:type="dxa" w:w="120"/>
              <w:bottom w:type="dxa" w:w="100"/>
              <w:right w:type="dxa" w:w="120"/>
            </w:tcMar>
          </w:tcPr>
          <w:p>
            <w:r>
              <w:rPr>
                <w:b w:val="false"/>
                <w:bCs w:val="false"/>
                <w:color w:val="222222"/>
                <w:sz w:val="20"/>
                <w:szCs w:val="20"/>
              </w:rPr>
              <w:t xml:space="preserve">Forward-looking and optimistic; centers on preparing the next generation.</w:t>
            </w:r>
          </w:p>
        </w:tc>
      </w:tr>
      <w:tr>
        <w:tc>
          <w:tcPr>
            <w:tcW w:type="dxa" w:w="2600"/>
            <w:tcMar>
              <w:top w:type="dxa" w:w="100"/>
              <w:left w:type="dxa" w:w="120"/>
              <w:bottom w:type="dxa" w:w="100"/>
              <w:right w:type="dxa" w:w="120"/>
            </w:tcMar>
          </w:tcPr>
          <w:p>
            <w:r>
              <w:rPr>
                <w:b w:val="false"/>
                <w:bCs w:val="false"/>
                <w:color w:val="222222"/>
                <w:sz w:val="20"/>
                <w:szCs w:val="20"/>
              </w:rPr>
              <w:t xml:space="preserve">Ocean Discovery Institute</w:t>
            </w:r>
          </w:p>
        </w:tc>
        <w:tc>
          <w:tcPr>
            <w:tcW w:type="dxa" w:w="1200"/>
            <w:tcMar>
              <w:top w:type="dxa" w:w="100"/>
              <w:left w:type="dxa" w:w="120"/>
              <w:bottom w:type="dxa" w:w="100"/>
              <w:right w:type="dxa" w:w="120"/>
            </w:tcMar>
          </w:tcPr>
          <w:p>
            <w:r>
              <w:rPr>
                <w:b w:val="false"/>
                <w:bCs w:val="false"/>
                <w:color w:val="222222"/>
                <w:sz w:val="20"/>
                <w:szCs w:val="20"/>
              </w:rPr>
              <w:t xml:space="preserve">★★★☆☆</w:t>
            </w:r>
          </w:p>
        </w:tc>
        <w:tc>
          <w:tcPr>
            <w:tcW w:type="dxa" w:w="5550"/>
            <w:tcMar>
              <w:top w:type="dxa" w:w="100"/>
              <w:left w:type="dxa" w:w="120"/>
              <w:bottom w:type="dxa" w:w="100"/>
              <w:right w:type="dxa" w:w="120"/>
            </w:tcMar>
          </w:tcPr>
          <w:p>
            <w:r>
              <w:rPr>
                <w:b w:val="false"/>
                <w:bCs w:val="false"/>
                <w:color w:val="222222"/>
                <w:sz w:val="20"/>
                <w:szCs w:val="20"/>
              </w:rPr>
              <w:t xml:space="preserve">Strong name, but existing organizations already use similar names, creating real risk of brand confusion.</w:t>
            </w:r>
          </w:p>
        </w:tc>
      </w:tr>
    </w:tbl>
    <w:p>
      <w:pPr>
        <w:spacing w:before="200"/>
      </w:pPr>
    </w:p>
    <w:p>
      <w:pPr>
        <w:pStyle w:val="Heading2"/>
        <w:spacing w:after="150" w:before="300"/>
      </w:pPr>
      <w:r>
        <w:t xml:space="preserve">Additional Domain Options Considered</w:t>
      </w:r>
    </w:p>
    <w:p>
      <w:pPr>
        <w:spacing w:after="160" w:line="276"/>
      </w:pPr>
      <w:r>
        <w:t xml:space="preserve">Further candidates evaluated for domain and public-brand strength included OceanCitizen.org (with programs such as Ocean Citizen Schools, Ocean Citizen Fellows, and the Ocean Citizen Challenge), BluePlanetInstitute.org, OceanFuture.org, OceanLearning.org, ThinkOcean.org, OceanExplorerInstitute.org, OceanWiseInstitute.org, OceanConnections.org, and OceanClassroom.org. For organizations that want to claim “systems thinking” as a distinguishing positioning specifically, OceanSystemsLearning.org, OceanSystemsEducation.org, OceanSystemsAcademy.org, and ThinkOceanSystems.org were also considered.</w:t>
      </w:r>
    </w:p>
    <w:p>
      <w:pPr>
        <w:pStyle w:val="Heading2"/>
        <w:spacing w:after="150" w:before="300"/>
      </w:pPr>
      <w:r>
        <w:t xml:space="preserve">The Recommended Structure: Two Layers of Branding</w:t>
      </w:r>
    </w:p>
    <w:p>
      <w:pPr>
        <w:spacing w:after="160" w:line="276"/>
      </w:pPr>
      <w:r>
        <w:t xml:space="preserve">Rather than choosing a single name to carry every function, we recommend separating the legal institution from the flagship public program. This is standard practice among mature education nonprofits — it lets the organization stay stable while its public-facing initiatives evolve, launch, and sunset over time.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900"/>
        <w:gridCol w:w="3800"/>
        <w:gridCol w:w="3650"/>
      </w:tblGrid>
      <w:tr>
        <w:trPr>
          <w:tblHeader/>
        </w:trPr>
        <w:tc>
          <w:tcPr>
            <w:tcW w:type="dxa" w:w="1900"/>
            <w:shd w:fill="1B3A5C" w:color="auto" w:val="clear"/>
            <w:tcMar>
              <w:top w:type="dxa" w:w="100"/>
              <w:left w:type="dxa" w:w="120"/>
              <w:bottom w:type="dxa" w:w="100"/>
              <w:right w:type="dxa" w:w="120"/>
            </w:tcMar>
          </w:tcPr>
          <w:p>
            <w:r>
              <w:rPr>
                <w:b/>
                <w:bCs/>
                <w:color w:val="FFFFFF"/>
                <w:sz w:val="20"/>
                <w:szCs w:val="20"/>
              </w:rPr>
              <w:t xml:space="preserve">Layer</w:t>
            </w:r>
          </w:p>
        </w:tc>
        <w:tc>
          <w:tcPr>
            <w:tcW w:type="dxa" w:w="3800"/>
            <w:shd w:fill="1B3A5C" w:color="auto" w:val="clear"/>
            <w:tcMar>
              <w:top w:type="dxa" w:w="100"/>
              <w:left w:type="dxa" w:w="120"/>
              <w:bottom w:type="dxa" w:w="100"/>
              <w:right w:type="dxa" w:w="120"/>
            </w:tcMar>
          </w:tcPr>
          <w:p>
            <w:r>
              <w:rPr>
                <w:b/>
                <w:bCs/>
                <w:color w:val="FFFFFF"/>
                <w:sz w:val="20"/>
                <w:szCs w:val="20"/>
              </w:rPr>
              <w:t xml:space="preserve">Name</w:t>
            </w:r>
          </w:p>
        </w:tc>
        <w:tc>
          <w:tcPr>
            <w:tcW w:type="dxa" w:w="3650"/>
            <w:shd w:fill="1B3A5C" w:color="auto" w:val="clear"/>
            <w:tcMar>
              <w:top w:type="dxa" w:w="100"/>
              <w:left w:type="dxa" w:w="120"/>
              <w:bottom w:type="dxa" w:w="100"/>
              <w:right w:type="dxa" w:w="120"/>
            </w:tcMar>
          </w:tcPr>
          <w:p>
            <w:r>
              <w:rPr>
                <w:b/>
                <w:bCs/>
                <w:color w:val="FFFFFF"/>
                <w:sz w:val="20"/>
                <w:szCs w:val="20"/>
              </w:rPr>
              <w:t xml:space="preserve">Role</w:t>
            </w:r>
          </w:p>
        </w:tc>
      </w:tr>
      <w:tr>
        <w:tc>
          <w:tcPr>
            <w:tcW w:type="dxa" w:w="1900"/>
            <w:tcMar>
              <w:top w:type="dxa" w:w="100"/>
              <w:left w:type="dxa" w:w="120"/>
              <w:bottom w:type="dxa" w:w="100"/>
              <w:right w:type="dxa" w:w="120"/>
            </w:tcMar>
          </w:tcPr>
          <w:p>
            <w:r>
              <w:rPr>
                <w:b w:val="false"/>
                <w:bCs w:val="false"/>
                <w:color w:val="222222"/>
                <w:sz w:val="20"/>
                <w:szCs w:val="20"/>
              </w:rPr>
              <w:t xml:space="preserve">Legal Organization</w:t>
            </w:r>
          </w:p>
        </w:tc>
        <w:tc>
          <w:tcPr>
            <w:tcW w:type="dxa" w:w="3800"/>
            <w:tcMar>
              <w:top w:type="dxa" w:w="100"/>
              <w:left w:type="dxa" w:w="120"/>
              <w:bottom w:type="dxa" w:w="100"/>
              <w:right w:type="dxa" w:w="120"/>
            </w:tcMar>
          </w:tcPr>
          <w:p>
            <w:r>
              <w:rPr>
                <w:b w:val="false"/>
                <w:bCs w:val="false"/>
                <w:color w:val="222222"/>
                <w:sz w:val="20"/>
                <w:szCs w:val="20"/>
              </w:rPr>
              <w:t xml:space="preserve">Ocean Literacy Institute (alt: Ocean Systems &amp; Literacy Institute)</w:t>
            </w:r>
          </w:p>
        </w:tc>
        <w:tc>
          <w:tcPr>
            <w:tcW w:type="dxa" w:w="3650"/>
            <w:tcMar>
              <w:top w:type="dxa" w:w="100"/>
              <w:left w:type="dxa" w:w="120"/>
              <w:bottom w:type="dxa" w:w="100"/>
              <w:right w:type="dxa" w:w="120"/>
            </w:tcMar>
          </w:tcPr>
          <w:p>
            <w:r>
              <w:rPr>
                <w:b w:val="false"/>
                <w:bCs w:val="false"/>
                <w:color w:val="222222"/>
                <w:sz w:val="20"/>
                <w:szCs w:val="20"/>
              </w:rPr>
              <w:t xml:space="preserve">The name on incorporation documents, IRS filings, grant applications, and formal partnerships.</w:t>
            </w:r>
          </w:p>
        </w:tc>
      </w:tr>
      <w:tr>
        <w:tc>
          <w:tcPr>
            <w:tcW w:type="dxa" w:w="1900"/>
            <w:tcMar>
              <w:top w:type="dxa" w:w="100"/>
              <w:left w:type="dxa" w:w="120"/>
              <w:bottom w:type="dxa" w:w="100"/>
              <w:right w:type="dxa" w:w="120"/>
            </w:tcMar>
          </w:tcPr>
          <w:p>
            <w:r>
              <w:rPr>
                <w:b w:val="false"/>
                <w:bCs w:val="false"/>
                <w:color w:val="222222"/>
                <w:sz w:val="20"/>
                <w:szCs w:val="20"/>
              </w:rPr>
              <w:t xml:space="preserve">Public Initiative</w:t>
            </w:r>
          </w:p>
        </w:tc>
        <w:tc>
          <w:tcPr>
            <w:tcW w:type="dxa" w:w="3800"/>
            <w:tcMar>
              <w:top w:type="dxa" w:w="100"/>
              <w:left w:type="dxa" w:w="120"/>
              <w:bottom w:type="dxa" w:w="100"/>
              <w:right w:type="dxa" w:w="120"/>
            </w:tcMar>
          </w:tcPr>
          <w:p>
            <w:r>
              <w:rPr>
                <w:b w:val="false"/>
                <w:bCs w:val="false"/>
                <w:color w:val="222222"/>
                <w:sz w:val="20"/>
                <w:szCs w:val="20"/>
              </w:rPr>
              <w:t xml:space="preserve">Ocean Literacy &amp; Systems Thinking Initiative</w:t>
            </w:r>
          </w:p>
        </w:tc>
        <w:tc>
          <w:tcPr>
            <w:tcW w:type="dxa" w:w="3650"/>
            <w:tcMar>
              <w:top w:type="dxa" w:w="100"/>
              <w:left w:type="dxa" w:w="120"/>
              <w:bottom w:type="dxa" w:w="100"/>
              <w:right w:type="dxa" w:w="120"/>
            </w:tcMar>
          </w:tcPr>
          <w:p>
            <w:r>
              <w:rPr>
                <w:b w:val="false"/>
                <w:bCs w:val="false"/>
                <w:color w:val="222222"/>
                <w:sz w:val="20"/>
                <w:szCs w:val="20"/>
              </w:rPr>
              <w:t xml:space="preserve">The umbrella under which every public-facing program operates.</w:t>
            </w:r>
          </w:p>
        </w:tc>
      </w:tr>
      <w:tr>
        <w:tc>
          <w:tcPr>
            <w:tcW w:type="dxa" w:w="1900"/>
            <w:tcMar>
              <w:top w:type="dxa" w:w="100"/>
              <w:left w:type="dxa" w:w="120"/>
              <w:bottom w:type="dxa" w:w="100"/>
              <w:right w:type="dxa" w:w="120"/>
            </w:tcMar>
          </w:tcPr>
          <w:p>
            <w:r>
              <w:rPr>
                <w:b w:val="false"/>
                <w:bCs w:val="false"/>
                <w:color w:val="222222"/>
                <w:sz w:val="20"/>
                <w:szCs w:val="20"/>
              </w:rPr>
              <w:t xml:space="preserve">Website</w:t>
            </w:r>
          </w:p>
        </w:tc>
        <w:tc>
          <w:tcPr>
            <w:tcW w:type="dxa" w:w="3800"/>
            <w:tcMar>
              <w:top w:type="dxa" w:w="100"/>
              <w:left w:type="dxa" w:w="120"/>
              <w:bottom w:type="dxa" w:w="100"/>
              <w:right w:type="dxa" w:w="120"/>
            </w:tcMar>
          </w:tcPr>
          <w:p>
            <w:r>
              <w:rPr>
                <w:b w:val="false"/>
                <w:bCs w:val="false"/>
                <w:color w:val="222222"/>
                <w:sz w:val="20"/>
                <w:szCs w:val="20"/>
              </w:rPr>
              <w:t xml:space="preserve">OceanLiteracyInstitute.org</w:t>
            </w:r>
          </w:p>
        </w:tc>
        <w:tc>
          <w:tcPr>
            <w:tcW w:type="dxa" w:w="3650"/>
            <w:tcMar>
              <w:top w:type="dxa" w:w="100"/>
              <w:left w:type="dxa" w:w="120"/>
              <w:bottom w:type="dxa" w:w="100"/>
              <w:right w:type="dxa" w:w="120"/>
            </w:tcMar>
          </w:tcPr>
          <w:p>
            <w:r>
              <w:rPr>
                <w:b w:val="false"/>
                <w:bCs w:val="false"/>
                <w:color w:val="222222"/>
                <w:sz w:val="20"/>
                <w:szCs w:val="20"/>
              </w:rPr>
              <w:t xml:space="preserve">Primary web identity, matched with the legal and public names.</w:t>
            </w:r>
          </w:p>
        </w:tc>
      </w:tr>
    </w:tbl>
    <w:p>
      <w:pPr>
        <w:spacing w:before="200"/>
      </w:pPr>
    </w:p>
    <w:p>
      <w:pPr>
        <w:spacing w:after="160" w:line="276"/>
      </w:pPr>
      <w:r>
        <w:t xml:space="preserve">Programs that live under the Public Initiative umbrella include: Ocean Literacy Education Fellows, the Move Toward the Shark series, Ocean Explorer Classroom, Ocean Career Pathways, the Ocean Innovation Challenge, the Ocean Literacy Summit, the Ocean Citizen Challenge, and the Ocean Ambassador Program. This architecture means any single program — including the book series — can grow, retire, or be replaced without ever requiring the organization itself to rebrand.</w:t>
      </w:r>
    </w:p>
    <w:p>
      <w:pPr>
        <w:pStyle w:val="Heading2"/>
        <w:spacing w:after="150" w:before="300"/>
      </w:pPr>
      <w:r>
        <w:t xml:space="preserve">“Ocean Systems” as a Signature Phrase</w:t>
      </w:r>
    </w:p>
    <w:p>
      <w:pPr>
        <w:spacing w:after="160" w:line="276"/>
      </w:pPr>
      <w:r>
        <w:t xml:space="preserve">Because this organization's philosophy extends beyond marine biology into the ocean's role as interconnected, planet-sustaining infrastructure, we recommend threading “Ocean Systems” as a signature phrase throughout every layer of the organization — name, tagline, curriculum framing, and public messaging. This differentiates the organization from traditional ocean-education nonprofits that focus narrowly on marine biology or conservation, and creates a direct conceptual bridge to Ocean Risk Intelligence's systems-oriented work, without naming that work explicitly or tying the nonprofit's identity to it.</w:t>
      </w:r>
    </w:p>
    <w:p>
      <w:pPr>
        <w:spacing w:after="200" w:before="100"/>
        <w:jc w:val="center"/>
      </w:pPr>
      <w:r>
        <w:rPr>
          <w:i/>
          <w:iCs/>
          <w:color w:val="0F6E7A"/>
        </w:rPr>
        <w:t xml:space="preserve">We don't just teach about the ocean. We teach students to understand the ocean as Earth's largest interconnected life-support system.</w:t>
      </w:r>
    </w:p>
    <w:p>
      <w:pPr>
        <w:pStyle w:val="Heading2"/>
        <w:spacing w:after="150" w:before="300"/>
      </w:pPr>
      <w:r>
        <w:t xml:space="preserve">Protective Steps Before Finalizing</w:t>
      </w:r>
    </w:p>
    <w:p>
      <w:pPr>
        <w:pStyle w:val="ListParagraph"/>
        <w:numPr>
          <w:ilvl w:val="0"/>
          <w:numId w:val="1"/>
        </w:numPr>
        <w:spacing w:after="80"/>
      </w:pPr>
      <w:r>
        <w:t xml:space="preserve">Secure matching social media handles across all major platforms before announcing the name publicly</w:t>
      </w:r>
    </w:p>
    <w:p>
      <w:pPr>
        <w:pStyle w:val="ListParagraph"/>
        <w:numPr>
          <w:ilvl w:val="0"/>
          <w:numId w:val="1"/>
        </w:numPr>
        <w:spacing w:after="80"/>
      </w:pPr>
      <w:r>
        <w:t xml:space="preserve">If budget allows, register both the .org and .com versions of the primary name, even though .org will serve as the primary site</w:t>
      </w:r>
    </w:p>
    <w:p>
      <w:pPr>
        <w:pStyle w:val="ListParagraph"/>
        <w:numPr>
          <w:ilvl w:val="0"/>
          <w:numId w:val="1"/>
        </w:numPr>
        <w:spacing w:after="80"/>
      </w:pPr>
      <w:r>
        <w:t xml:space="preserve">Treat domain and trademark protection as especially worthwhile for an organization envisioned as a long-term educational institution rather than a short-term campaign</w:t>
      </w:r>
    </w:p>
    <w:p>
      <w:pPr>
        <w:pStyle w:val="Heading1"/>
        <w:spacing w:after="200" w:before="400"/>
      </w:pPr>
      <w:r>
        <w:t xml:space="preserve">17. Roadmap</w:t>
      </w:r>
    </w:p>
    <w:p>
      <w:pPr>
        <w:pStyle w:val="Heading2"/>
        <w:spacing w:after="150" w:before="300"/>
      </w:pPr>
      <w:r>
        <w:t xml:space="preserve">Phase 1 — Next 12 Months: Foundation</w:t>
      </w:r>
    </w:p>
    <w:p>
      <w:pPr>
        <w:pStyle w:val="ListParagraph"/>
        <w:numPr>
          <w:ilvl w:val="0"/>
          <w:numId w:val="1"/>
        </w:numPr>
        <w:spacing w:after="80"/>
      </w:pPr>
      <w:r>
        <w:t xml:space="preserve">Write and publish Move Toward the Shark</w:t>
      </w:r>
    </w:p>
    <w:p>
      <w:pPr>
        <w:pStyle w:val="ListParagraph"/>
        <w:numPr>
          <w:ilvl w:val="0"/>
          <w:numId w:val="1"/>
        </w:numPr>
        <w:spacing w:after="80"/>
      </w:pPr>
      <w:r>
        <w:t xml:space="preserve">Finalize the educational framework and brand identity</w:t>
      </w:r>
    </w:p>
    <w:p>
      <w:pPr>
        <w:pStyle w:val="ListParagraph"/>
        <w:numPr>
          <w:ilvl w:val="0"/>
          <w:numId w:val="1"/>
        </w:numPr>
        <w:spacing w:after="80"/>
      </w:pPr>
      <w:r>
        <w:t xml:space="preserve">Recruit 10–20 Founding Education Fellows</w:t>
      </w:r>
    </w:p>
    <w:p>
      <w:pPr>
        <w:pStyle w:val="ListParagraph"/>
        <w:numPr>
          <w:ilvl w:val="0"/>
          <w:numId w:val="1"/>
        </w:numPr>
        <w:spacing w:after="80"/>
      </w:pPr>
      <w:r>
        <w:t xml:space="preserve">Pilot lessons directly in classrooms</w:t>
      </w:r>
    </w:p>
    <w:p>
      <w:pPr>
        <w:pStyle w:val="ListParagraph"/>
        <w:numPr>
          <w:ilvl w:val="0"/>
          <w:numId w:val="1"/>
        </w:numPr>
        <w:spacing w:after="80"/>
      </w:pPr>
      <w:r>
        <w:t xml:space="preserve">Establish partnerships with local schools and libraries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0"/>
        <w:gridCol w:w="7950"/>
      </w:tblGrid>
      <w:tr>
        <w:trPr>
          <w:tblHeader/>
        </w:trPr>
        <w:tc>
          <w:tcPr>
            <w:tcW w:type="dxa" w:w="1400"/>
            <w:shd w:fill="1B3A5C" w:color="auto" w:val="clear"/>
            <w:tcMar>
              <w:top w:type="dxa" w:w="100"/>
              <w:left w:type="dxa" w:w="120"/>
              <w:bottom w:type="dxa" w:w="100"/>
              <w:right w:type="dxa" w:w="120"/>
            </w:tcMar>
          </w:tcPr>
          <w:p>
            <w:r>
              <w:rPr>
                <w:b/>
                <w:bCs/>
                <w:color w:val="FFFFFF"/>
                <w:sz w:val="20"/>
                <w:szCs w:val="20"/>
              </w:rPr>
              <w:t xml:space="preserve">Quarter</w:t>
            </w:r>
          </w:p>
        </w:tc>
        <w:tc>
          <w:tcPr>
            <w:tcW w:type="dxa" w:w="7950"/>
            <w:shd w:fill="1B3A5C" w:color="auto" w:val="clear"/>
            <w:tcMar>
              <w:top w:type="dxa" w:w="100"/>
              <w:left w:type="dxa" w:w="120"/>
              <w:bottom w:type="dxa" w:w="100"/>
              <w:right w:type="dxa" w:w="120"/>
            </w:tcMar>
          </w:tcPr>
          <w:p>
            <w:r>
              <w:rPr>
                <w:b/>
                <w:bCs/>
                <w:color w:val="FFFFFF"/>
                <w:sz w:val="20"/>
                <w:szCs w:val="20"/>
              </w:rPr>
              <w:t xml:space="preserve">Milestones</w:t>
            </w:r>
          </w:p>
        </w:tc>
      </w:tr>
      <w:tr>
        <w:tc>
          <w:tcPr>
            <w:tcW w:type="dxa" w:w="1400"/>
            <w:tcMar>
              <w:top w:type="dxa" w:w="100"/>
              <w:left w:type="dxa" w:w="120"/>
              <w:bottom w:type="dxa" w:w="100"/>
              <w:right w:type="dxa" w:w="120"/>
            </w:tcMar>
          </w:tcPr>
          <w:p>
            <w:r>
              <w:rPr>
                <w:b w:val="false"/>
                <w:bCs w:val="false"/>
                <w:color w:val="222222"/>
                <w:sz w:val="20"/>
                <w:szCs w:val="20"/>
              </w:rPr>
              <w:t xml:space="preserve">Q1</w:t>
            </w:r>
          </w:p>
        </w:tc>
        <w:tc>
          <w:tcPr>
            <w:tcW w:type="dxa" w:w="7950"/>
            <w:tcMar>
              <w:top w:type="dxa" w:w="100"/>
              <w:left w:type="dxa" w:w="120"/>
              <w:bottom w:type="dxa" w:w="100"/>
              <w:right w:type="dxa" w:w="120"/>
            </w:tcMar>
          </w:tcPr>
          <w:p>
            <w:r>
              <w:rPr>
                <w:b w:val="false"/>
                <w:bCs w:val="false"/>
                <w:color w:val="222222"/>
                <w:sz w:val="20"/>
                <w:szCs w:val="20"/>
              </w:rPr>
              <w:t xml:space="preserve">Finalize the educational framework and brand identity. Complete the manuscript for Move Toward the Shark. Develop the teacher and family discussion guides.</w:t>
            </w:r>
          </w:p>
        </w:tc>
      </w:tr>
      <w:tr>
        <w:tc>
          <w:tcPr>
            <w:tcW w:type="dxa" w:w="1400"/>
            <w:tcMar>
              <w:top w:type="dxa" w:w="100"/>
              <w:left w:type="dxa" w:w="120"/>
              <w:bottom w:type="dxa" w:w="100"/>
              <w:right w:type="dxa" w:w="120"/>
            </w:tcMar>
          </w:tcPr>
          <w:p>
            <w:r>
              <w:rPr>
                <w:b w:val="false"/>
                <w:bCs w:val="false"/>
                <w:color w:val="222222"/>
                <w:sz w:val="20"/>
                <w:szCs w:val="20"/>
              </w:rPr>
              <w:t xml:space="preserve">Q2</w:t>
            </w:r>
          </w:p>
        </w:tc>
        <w:tc>
          <w:tcPr>
            <w:tcW w:type="dxa" w:w="7950"/>
            <w:tcMar>
              <w:top w:type="dxa" w:w="100"/>
              <w:left w:type="dxa" w:w="120"/>
              <w:bottom w:type="dxa" w:w="100"/>
              <w:right w:type="dxa" w:w="120"/>
            </w:tcMar>
          </w:tcPr>
          <w:p>
            <w:r>
              <w:rPr>
                <w:b w:val="false"/>
                <w:bCs w:val="false"/>
                <w:color w:val="222222"/>
                <w:sz w:val="20"/>
                <w:szCs w:val="20"/>
              </w:rPr>
              <w:t xml:space="preserve">Publish Move Toward the Shark. Launch the website and companion videos. Pilot the book with a small cohort of teachers and students.</w:t>
            </w:r>
          </w:p>
        </w:tc>
      </w:tr>
      <w:tr>
        <w:tc>
          <w:tcPr>
            <w:tcW w:type="dxa" w:w="1400"/>
            <w:tcMar>
              <w:top w:type="dxa" w:w="100"/>
              <w:left w:type="dxa" w:w="120"/>
              <w:bottom w:type="dxa" w:w="100"/>
              <w:right w:type="dxa" w:w="120"/>
            </w:tcMar>
          </w:tcPr>
          <w:p>
            <w:r>
              <w:rPr>
                <w:b w:val="false"/>
                <w:bCs w:val="false"/>
                <w:color w:val="222222"/>
                <w:sz w:val="20"/>
                <w:szCs w:val="20"/>
              </w:rPr>
              <w:t xml:space="preserve">Q3</w:t>
            </w:r>
          </w:p>
        </w:tc>
        <w:tc>
          <w:tcPr>
            <w:tcW w:type="dxa" w:w="7950"/>
            <w:tcMar>
              <w:top w:type="dxa" w:w="100"/>
              <w:left w:type="dxa" w:w="120"/>
              <w:bottom w:type="dxa" w:w="100"/>
              <w:right w:type="dxa" w:w="120"/>
            </w:tcMar>
          </w:tcPr>
          <w:p>
            <w:r>
              <w:rPr>
                <w:b w:val="false"/>
                <w:bCs w:val="false"/>
                <w:color w:val="222222"/>
                <w:sz w:val="20"/>
                <w:szCs w:val="20"/>
              </w:rPr>
              <w:t xml:space="preserve">Publish the second title (The Cave That Changed Me or Why Coral Reefs Matter). Begin school visits and live presentations. Gather educator feedback to refine the framework.</w:t>
            </w:r>
          </w:p>
        </w:tc>
      </w:tr>
      <w:tr>
        <w:tc>
          <w:tcPr>
            <w:tcW w:type="dxa" w:w="1400"/>
            <w:tcMar>
              <w:top w:type="dxa" w:w="100"/>
              <w:left w:type="dxa" w:w="120"/>
              <w:bottom w:type="dxa" w:w="100"/>
              <w:right w:type="dxa" w:w="120"/>
            </w:tcMar>
          </w:tcPr>
          <w:p>
            <w:r>
              <w:rPr>
                <w:b w:val="false"/>
                <w:bCs w:val="false"/>
                <w:color w:val="222222"/>
                <w:sz w:val="20"/>
                <w:szCs w:val="20"/>
              </w:rPr>
              <w:t xml:space="preserve">Q4</w:t>
            </w:r>
          </w:p>
        </w:tc>
        <w:tc>
          <w:tcPr>
            <w:tcW w:type="dxa" w:w="7950"/>
            <w:tcMar>
              <w:top w:type="dxa" w:w="100"/>
              <w:left w:type="dxa" w:w="120"/>
              <w:bottom w:type="dxa" w:w="100"/>
              <w:right w:type="dxa" w:w="120"/>
            </w:tcMar>
          </w:tcPr>
          <w:p>
            <w:r>
              <w:rPr>
                <w:b w:val="false"/>
                <w:bCs w:val="false"/>
                <w:color w:val="222222"/>
                <w:sz w:val="20"/>
                <w:szCs w:val="20"/>
              </w:rPr>
              <w:t xml:space="preserve">Publish a third title. Assemble a classroom bundle for schools. Open outreach to museums, aquariums, and educational partners.</w:t>
            </w:r>
          </w:p>
        </w:tc>
      </w:tr>
    </w:tbl>
    <w:p>
      <w:pPr>
        <w:spacing w:before="250"/>
      </w:pPr>
    </w:p>
    <w:p>
      <w:pPr>
        <w:pStyle w:val="Heading2"/>
        <w:spacing w:after="150" w:before="300"/>
      </w:pPr>
      <w:r>
        <w:t xml:space="preserve">Phase 2 — Launch and Fund</w:t>
      </w:r>
    </w:p>
    <w:p>
      <w:pPr>
        <w:pStyle w:val="ListParagraph"/>
        <w:numPr>
          <w:ilvl w:val="0"/>
          <w:numId w:val="1"/>
        </w:numPr>
        <w:spacing w:after="80"/>
      </w:pPr>
      <w:r>
        <w:t xml:space="preserve">Formally launch the nonprofit</w:t>
      </w:r>
    </w:p>
    <w:p>
      <w:pPr>
        <w:pStyle w:val="ListParagraph"/>
        <w:numPr>
          <w:ilvl w:val="0"/>
          <w:numId w:val="1"/>
        </w:numPr>
        <w:spacing w:after="80"/>
      </w:pPr>
      <w:r>
        <w:t xml:space="preserve">Form a founding board of educators, marine scientists, and business leaders</w:t>
      </w:r>
    </w:p>
    <w:p>
      <w:pPr>
        <w:pStyle w:val="ListParagraph"/>
        <w:numPr>
          <w:ilvl w:val="0"/>
          <w:numId w:val="1"/>
        </w:numPr>
        <w:spacing w:after="80"/>
      </w:pPr>
      <w:r>
        <w:t xml:space="preserve">Apply for foundation and corporate grants</w:t>
      </w:r>
    </w:p>
    <w:p>
      <w:pPr>
        <w:pStyle w:val="ListParagraph"/>
        <w:numPr>
          <w:ilvl w:val="0"/>
          <w:numId w:val="1"/>
        </w:numPr>
        <w:spacing w:after="80"/>
      </w:pPr>
      <w:r>
        <w:t xml:space="preserve">Expand the Fellows Program and school partnerships nationally</w:t>
      </w:r>
    </w:p>
    <w:p>
      <w:pPr>
        <w:pStyle w:val="Heading2"/>
        <w:spacing w:after="150" w:before="300"/>
      </w:pPr>
      <w:r>
        <w:t xml:space="preserve">Phase 3 — Institutionalize</w:t>
      </w:r>
    </w:p>
    <w:p>
      <w:pPr>
        <w:pStyle w:val="ListParagraph"/>
        <w:numPr>
          <w:ilvl w:val="0"/>
          <w:numId w:val="1"/>
        </w:numPr>
        <w:spacing w:after="80"/>
      </w:pPr>
      <w:r>
        <w:t xml:space="preserve">Build a recognized Ocean Literacy brand encompassing curriculum, books, fellowships, educator training, and student programs</w:t>
      </w:r>
    </w:p>
    <w:p>
      <w:pPr>
        <w:pStyle w:val="ListParagraph"/>
        <w:numPr>
          <w:ilvl w:val="0"/>
          <w:numId w:val="1"/>
        </w:numPr>
        <w:spacing w:after="80"/>
      </w:pPr>
      <w:r>
        <w:t xml:space="preserve">Establish the annual Ocean Literacy Summit and a student innovation challenge</w:t>
      </w:r>
    </w:p>
    <w:p>
      <w:pPr>
        <w:pStyle w:val="ListParagraph"/>
        <w:numPr>
          <w:ilvl w:val="0"/>
          <w:numId w:val="1"/>
        </w:numPr>
        <w:spacing w:after="80"/>
      </w:pPr>
      <w:r>
        <w:t xml:space="preserve">Deepen museum, aquarium, and public-media (PBS) educational partnerships</w:t>
      </w:r>
    </w:p>
    <w:p>
      <w:pPr>
        <w:pStyle w:val="Heading2"/>
        <w:spacing w:after="150" w:before="300"/>
      </w:pPr>
      <w:r>
        <w:t xml:space="preserve">Five-Year Vision</w:t>
      </w:r>
    </w:p>
    <w:p>
      <w:pPr>
        <w:spacing w:after="160" w:line="276"/>
      </w:pPr>
      <w:r>
        <w:t xml:space="preserve">Beyond the first year, we plan to expand from books into a complete educational ecosystem:</w:t>
      </w:r>
    </w:p>
    <w:p>
      <w:pPr>
        <w:pStyle w:val="ListParagraph"/>
        <w:numPr>
          <w:ilvl w:val="0"/>
          <w:numId w:val="1"/>
        </w:numPr>
        <w:spacing w:after="80"/>
      </w:pPr>
      <w:r>
        <w:t xml:space="preserve">20+ books spanning every age level</w:t>
      </w:r>
    </w:p>
    <w:p>
      <w:pPr>
        <w:pStyle w:val="ListParagraph"/>
        <w:numPr>
          <w:ilvl w:val="0"/>
          <w:numId w:val="1"/>
        </w:numPr>
        <w:spacing w:after="80"/>
      </w:pPr>
      <w:r>
        <w:t xml:space="preserve">Teacher curriculum aligned to educational standards</w:t>
      </w:r>
    </w:p>
    <w:p>
      <w:pPr>
        <w:pStyle w:val="ListParagraph"/>
        <w:numPr>
          <w:ilvl w:val="0"/>
          <w:numId w:val="1"/>
        </w:numPr>
        <w:spacing w:after="80"/>
      </w:pPr>
      <w:r>
        <w:t xml:space="preserve">Classroom activity kits and student journals</w:t>
      </w:r>
    </w:p>
    <w:p>
      <w:pPr>
        <w:pStyle w:val="ListParagraph"/>
        <w:numPr>
          <w:ilvl w:val="0"/>
          <w:numId w:val="1"/>
        </w:numPr>
        <w:spacing w:after="80"/>
      </w:pPr>
      <w:r>
        <w:t xml:space="preserve">Companion videos and a full speaking program</w:t>
      </w:r>
    </w:p>
    <w:p>
      <w:pPr>
        <w:pStyle w:val="ListParagraph"/>
        <w:numPr>
          <w:ilvl w:val="0"/>
          <w:numId w:val="1"/>
        </w:numPr>
        <w:spacing w:after="80"/>
      </w:pPr>
      <w:r>
        <w:t xml:space="preserve">Online educator resources and summer camps</w:t>
      </w:r>
    </w:p>
    <w:p>
      <w:pPr>
        <w:pStyle w:val="ListParagraph"/>
        <w:numPr>
          <w:ilvl w:val="0"/>
          <w:numId w:val="1"/>
        </w:numPr>
        <w:spacing w:after="80"/>
      </w:pPr>
      <w:r>
        <w:t xml:space="preserve">Family ocean challenges</w:t>
      </w:r>
    </w:p>
    <w:p>
      <w:pPr>
        <w:pStyle w:val="ListParagraph"/>
        <w:numPr>
          <w:ilvl w:val="0"/>
          <w:numId w:val="1"/>
        </w:numPr>
        <w:spacing w:after="80"/>
      </w:pPr>
      <w:r>
        <w:t xml:space="preserve">Museum and aquarium exhibits</w:t>
      </w:r>
    </w:p>
    <w:p>
      <w:pPr>
        <w:pStyle w:val="ListParagraph"/>
        <w:numPr>
          <w:ilvl w:val="0"/>
          <w:numId w:val="1"/>
        </w:numPr>
        <w:spacing w:after="80"/>
      </w:pPr>
      <w:r>
        <w:t xml:space="preserve">Educational documentaries</w:t>
      </w:r>
    </w:p>
    <w:p>
      <w:pPr>
        <w:pStyle w:val="ListParagraph"/>
        <w:numPr>
          <w:ilvl w:val="0"/>
          <w:numId w:val="1"/>
        </w:numPr>
        <w:spacing w:after="80"/>
      </w:pPr>
      <w:r>
        <w:t xml:space="preserve">Scholarships or a student ambassador program</w:t>
      </w:r>
    </w:p>
    <w:p>
      <w:pPr>
        <w:pStyle w:val="Heading1"/>
        <w:spacing w:after="200" w:before="400"/>
      </w:pPr>
      <w:r>
        <w:t xml:space="preserve">18. Closing</w:t>
      </w:r>
    </w:p>
    <w:p>
      <w:pPr>
        <w:spacing w:after="160" w:line="276"/>
      </w:pPr>
      <w:r>
        <w:t xml:space="preserve">We started this work in the water — on expeditions, not in a classroom. What we are building now is a way to bring that same first-person understanding of the ocean to students who may never dive themselves, but who deserve to understand the system that governs so much of their world.</w:t>
      </w:r>
    </w:p>
    <w:p>
      <w:pPr>
        <w:spacing w:after="160" w:line="276"/>
      </w:pPr>
      <w:r>
        <w:t xml:space="preserve">We started with real dives, real risk, and real understanding earned the hard way. We believe the next generation deserves the same — not fear delivered secondhand, but wonder built on real stories, real science, and real people willing to teach it. Many children's ocean books teach facts. Ours will teach wonder, stewardship, and decision-making through authentic experience, building a progression that follows a student from their first picture book all the way to high school — always reinforcing one central idea.</w:t>
      </w:r>
    </w:p>
    <w:p>
      <w:pPr>
        <w:spacing w:after="200" w:before="100"/>
        <w:jc w:val="center"/>
      </w:pPr>
      <w:r>
        <w:rPr>
          <w:i/>
          <w:iCs/>
          <w:color w:val="0F6E7A"/>
        </w:rPr>
        <w:t xml:space="preserve">The ocean isn't just somewhere we visit. It's the life-support system that connects us all.</w:t>
      </w:r>
    </w:p>
    <w:p>
      <w:pPr>
        <w:spacing w:before="300"/>
      </w:pPr>
    </w:p>
    <w:p>
      <w:pPr>
        <w:spacing w:after="160" w:line="276"/>
      </w:pPr>
      <w:r>
        <w:rPr>
          <w:b/>
          <w:bCs/>
        </w:rPr>
        <w:t xml:space="preserve">Mike Hawkins</w:t>
      </w:r>
    </w:p>
    <w:p>
      <w:pPr>
        <w:spacing w:after="160" w:line="276"/>
      </w:pPr>
      <w:r>
        <w:t xml:space="preserve">Author • Rescue Diver • Speaker • Ocean Advocate</w:t>
      </w:r>
    </w:p>
    <w:sectPr>
      <w:pgSz w:w="12240" w:h="15840" w:orient="portrait"/>
      <w:pgMar w:top="1080" w:right="1350" w:bottom="108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F6E7A" w:sz="6" w:space="4"/>
      </w:pBdr>
      <w:spacing w:after="200" w:before="400"/>
    </w:pPr>
    <w:rPr>
      <w:rFonts w:ascii="Calibri" w:cs="Calibri" w:eastAsia="Calibri" w:hAnsi="Calibri"/>
      <w:b/>
      <w:bCs/>
      <w:color w:val="1B3A5C"/>
      <w:sz w:val="30"/>
      <w:szCs w:val="30"/>
    </w:rPr>
  </w:style>
  <w:style w:type="paragraph" w:styleId="Heading2">
    <w:name w:val="Heading 2"/>
    <w:basedOn w:val="Normal"/>
    <w:next w:val="Normal"/>
    <w:qFormat/>
    <w:pPr>
      <w:spacing w:after="120" w:before="260"/>
    </w:pPr>
    <w:rPr>
      <w:rFonts w:ascii="Calibri" w:cs="Calibri" w:eastAsia="Calibri" w:hAnsi="Calibri"/>
      <w:b/>
      <w:bCs/>
      <w:color w:val="0F6E7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2026-08-06T14:49:14.233Z</dcterms:created>
  <dcterms:modified xsi:type="dcterms:W3CDTF">2026-08-06T14:49:14.248Z</dcterms:modified>
</cp:coreProperties>
</file>

<file path=docProps/custom.xml><?xml version="1.0" encoding="utf-8"?>
<Properties xmlns="http://schemas.openxmlformats.org/officeDocument/2006/custom-properties" xmlns:vt="http://schemas.openxmlformats.org/officeDocument/2006/docPropsVTypes"/>
</file>