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0"/>
        <w:jc w:val="center"/>
      </w:pPr>
      <w:r>
        <w:rPr>
          <w:b/>
          <w:bCs/>
          <w:color w:val="1B3A4B"/>
          <w:sz w:val="52"/>
          <w:szCs w:val="52"/>
        </w:rPr>
        <w:t xml:space="preserve">OCEAN IQ</w:t>
      </w:r>
    </w:p>
    <w:p>
      <w:pPr>
        <w:spacing w:after="60"/>
        <w:jc w:val="center"/>
      </w:pPr>
      <w:r>
        <w:rPr>
          <w:b/>
          <w:bCs/>
          <w:color w:val="0E6E73"/>
          <w:sz w:val="26"/>
          <w:szCs w:val="26"/>
        </w:rPr>
        <w:t xml:space="preserve">A Supplemental Framework to the Ocean Literacy Institute Whitepaper</w:t>
      </w:r>
    </w:p>
    <w:p>
      <w:pPr>
        <w:spacing w:after="60"/>
        <w:jc w:val="center"/>
      </w:pPr>
      <w:r>
        <w:rPr>
          <w:i/>
          <w:iCs/>
          <w:color w:val="5A5A5A"/>
          <w:sz w:val="22"/>
          <w:szCs w:val="22"/>
        </w:rPr>
        <w:t xml:space="preserve">From Ocean Literacy to Ocean Understanding, Systems Thinking, and Action</w:t>
      </w:r>
    </w:p>
    <w:p>
      <w:pPr>
        <w:spacing w:after="500"/>
        <w:jc w:val="center"/>
      </w:pPr>
      <w:r>
        <w:rPr>
          <w:color w:val="5A5A5A"/>
          <w:sz w:val="22"/>
          <w:szCs w:val="22"/>
        </w:rPr>
        <w:t xml:space="preserve">Ocean Literacy Institute</w:t>
      </w:r>
    </w:p>
    <w:p>
      <w:pPr>
        <w:pStyle w:val="Heading1"/>
        <w:pBdr>
          <w:bottom w:val="single" w:color="0E6E73" w:sz="6" w:space="4"/>
        </w:pBdr>
        <w:spacing w:after="200" w:before="480"/>
      </w:pPr>
      <w:r>
        <w:rPr>
          <w:b/>
          <w:bCs/>
          <w:color w:val="1B3A4B"/>
          <w:sz w:val="30"/>
          <w:szCs w:val="30"/>
        </w:rPr>
        <w:t xml:space="preserve">Executive Summary</w:t>
      </w:r>
    </w:p>
    <w:p>
      <w:pPr>
        <w:spacing w:after="200" w:line="300"/>
        <w:jc w:val="both"/>
      </w:pPr>
      <w:r>
        <w:rPr>
          <w:color w:val="222222"/>
          <w:sz w:val="22"/>
          <w:szCs w:val="22"/>
        </w:rPr>
        <w:t xml:space="preserve">The Ocean Literacy Institute exists to help the next generation understand the ocean not as a distant environment or a list of species to memorize, but as an interconnected system that sustains life, communities, economies, and the future of the planet. Ocean IQ is the practical educational framework built to accomplish that mission.</w:t>
      </w:r>
    </w:p>
    <w:p>
      <w:pPr>
        <w:spacing w:after="200" w:line="300"/>
        <w:jc w:val="both"/>
      </w:pPr>
      <w:r>
        <w:rPr>
          <w:color w:val="222222"/>
          <w:sz w:val="22"/>
          <w:szCs w:val="22"/>
        </w:rPr>
        <w:t xml:space="preserve">The idea behind Ocean IQ is easy to state and harder to deliver: how well does a student actually understand the ocean — how it works, why it matters, how its systems connect, and where they fit into it? Traditional ocean education has leaned heavily on knowledge — naming species, describing habitats, explaining currents, cataloging threats like pollution. That knowledge matters, but it is not the same as understanding, and it rarely produces action on its own.</w:t>
      </w:r>
    </w:p>
    <w:p>
      <w:pPr>
        <w:spacing w:after="200" w:line="300"/>
        <w:jc w:val="both"/>
      </w:pPr>
      <w:r>
        <w:rPr>
          <w:color w:val="222222"/>
          <w:sz w:val="22"/>
          <w:szCs w:val="22"/>
        </w:rPr>
        <w:t xml:space="preserve">Ocean IQ extends ocean literacy into systems thinking, application, decision-making, career awareness, and meaningful action. The goal is not to teach students more ocean facts — it is to raise their Ocean IQ, deliberately, across four developmental stages: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500"/>
        <w:gridCol w:w="6900"/>
      </w:tblGrid>
      <w:tr>
        <w:trPr>
          <w:tblHeader/>
        </w:trPr>
        <w:tc>
          <w:tcPr>
            <w:tcW w:type="dxa" w:w="2500"/>
            <w:shd w:fill="1B3A4B" w:color="auto" w:val="clear"/>
            <w:tcMar>
              <w:top w:type="dxa" w:w="100"/>
              <w:left w:type="dxa" w:w="140"/>
              <w:bottom w:type="dxa" w:w="100"/>
              <w:right w:type="dxa" w:w="140"/>
            </w:tcMar>
          </w:tcPr>
          <w:p>
            <w:r>
              <w:rPr>
                <w:b/>
                <w:bCs/>
                <w:color w:val="FFFFFF"/>
                <w:sz w:val="20"/>
                <w:szCs w:val="20"/>
              </w:rPr>
              <w:t xml:space="preserve">Ages</w:t>
            </w:r>
          </w:p>
        </w:tc>
        <w:tc>
          <w:tcPr>
            <w:tcW w:type="dxa" w:w="6900"/>
            <w:shd w:fill="1B3A4B" w:color="auto" w:val="clear"/>
            <w:tcMar>
              <w:top w:type="dxa" w:w="100"/>
              <w:left w:type="dxa" w:w="140"/>
              <w:bottom w:type="dxa" w:w="100"/>
              <w:right w:type="dxa" w:w="140"/>
            </w:tcMar>
          </w:tcPr>
          <w:p>
            <w:r>
              <w:rPr>
                <w:b/>
                <w:bCs/>
                <w:color w:val="FFFFFF"/>
                <w:sz w:val="20"/>
                <w:szCs w:val="20"/>
              </w:rPr>
              <w:t xml:space="preserve">Stage</w:t>
            </w:r>
          </w:p>
        </w:tc>
      </w:tr>
      <w:tr>
        <w:tc>
          <w:tcPr>
            <w:tcW w:type="dxa" w:w="2500"/>
            <w:tcMar>
              <w:top w:type="dxa" w:w="100"/>
              <w:left w:type="dxa" w:w="140"/>
              <w:bottom w:type="dxa" w:w="100"/>
              <w:right w:type="dxa" w:w="140"/>
            </w:tcMar>
          </w:tcPr>
          <w:p>
            <w:r>
              <w:rPr>
                <w:b w:val="false"/>
                <w:bCs w:val="false"/>
                <w:color w:val="222222"/>
                <w:sz w:val="20"/>
                <w:szCs w:val="20"/>
              </w:rPr>
              <w:t xml:space="preserve">3–6</w:t>
            </w:r>
          </w:p>
        </w:tc>
        <w:tc>
          <w:tcPr>
            <w:tcW w:type="dxa" w:w="6900"/>
            <w:tcMar>
              <w:top w:type="dxa" w:w="100"/>
              <w:left w:type="dxa" w:w="140"/>
              <w:bottom w:type="dxa" w:w="100"/>
              <w:right w:type="dxa" w:w="140"/>
            </w:tcMar>
          </w:tcPr>
          <w:p>
            <w:r>
              <w:rPr>
                <w:b w:val="false"/>
                <w:bCs w:val="false"/>
                <w:color w:val="222222"/>
                <w:sz w:val="20"/>
                <w:szCs w:val="20"/>
              </w:rPr>
              <w:t xml:space="preserve">Discover</w:t>
            </w:r>
          </w:p>
        </w:tc>
      </w:tr>
      <w:tr>
        <w:tc>
          <w:tcPr>
            <w:tcW w:type="dxa" w:w="2500"/>
            <w:shd w:fill="F2F2F2" w:color="auto" w:val="clear"/>
            <w:tcMar>
              <w:top w:type="dxa" w:w="100"/>
              <w:left w:type="dxa" w:w="140"/>
              <w:bottom w:type="dxa" w:w="100"/>
              <w:right w:type="dxa" w:w="140"/>
            </w:tcMar>
          </w:tcPr>
          <w:p>
            <w:r>
              <w:rPr>
                <w:b w:val="false"/>
                <w:bCs w:val="false"/>
                <w:color w:val="222222"/>
                <w:sz w:val="20"/>
                <w:szCs w:val="20"/>
              </w:rPr>
              <w:t xml:space="preserve">7–10</w:t>
            </w:r>
          </w:p>
        </w:tc>
        <w:tc>
          <w:tcPr>
            <w:tcW w:type="dxa" w:w="6900"/>
            <w:shd w:fill="F2F2F2" w:color="auto" w:val="clear"/>
            <w:tcMar>
              <w:top w:type="dxa" w:w="100"/>
              <w:left w:type="dxa" w:w="140"/>
              <w:bottom w:type="dxa" w:w="100"/>
              <w:right w:type="dxa" w:w="140"/>
            </w:tcMar>
          </w:tcPr>
          <w:p>
            <w:r>
              <w:rPr>
                <w:b w:val="false"/>
                <w:bCs w:val="false"/>
                <w:color w:val="222222"/>
                <w:sz w:val="20"/>
                <w:szCs w:val="20"/>
              </w:rPr>
              <w:t xml:space="preserve">Understand</w:t>
            </w:r>
          </w:p>
        </w:tc>
      </w:tr>
      <w:tr>
        <w:tc>
          <w:tcPr>
            <w:tcW w:type="dxa" w:w="2500"/>
            <w:tcMar>
              <w:top w:type="dxa" w:w="100"/>
              <w:left w:type="dxa" w:w="140"/>
              <w:bottom w:type="dxa" w:w="100"/>
              <w:right w:type="dxa" w:w="140"/>
            </w:tcMar>
          </w:tcPr>
          <w:p>
            <w:r>
              <w:rPr>
                <w:b w:val="false"/>
                <w:bCs w:val="false"/>
                <w:color w:val="222222"/>
                <w:sz w:val="20"/>
                <w:szCs w:val="20"/>
              </w:rPr>
              <w:t xml:space="preserve">11–14</w:t>
            </w:r>
          </w:p>
        </w:tc>
        <w:tc>
          <w:tcPr>
            <w:tcW w:type="dxa" w:w="6900"/>
            <w:tcMar>
              <w:top w:type="dxa" w:w="100"/>
              <w:left w:type="dxa" w:w="140"/>
              <w:bottom w:type="dxa" w:w="100"/>
              <w:right w:type="dxa" w:w="140"/>
            </w:tcMar>
          </w:tcPr>
          <w:p>
            <w:r>
              <w:rPr>
                <w:b w:val="false"/>
                <w:bCs w:val="false"/>
                <w:color w:val="222222"/>
                <w:sz w:val="20"/>
                <w:szCs w:val="20"/>
              </w:rPr>
              <w:t xml:space="preserve">Connect</w:t>
            </w:r>
          </w:p>
        </w:tc>
      </w:tr>
      <w:tr>
        <w:tc>
          <w:tcPr>
            <w:tcW w:type="dxa" w:w="2500"/>
            <w:shd w:fill="F2F2F2" w:color="auto" w:val="clear"/>
            <w:tcMar>
              <w:top w:type="dxa" w:w="100"/>
              <w:left w:type="dxa" w:w="140"/>
              <w:bottom w:type="dxa" w:w="100"/>
              <w:right w:type="dxa" w:w="140"/>
            </w:tcMar>
          </w:tcPr>
          <w:p>
            <w:r>
              <w:rPr>
                <w:b w:val="false"/>
                <w:bCs w:val="false"/>
                <w:color w:val="222222"/>
                <w:sz w:val="20"/>
                <w:szCs w:val="20"/>
              </w:rPr>
              <w:t xml:space="preserve">15–18</w:t>
            </w:r>
          </w:p>
        </w:tc>
        <w:tc>
          <w:tcPr>
            <w:tcW w:type="dxa" w:w="6900"/>
            <w:shd w:fill="F2F2F2" w:color="auto" w:val="clear"/>
            <w:tcMar>
              <w:top w:type="dxa" w:w="100"/>
              <w:left w:type="dxa" w:w="140"/>
              <w:bottom w:type="dxa" w:w="100"/>
              <w:right w:type="dxa" w:w="140"/>
            </w:tcMar>
          </w:tcPr>
          <w:p>
            <w:r>
              <w:rPr>
                <w:b w:val="false"/>
                <w:bCs w:val="false"/>
                <w:color w:val="222222"/>
                <w:sz w:val="20"/>
                <w:szCs w:val="20"/>
              </w:rPr>
              <w:t xml:space="preserve">Think &amp; Act</w:t>
            </w:r>
          </w:p>
        </w:tc>
      </w:tr>
    </w:tbl>
    <w:p>
      <w:pPr>
        <w:spacing w:after="200" w:line="300"/>
        <w:jc w:val="both"/>
      </w:pPr>
      <w:r>
        <w:rPr>
          <w:color w:val="222222"/>
          <w:sz w:val="22"/>
          <w:szCs w:val="22"/>
        </w:rPr>
        <w:t xml:space="preserve">Together, these four stages form a developmental pathway that carries a student from early wonder and curiosity through to systems understanding and informed action.</w:t>
      </w:r>
    </w:p>
    <w:p>
      <w:pPr>
        <w:pStyle w:val="Heading1"/>
        <w:pBdr>
          <w:bottom w:val="single" w:color="0E6E73" w:sz="6" w:space="4"/>
        </w:pBdr>
        <w:spacing w:after="200" w:before="480"/>
      </w:pPr>
      <w:r>
        <w:rPr>
          <w:b/>
          <w:bCs/>
          <w:color w:val="1B3A4B"/>
          <w:sz w:val="30"/>
          <w:szCs w:val="30"/>
        </w:rPr>
        <w:t xml:space="preserve">1. The Role of Ocean IQ</w:t>
      </w:r>
    </w:p>
    <w:p>
      <w:pPr>
        <w:spacing w:after="200" w:line="300"/>
        <w:jc w:val="both"/>
      </w:pPr>
      <w:r>
        <w:rPr>
          <w:color w:val="222222"/>
          <w:sz w:val="22"/>
          <w:szCs w:val="22"/>
        </w:rPr>
        <w:t xml:space="preserve">Ocean IQ operates inside the broader mission of the Ocean Literacy Institute, and it helps to see how the pieces fit together:</w:t>
      </w:r>
    </w:p>
    <w:p>
      <w:pPr>
        <w:pStyle w:val="ListParagraph"/>
        <w:numPr>
          <w:ilvl w:val="0"/>
          <w:numId w:val="1"/>
        </w:numPr>
        <w:spacing w:after="90" w:line="280"/>
      </w:pPr>
      <w:r>
        <w:rPr>
          <w:color w:val="222222"/>
          <w:sz w:val="22"/>
          <w:szCs w:val="22"/>
        </w:rPr>
        <w:t xml:space="preserve">Ocean Literacy Institute — the institution and its mission</w:t>
      </w:r>
    </w:p>
    <w:p>
      <w:pPr>
        <w:pStyle w:val="ListParagraph"/>
        <w:numPr>
          <w:ilvl w:val="0"/>
          <w:numId w:val="1"/>
        </w:numPr>
        <w:spacing w:after="90" w:line="280"/>
      </w:pPr>
      <w:r>
        <w:rPr>
          <w:color w:val="222222"/>
          <w:sz w:val="22"/>
          <w:szCs w:val="22"/>
        </w:rPr>
        <w:t xml:space="preserve">Ocean IQ — the educational framework and the outcome the Institute is trying to produce</w:t>
      </w:r>
    </w:p>
    <w:p>
      <w:pPr>
        <w:pStyle w:val="ListParagraph"/>
        <w:numPr>
          <w:ilvl w:val="0"/>
          <w:numId w:val="1"/>
        </w:numPr>
        <w:spacing w:after="90" w:line="280"/>
      </w:pPr>
      <w:r>
        <w:rPr>
          <w:color w:val="222222"/>
          <w:sz w:val="22"/>
          <w:szCs w:val="22"/>
        </w:rPr>
        <w:t xml:space="preserve">Ocean IQ Adventures — the books and learning experiences that build Ocean IQ in students</w:t>
      </w:r>
    </w:p>
    <w:p>
      <w:pPr>
        <w:pStyle w:val="ListParagraph"/>
        <w:numPr>
          <w:ilvl w:val="0"/>
          <w:numId w:val="1"/>
        </w:numPr>
        <w:spacing w:after="90" w:line="280"/>
      </w:pPr>
      <w:r>
        <w:rPr>
          <w:color w:val="222222"/>
          <w:sz w:val="22"/>
          <w:szCs w:val="22"/>
        </w:rPr>
        <w:t xml:space="preserve">Move Toward the Shark — the flagship Ocean IQ Adventure, developed across all four age tiers (3–6, 7–10, 11–14, 15–18)</w:t>
      </w:r>
    </w:p>
    <w:p>
      <w:pPr>
        <w:pStyle w:val="ListParagraph"/>
        <w:numPr>
          <w:ilvl w:val="0"/>
          <w:numId w:val="1"/>
        </w:numPr>
        <w:spacing w:after="90" w:line="280"/>
      </w:pPr>
      <w:r>
        <w:rPr>
          <w:color w:val="222222"/>
          <w:sz w:val="22"/>
          <w:szCs w:val="22"/>
        </w:rPr>
        <w:t xml:space="preserve">Ocean Literacy Education Fellows — the educators and subject-matter experts who help build, validate, pilot, and deliver the model</w:t>
      </w:r>
    </w:p>
    <w:p>
      <w:pPr>
        <w:spacing w:after="200" w:line="300"/>
        <w:jc w:val="both"/>
      </w:pPr>
      <w:r>
        <w:rPr>
          <w:color w:val="222222"/>
          <w:sz w:val="22"/>
          <w:szCs w:val="22"/>
        </w:rPr>
        <w:t xml:space="preserve">This structure gives the Institute room to build many different programs while holding all of them to one common purpose. Every book, lesson, classroom activity, video, presentation, field experience, or student program can be measured against a single question: does this raise a student's Ocean IQ?</w:t>
      </w:r>
    </w:p>
    <w:p>
      <w:pPr>
        <w:pStyle w:val="Heading1"/>
        <w:pBdr>
          <w:bottom w:val="single" w:color="0E6E73" w:sz="6" w:space="4"/>
        </w:pBdr>
        <w:spacing w:after="200" w:before="480"/>
      </w:pPr>
      <w:r>
        <w:rPr>
          <w:b/>
          <w:bCs/>
          <w:color w:val="1B3A4B"/>
          <w:sz w:val="30"/>
          <w:szCs w:val="30"/>
        </w:rPr>
        <w:t xml:space="preserve">2. What Is Ocean IQ?</w:t>
      </w:r>
    </w:p>
    <w:p>
      <w:pPr>
        <w:spacing w:after="200" w:line="300"/>
        <w:jc w:val="both"/>
      </w:pPr>
      <w:r>
        <w:rPr>
          <w:color w:val="222222"/>
          <w:sz w:val="22"/>
          <w:szCs w:val="22"/>
        </w:rPr>
        <w:t xml:space="preserve">Ocean IQ is the ability to understand fundamental ocean concepts, recognize relationships within and between ocean and human systems, think critically about those relationships, and translate understanding into informed decisions and responsible action. It is more than knowledge — it is built from five interconnected dimensions.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500"/>
        <w:gridCol w:w="6900"/>
      </w:tblGrid>
      <w:tr>
        <w:trPr>
          <w:tblHeader/>
        </w:trPr>
        <w:tc>
          <w:tcPr>
            <w:tcW w:type="dxa" w:w="2500"/>
            <w:shd w:fill="1B3A4B" w:color="auto" w:val="clear"/>
            <w:tcMar>
              <w:top w:type="dxa" w:w="100"/>
              <w:left w:type="dxa" w:w="140"/>
              <w:bottom w:type="dxa" w:w="100"/>
              <w:right w:type="dxa" w:w="140"/>
            </w:tcMar>
          </w:tcPr>
          <w:p>
            <w:r>
              <w:rPr>
                <w:b/>
                <w:bCs/>
                <w:color w:val="FFFFFF"/>
                <w:sz w:val="20"/>
                <w:szCs w:val="20"/>
              </w:rPr>
              <w:t xml:space="preserve">Dimension</w:t>
            </w:r>
          </w:p>
        </w:tc>
        <w:tc>
          <w:tcPr>
            <w:tcW w:type="dxa" w:w="6900"/>
            <w:shd w:fill="1B3A4B" w:color="auto" w:val="clear"/>
            <w:tcMar>
              <w:top w:type="dxa" w:w="100"/>
              <w:left w:type="dxa" w:w="140"/>
              <w:bottom w:type="dxa" w:w="100"/>
              <w:right w:type="dxa" w:w="140"/>
            </w:tcMar>
          </w:tcPr>
          <w:p>
            <w:r>
              <w:rPr>
                <w:b/>
                <w:bCs/>
                <w:color w:val="FFFFFF"/>
                <w:sz w:val="20"/>
                <w:szCs w:val="20"/>
              </w:rPr>
              <w:t xml:space="preserve">Guiding Question</w:t>
            </w:r>
          </w:p>
        </w:tc>
      </w:tr>
      <w:tr>
        <w:tc>
          <w:tcPr>
            <w:tcW w:type="dxa" w:w="2500"/>
            <w:tcMar>
              <w:top w:type="dxa" w:w="100"/>
              <w:left w:type="dxa" w:w="140"/>
              <w:bottom w:type="dxa" w:w="100"/>
              <w:right w:type="dxa" w:w="140"/>
            </w:tcMar>
          </w:tcPr>
          <w:p>
            <w:r>
              <w:rPr>
                <w:b w:val="false"/>
                <w:bCs w:val="false"/>
                <w:color w:val="222222"/>
                <w:sz w:val="20"/>
                <w:szCs w:val="20"/>
              </w:rPr>
              <w:t xml:space="preserve">Know</w:t>
            </w:r>
          </w:p>
        </w:tc>
        <w:tc>
          <w:tcPr>
            <w:tcW w:type="dxa" w:w="6900"/>
            <w:tcMar>
              <w:top w:type="dxa" w:w="100"/>
              <w:left w:type="dxa" w:w="140"/>
              <w:bottom w:type="dxa" w:w="100"/>
              <w:right w:type="dxa" w:w="140"/>
            </w:tcMar>
          </w:tcPr>
          <w:p>
            <w:r>
              <w:rPr>
                <w:b w:val="false"/>
                <w:bCs w:val="false"/>
                <w:color w:val="222222"/>
                <w:sz w:val="20"/>
                <w:szCs w:val="20"/>
              </w:rPr>
              <w:t xml:space="preserve">What do I understand about the ocean?</w:t>
            </w:r>
          </w:p>
        </w:tc>
      </w:tr>
      <w:tr>
        <w:tc>
          <w:tcPr>
            <w:tcW w:type="dxa" w:w="2500"/>
            <w:shd w:fill="F2F2F2" w:color="auto" w:val="clear"/>
            <w:tcMar>
              <w:top w:type="dxa" w:w="100"/>
              <w:left w:type="dxa" w:w="140"/>
              <w:bottom w:type="dxa" w:w="100"/>
              <w:right w:type="dxa" w:w="140"/>
            </w:tcMar>
          </w:tcPr>
          <w:p>
            <w:r>
              <w:rPr>
                <w:b w:val="false"/>
                <w:bCs w:val="false"/>
                <w:color w:val="222222"/>
                <w:sz w:val="20"/>
                <w:szCs w:val="20"/>
              </w:rPr>
              <w:t xml:space="preserve">Connect</w:t>
            </w:r>
          </w:p>
        </w:tc>
        <w:tc>
          <w:tcPr>
            <w:tcW w:type="dxa" w:w="6900"/>
            <w:shd w:fill="F2F2F2" w:color="auto" w:val="clear"/>
            <w:tcMar>
              <w:top w:type="dxa" w:w="100"/>
              <w:left w:type="dxa" w:w="140"/>
              <w:bottom w:type="dxa" w:w="100"/>
              <w:right w:type="dxa" w:w="140"/>
            </w:tcMar>
          </w:tcPr>
          <w:p>
            <w:r>
              <w:rPr>
                <w:b w:val="false"/>
                <w:bCs w:val="false"/>
                <w:color w:val="222222"/>
                <w:sz w:val="20"/>
                <w:szCs w:val="20"/>
              </w:rPr>
              <w:t xml:space="preserve">How is it connected?</w:t>
            </w:r>
          </w:p>
        </w:tc>
      </w:tr>
      <w:tr>
        <w:tc>
          <w:tcPr>
            <w:tcW w:type="dxa" w:w="2500"/>
            <w:tcMar>
              <w:top w:type="dxa" w:w="100"/>
              <w:left w:type="dxa" w:w="140"/>
              <w:bottom w:type="dxa" w:w="100"/>
              <w:right w:type="dxa" w:w="140"/>
            </w:tcMar>
          </w:tcPr>
          <w:p>
            <w:r>
              <w:rPr>
                <w:b w:val="false"/>
                <w:bCs w:val="false"/>
                <w:color w:val="222222"/>
                <w:sz w:val="20"/>
                <w:szCs w:val="20"/>
              </w:rPr>
              <w:t xml:space="preserve">Think</w:t>
            </w:r>
          </w:p>
        </w:tc>
        <w:tc>
          <w:tcPr>
            <w:tcW w:type="dxa" w:w="6900"/>
            <w:tcMar>
              <w:top w:type="dxa" w:w="100"/>
              <w:left w:type="dxa" w:w="140"/>
              <w:bottom w:type="dxa" w:w="100"/>
              <w:right w:type="dxa" w:w="140"/>
            </w:tcMar>
          </w:tcPr>
          <w:p>
            <w:r>
              <w:rPr>
                <w:b w:val="false"/>
                <w:bCs w:val="false"/>
                <w:color w:val="222222"/>
                <w:sz w:val="20"/>
                <w:szCs w:val="20"/>
              </w:rPr>
              <w:t xml:space="preserve">What happens when something changes?</w:t>
            </w:r>
          </w:p>
        </w:tc>
      </w:tr>
      <w:tr>
        <w:tc>
          <w:tcPr>
            <w:tcW w:type="dxa" w:w="2500"/>
            <w:shd w:fill="F2F2F2" w:color="auto" w:val="clear"/>
            <w:tcMar>
              <w:top w:type="dxa" w:w="100"/>
              <w:left w:type="dxa" w:w="140"/>
              <w:bottom w:type="dxa" w:w="100"/>
              <w:right w:type="dxa" w:w="140"/>
            </w:tcMar>
          </w:tcPr>
          <w:p>
            <w:r>
              <w:rPr>
                <w:b w:val="false"/>
                <w:bCs w:val="false"/>
                <w:color w:val="222222"/>
                <w:sz w:val="20"/>
                <w:szCs w:val="20"/>
              </w:rPr>
              <w:t xml:space="preserve">Act</w:t>
            </w:r>
          </w:p>
        </w:tc>
        <w:tc>
          <w:tcPr>
            <w:tcW w:type="dxa" w:w="6900"/>
            <w:shd w:fill="F2F2F2" w:color="auto" w:val="clear"/>
            <w:tcMar>
              <w:top w:type="dxa" w:w="100"/>
              <w:left w:type="dxa" w:w="140"/>
              <w:bottom w:type="dxa" w:w="100"/>
              <w:right w:type="dxa" w:w="140"/>
            </w:tcMar>
          </w:tcPr>
          <w:p>
            <w:r>
              <w:rPr>
                <w:b w:val="false"/>
                <w:bCs w:val="false"/>
                <w:color w:val="222222"/>
                <w:sz w:val="20"/>
                <w:szCs w:val="20"/>
              </w:rPr>
              <w:t xml:space="preserve">What can I do with what I understand?</w:t>
            </w:r>
          </w:p>
        </w:tc>
      </w:tr>
      <w:tr>
        <w:tc>
          <w:tcPr>
            <w:tcW w:type="dxa" w:w="2500"/>
            <w:tcMar>
              <w:top w:type="dxa" w:w="100"/>
              <w:left w:type="dxa" w:w="140"/>
              <w:bottom w:type="dxa" w:w="100"/>
              <w:right w:type="dxa" w:w="140"/>
            </w:tcMar>
          </w:tcPr>
          <w:p>
            <w:r>
              <w:rPr>
                <w:b w:val="false"/>
                <w:bCs w:val="false"/>
                <w:color w:val="222222"/>
                <w:sz w:val="20"/>
                <w:szCs w:val="20"/>
              </w:rPr>
              <w:t xml:space="preserve">Explore</w:t>
            </w:r>
          </w:p>
        </w:tc>
        <w:tc>
          <w:tcPr>
            <w:tcW w:type="dxa" w:w="6900"/>
            <w:tcMar>
              <w:top w:type="dxa" w:w="100"/>
              <w:left w:type="dxa" w:w="140"/>
              <w:bottom w:type="dxa" w:w="100"/>
              <w:right w:type="dxa" w:w="140"/>
            </w:tcMar>
          </w:tcPr>
          <w:p>
            <w:r>
              <w:rPr>
                <w:b w:val="false"/>
                <w:bCs w:val="false"/>
                <w:color w:val="222222"/>
                <w:sz w:val="20"/>
                <w:szCs w:val="20"/>
              </w:rPr>
              <w:t xml:space="preserve">Where could this knowledge take me?</w:t>
            </w:r>
          </w:p>
        </w:tc>
      </w:tr>
    </w:tbl>
    <w:p>
      <w:pPr>
        <w:pStyle w:val="Heading3"/>
        <w:spacing w:after="100" w:before="220"/>
      </w:pPr>
      <w:r>
        <w:rPr>
          <w:b/>
          <w:bCs/>
          <w:color w:val="1B3A4B"/>
          <w:sz w:val="22"/>
          <w:szCs w:val="22"/>
        </w:rPr>
        <w:t xml:space="preserve">Know</w:t>
      </w:r>
    </w:p>
    <w:p>
      <w:pPr>
        <w:spacing w:after="200" w:line="300"/>
        <w:jc w:val="both"/>
      </w:pPr>
      <w:r>
        <w:rPr>
          <w:color w:val="222222"/>
          <w:sz w:val="22"/>
          <w:szCs w:val="22"/>
        </w:rPr>
        <w:t xml:space="preserve">Students build a foundation in ocean science — ecosystems, species, habitats, currents, biodiversity, food webs, geology, weather, coastal processes, and the many ways human life intersects with ocean systems. Knowledge is where Ocean IQ starts. It is only the beginning.</w:t>
      </w:r>
    </w:p>
    <w:p>
      <w:pPr>
        <w:pStyle w:val="Heading3"/>
        <w:spacing w:after="100" w:before="220"/>
      </w:pPr>
      <w:r>
        <w:rPr>
          <w:b/>
          <w:bCs/>
          <w:color w:val="1B3A4B"/>
          <w:sz w:val="22"/>
          <w:szCs w:val="22"/>
        </w:rPr>
        <w:t xml:space="preserve">Connect</w:t>
      </w:r>
    </w:p>
    <w:p>
      <w:pPr>
        <w:spacing w:after="200" w:line="300"/>
        <w:jc w:val="both"/>
      </w:pPr>
      <w:r>
        <w:rPr>
          <w:color w:val="222222"/>
          <w:sz w:val="22"/>
          <w:szCs w:val="22"/>
        </w:rPr>
        <w:t xml:space="preserve">Students learn to trace relationships across a system: a shark depends on its prey, prey depend on reefs, reefs support fisheries, and fisheries in turn support food, jobs, tourism, and entire communities — often hundreds or thousands of miles from any coastline. This is where isolated ocean facts start becoming systems understanding.</w:t>
      </w:r>
    </w:p>
    <w:p>
      <w:pPr>
        <w:pStyle w:val="Heading3"/>
        <w:spacing w:after="100" w:before="220"/>
      </w:pPr>
      <w:r>
        <w:rPr>
          <w:b/>
          <w:bCs/>
          <w:color w:val="1B3A4B"/>
          <w:sz w:val="22"/>
          <w:szCs w:val="22"/>
        </w:rPr>
        <w:t xml:space="preserve">Think</w:t>
      </w:r>
    </w:p>
    <w:p>
      <w:pPr>
        <w:spacing w:after="200" w:line="300"/>
        <w:jc w:val="both"/>
      </w:pPr>
      <w:r>
        <w:rPr>
          <w:color w:val="222222"/>
          <w:sz w:val="22"/>
          <w:szCs w:val="22"/>
        </w:rPr>
        <w:t xml:space="preserve">Students learn to reason about cause and effect, dependencies, feedback, uncertainty, risk, resilience, tradeoffs, and unintended consequences. Rather than stopping at “what is happening to the coral reef,” they learn to ask why it is happening, what else depends on the reef, who is affected if it changes, and whether a proposed fix could create a new problem of its own. That shift — from absorbing information to reasoning through it — is the heart of Ocean IQ.</w:t>
      </w:r>
    </w:p>
    <w:p>
      <w:pPr>
        <w:pStyle w:val="Heading3"/>
        <w:spacing w:after="100" w:before="220"/>
      </w:pPr>
      <w:r>
        <w:rPr>
          <w:b/>
          <w:bCs/>
          <w:color w:val="1B3A4B"/>
          <w:sz w:val="22"/>
          <w:szCs w:val="22"/>
        </w:rPr>
        <w:t xml:space="preserve">Act</w:t>
      </w:r>
    </w:p>
    <w:p>
      <w:pPr>
        <w:spacing w:after="200" w:line="300"/>
        <w:jc w:val="both"/>
      </w:pPr>
      <w:r>
        <w:rPr>
          <w:color w:val="222222"/>
          <w:sz w:val="22"/>
          <w:szCs w:val="22"/>
        </w:rPr>
        <w:t xml:space="preserve">Ocean IQ is meant to produce informed agency, not fear, guilt, or helplessness. Students learn that meaningful action takes many forms: changing personal habits, educating others, joining citizen science projects, supporting community initiatives, investigating problems, building solutions, and eventually pursuing careers that manage, protect, restore, or responsibly use ocean systems. Action is how understanding gets applied.</w:t>
      </w:r>
    </w:p>
    <w:p>
      <w:pPr>
        <w:pStyle w:val="Heading3"/>
        <w:spacing w:after="100" w:before="220"/>
      </w:pPr>
      <w:r>
        <w:rPr>
          <w:b/>
          <w:bCs/>
          <w:color w:val="1B3A4B"/>
          <w:sz w:val="22"/>
          <w:szCs w:val="22"/>
        </w:rPr>
        <w:t xml:space="preserve">Explore</w:t>
      </w:r>
    </w:p>
    <w:p>
      <w:pPr>
        <w:spacing w:after="200" w:line="300"/>
        <w:jc w:val="both"/>
      </w:pPr>
      <w:r>
        <w:rPr>
          <w:color w:val="222222"/>
          <w:sz w:val="22"/>
          <w:szCs w:val="22"/>
        </w:rPr>
        <w:t xml:space="preserve">Ocean literacy should also open doors. Students should encounter the full range of careers and disciplines connected to the ocean — marine biology, oceanography, engineering, robotics, data science, diving, maritime operations, fisheries, aquaculture, medicine, environmental science, law, public policy, risk management, technology, entrepreneurship, communications, and conservation. The point is not to convince every student to pursue an ocean career; it is to show them how many paths actually intersect with the ocean. For some students, Ocean IQ will become a career. For all of them, it should become a lens.</w:t>
      </w:r>
    </w:p>
    <w:p>
      <w:pPr>
        <w:pStyle w:val="Heading1"/>
        <w:pBdr>
          <w:bottom w:val="single" w:color="0E6E73" w:sz="6" w:space="4"/>
        </w:pBdr>
        <w:spacing w:after="200" w:before="480"/>
      </w:pPr>
      <w:r>
        <w:rPr>
          <w:b/>
          <w:bCs/>
          <w:color w:val="1B3A4B"/>
          <w:sz w:val="30"/>
          <w:szCs w:val="30"/>
        </w:rPr>
        <w:t xml:space="preserve">3. Ocean IQ and Systems Thinking</w:t>
      </w:r>
    </w:p>
    <w:p>
      <w:pPr>
        <w:spacing w:after="200" w:line="300"/>
        <w:jc w:val="both"/>
      </w:pPr>
      <w:r>
        <w:rPr>
          <w:color w:val="222222"/>
          <w:sz w:val="22"/>
          <w:szCs w:val="22"/>
        </w:rPr>
        <w:t xml:space="preserve">Systems thinking is what separates Ocean IQ from a conventional ocean curriculum. Rather than presenting the ocean as a set of unconnected topics — one unit on whales, another on pollution, another on coral — Ocean IQ treats it as what it actually is: a system of systems, in which biological, physical, chemical, geological, atmospheric, economic, technological, infrastructure, governance, and human factors are constantly interacting.</w:t>
      </w:r>
    </w:p>
    <w:p>
      <w:pPr>
        <w:spacing w:after="200" w:line="300"/>
        <w:jc w:val="both"/>
      </w:pPr>
      <w:r>
        <w:rPr>
          <w:color w:val="222222"/>
          <w:sz w:val="22"/>
          <w:szCs w:val="22"/>
        </w:rPr>
        <w:t xml:space="preserve">Ocean IQ introduces these relationships at a level appropriate to each age. A five-year-old does not need systems theory, but a five-year-old can understand a simple chain:</w:t>
      </w:r>
    </w:p>
    <w:p>
      <w:pPr>
        <w:pBdr>
          <w:left w:val="single" w:color="0E6E73" w:sz="18" w:space="8"/>
        </w:pBdr>
        <w:spacing w:after="220" w:before="160"/>
        <w:ind w:left="540" w:right="540"/>
      </w:pPr>
      <w:r>
        <w:rPr>
          <w:i/>
          <w:iCs/>
          <w:color w:val="1B3A4B"/>
          <w:sz w:val="22"/>
          <w:szCs w:val="22"/>
        </w:rPr>
        <w:t xml:space="preserve">“The shark needs the fish. The fish need the reef. The reef needs clean water. Everything has a job.”</w:t>
      </w:r>
    </w:p>
    <w:p>
      <w:pPr>
        <w:spacing w:after="200" w:line="300"/>
        <w:jc w:val="both"/>
      </w:pPr>
      <w:r>
        <w:rPr>
          <w:color w:val="222222"/>
          <w:sz w:val="22"/>
          <w:szCs w:val="22"/>
        </w:rPr>
        <w:t xml:space="preserve">A nine-year-old can start mapping food webs and the relationships between species and habitats. A thirteen-year-old can investigate what happens when one part of an ecosystem changes. A seventeen-year-old can work through cascading effects, competing interests, economic dependencies, conservation tradeoffs, resilience, and policy decisions.</w:t>
      </w:r>
    </w:p>
    <w:p>
      <w:pPr>
        <w:spacing w:after="200" w:line="300"/>
        <w:jc w:val="both"/>
      </w:pPr>
      <w:r>
        <w:rPr>
          <w:color w:val="222222"/>
          <w:sz w:val="22"/>
          <w:szCs w:val="22"/>
        </w:rPr>
        <w:t xml:space="preserve">The sophistication changes with age. The underlying idea does not: everything is connected.</w:t>
      </w:r>
    </w:p>
    <w:p>
      <w:pPr>
        <w:pStyle w:val="Heading1"/>
        <w:pBdr>
          <w:bottom w:val="single" w:color="0E6E73" w:sz="6" w:space="4"/>
        </w:pBdr>
        <w:spacing w:after="200" w:before="480"/>
      </w:pPr>
      <w:r>
        <w:rPr>
          <w:b/>
          <w:bCs/>
          <w:color w:val="1B3A4B"/>
          <w:sz w:val="30"/>
          <w:szCs w:val="30"/>
        </w:rPr>
        <w:t xml:space="preserve">4. Ocean IQ Across Ages 3–18</w:t>
      </w:r>
    </w:p>
    <w:p>
      <w:pPr>
        <w:spacing w:after="200" w:line="300"/>
        <w:jc w:val="both"/>
      </w:pPr>
      <w:r>
        <w:rPr>
          <w:color w:val="222222"/>
          <w:sz w:val="22"/>
          <w:szCs w:val="22"/>
        </w:rPr>
        <w:t xml:space="preserve">Ocean IQ is a developmental continuum. The underlying principles stay consistent from early childhood through high school, while the science, vocabulary, systems thinking, personal responsibility, and complexity all increase as students mature.</w:t>
      </w:r>
    </w:p>
    <w:p>
      <w:pPr>
        <w:pStyle w:val="Heading3"/>
        <w:spacing w:after="100" w:before="220"/>
      </w:pPr>
      <w:r>
        <w:rPr>
          <w:b/>
          <w:bCs/>
          <w:color w:val="1B3A4B"/>
          <w:sz w:val="22"/>
          <w:szCs w:val="22"/>
        </w:rPr>
        <w:t xml:space="preserve">Ages 3–6 — Discover</w:t>
      </w:r>
    </w:p>
    <w:p>
      <w:pPr>
        <w:spacing w:after="200" w:line="300"/>
        <w:jc w:val="both"/>
      </w:pPr>
      <w:r>
        <w:rPr>
          <w:color w:val="222222"/>
          <w:sz w:val="22"/>
          <w:szCs w:val="22"/>
        </w:rPr>
        <w:t xml:space="preserve">Primary objective: wonder, curiosity, and connection. At this stage, students are introduced to the ocean through stories, animals, exploration, and simple relationships — illustrated encounters rather than abstractions. They begin to learn that the ocean is full of life, that different animals and habitats each play an important role, and that people are connected to the ocean even if they do not live anywhere near a coastline. Fear and common misconceptions are addressed gently, through curiosity and simple facts rather than lecture. The central questions at this age are what is it, what lives there, why is it special, and how can I care for it. Ocean IQ begins with wonder.</w:t>
      </w:r>
    </w:p>
    <w:p>
      <w:pPr>
        <w:pStyle w:val="Heading3"/>
        <w:spacing w:after="100" w:before="220"/>
      </w:pPr>
      <w:r>
        <w:rPr>
          <w:b/>
          <w:bCs/>
          <w:color w:val="1B3A4B"/>
          <w:sz w:val="22"/>
          <w:szCs w:val="22"/>
        </w:rPr>
        <w:t xml:space="preserve">Ages 7–10 — Understand</w:t>
      </w:r>
    </w:p>
    <w:p>
      <w:pPr>
        <w:spacing w:after="200" w:line="300"/>
        <w:jc w:val="both"/>
      </w:pPr>
      <w:r>
        <w:rPr>
          <w:color w:val="222222"/>
          <w:sz w:val="22"/>
          <w:szCs w:val="22"/>
        </w:rPr>
        <w:t xml:space="preserve">Primary objective: knowledge, relationships, and responsible action. Students move beyond simply identifying animals and habitats and start exploring how ocean organisms and physical processes actually work. They learn to tell myths from evidence and begin to understand the relationships among predators, prey, habitats, people, and the environment. This is also where students are introduced to conservation, ocean exploration, and the range of careers connected to the ocean. The central questions become how does it work, why does it matter, what is it connected to, and what can I do to help. Curiosity starts developing into understanding.</w:t>
      </w:r>
    </w:p>
    <w:p>
      <w:pPr>
        <w:pStyle w:val="Heading3"/>
        <w:spacing w:after="100" w:before="220"/>
      </w:pPr>
      <w:r>
        <w:rPr>
          <w:b/>
          <w:bCs/>
          <w:color w:val="1B3A4B"/>
          <w:sz w:val="22"/>
          <w:szCs w:val="22"/>
        </w:rPr>
        <w:t xml:space="preserve">Ages 11–14 — Connect</w:t>
      </w:r>
    </w:p>
    <w:p>
      <w:pPr>
        <w:spacing w:after="200" w:line="300"/>
        <w:jc w:val="both"/>
      </w:pPr>
      <w:r>
        <w:rPr>
          <w:color w:val="222222"/>
          <w:sz w:val="22"/>
          <w:szCs w:val="22"/>
        </w:rPr>
        <w:t xml:space="preserve">Primary objective: systems awareness, cause and effect, problem-solving, and exploration. Students begin examining the ocean as an interconnected system rather than a collection of separate species and environmental issues — investigating food webs, biodiversity, habitats, human activity, technology, communities, economies, conservation, and changing environmental conditions. They start asking what happens when one part of a system changes, and they work through dependencies, consequences, competing needs, possible solutions, and unintended effects. Career exploration becomes more substantial here, exposing students to scientific, technical, operational, creative, and professional fields tied to the ocean. The central questions shift to how is this connected, what depends on it, what happens if something changes, and what problems could we solve. Understanding develops into systems thinking.</w:t>
      </w:r>
    </w:p>
    <w:p>
      <w:pPr>
        <w:pStyle w:val="Heading3"/>
        <w:spacing w:after="100" w:before="220"/>
      </w:pPr>
      <w:r>
        <w:rPr>
          <w:b/>
          <w:bCs/>
          <w:color w:val="1B3A4B"/>
          <w:sz w:val="22"/>
          <w:szCs w:val="22"/>
        </w:rPr>
        <w:t xml:space="preserve">Ages 15–18 — Think &amp; Act</w:t>
      </w:r>
    </w:p>
    <w:p>
      <w:pPr>
        <w:spacing w:after="200" w:line="300"/>
        <w:jc w:val="both"/>
      </w:pPr>
      <w:r>
        <w:rPr>
          <w:color w:val="222222"/>
          <w:sz w:val="22"/>
          <w:szCs w:val="22"/>
        </w:rPr>
        <w:t xml:space="preserve">Primary objective: systems thinking, critical analysis, decision-making, careers, leadership, and meaningful action. Students take on genuinely complex ocean challenges that span science, ecology, economics, technology, infrastructure, risk, conservation, communities, and governance — weighing uncertainty, competing priorities, tradeoffs, resilience, intervention strategies, and unintended consequences. The bar rises from identifying a problem to analyzing one: what is happening, why is it happening, what systems are involved, who or what is affected, what are the risks of doing nothing, what are the risks and benefits of different interventions, and what evidence would be needed before making a decision. Career exploration becomes concrete, connecting students to pathways in science, engineering, technology, maritime operations, medicine, conservation, entrepreneurship, policy, risk management, communications, and education. Students at this level can take on full Ocean IQ projects — investigating a real problem, mapping the system around it, evaluating potential responses, and building an evidence-based action plan. Systems understanding develops into informed action.</w:t>
      </w:r>
    </w:p>
    <w:p>
      <w:pPr>
        <w:pStyle w:val="Heading2"/>
        <w:spacing w:after="140" w:before="320"/>
      </w:pPr>
      <w:r>
        <w:rPr>
          <w:b/>
          <w:bCs/>
          <w:color w:val="0E6E73"/>
          <w:sz w:val="24"/>
          <w:szCs w:val="24"/>
        </w:rPr>
        <w:t xml:space="preserve">Quick Reference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600"/>
        <w:gridCol w:w="2400"/>
        <w:gridCol w:w="5400"/>
      </w:tblGrid>
      <w:tr>
        <w:trPr>
          <w:tblHeader/>
        </w:trPr>
        <w:tc>
          <w:tcPr>
            <w:tcW w:type="dxa" w:w="1600"/>
            <w:shd w:fill="1B3A4B" w:color="auto" w:val="clear"/>
            <w:tcMar>
              <w:top w:type="dxa" w:w="100"/>
              <w:left w:type="dxa" w:w="140"/>
              <w:bottom w:type="dxa" w:w="100"/>
              <w:right w:type="dxa" w:w="140"/>
            </w:tcMar>
          </w:tcPr>
          <w:p>
            <w:r>
              <w:rPr>
                <w:b/>
                <w:bCs/>
                <w:color w:val="FFFFFF"/>
                <w:sz w:val="20"/>
                <w:szCs w:val="20"/>
              </w:rPr>
              <w:t xml:space="preserve">Ages</w:t>
            </w:r>
          </w:p>
        </w:tc>
        <w:tc>
          <w:tcPr>
            <w:tcW w:type="dxa" w:w="2400"/>
            <w:shd w:fill="1B3A4B" w:color="auto" w:val="clear"/>
            <w:tcMar>
              <w:top w:type="dxa" w:w="100"/>
              <w:left w:type="dxa" w:w="140"/>
              <w:bottom w:type="dxa" w:w="100"/>
              <w:right w:type="dxa" w:w="140"/>
            </w:tcMar>
          </w:tcPr>
          <w:p>
            <w:r>
              <w:rPr>
                <w:b/>
                <w:bCs/>
                <w:color w:val="FFFFFF"/>
                <w:sz w:val="20"/>
                <w:szCs w:val="20"/>
              </w:rPr>
              <w:t xml:space="preserve">Stage</w:t>
            </w:r>
          </w:p>
        </w:tc>
        <w:tc>
          <w:tcPr>
            <w:tcW w:type="dxa" w:w="5400"/>
            <w:shd w:fill="1B3A4B" w:color="auto" w:val="clear"/>
            <w:tcMar>
              <w:top w:type="dxa" w:w="100"/>
              <w:left w:type="dxa" w:w="140"/>
              <w:bottom w:type="dxa" w:w="100"/>
              <w:right w:type="dxa" w:w="140"/>
            </w:tcMar>
          </w:tcPr>
          <w:p>
            <w:r>
              <w:rPr>
                <w:b/>
                <w:bCs/>
                <w:color w:val="FFFFFF"/>
                <w:sz w:val="20"/>
                <w:szCs w:val="20"/>
              </w:rPr>
              <w:t xml:space="preserve">Central Shift</w:t>
            </w:r>
          </w:p>
        </w:tc>
      </w:tr>
      <w:tr>
        <w:tc>
          <w:tcPr>
            <w:tcW w:type="dxa" w:w="1600"/>
            <w:tcMar>
              <w:top w:type="dxa" w:w="100"/>
              <w:left w:type="dxa" w:w="140"/>
              <w:bottom w:type="dxa" w:w="100"/>
              <w:right w:type="dxa" w:w="140"/>
            </w:tcMar>
          </w:tcPr>
          <w:p>
            <w:r>
              <w:rPr>
                <w:b w:val="false"/>
                <w:bCs w:val="false"/>
                <w:color w:val="222222"/>
                <w:sz w:val="20"/>
                <w:szCs w:val="20"/>
              </w:rPr>
              <w:t xml:space="preserve">3–6</w:t>
            </w:r>
          </w:p>
        </w:tc>
        <w:tc>
          <w:tcPr>
            <w:tcW w:type="dxa" w:w="2400"/>
            <w:tcMar>
              <w:top w:type="dxa" w:w="100"/>
              <w:left w:type="dxa" w:w="140"/>
              <w:bottom w:type="dxa" w:w="100"/>
              <w:right w:type="dxa" w:w="140"/>
            </w:tcMar>
          </w:tcPr>
          <w:p>
            <w:r>
              <w:rPr>
                <w:b w:val="false"/>
                <w:bCs w:val="false"/>
                <w:color w:val="222222"/>
                <w:sz w:val="20"/>
                <w:szCs w:val="20"/>
              </w:rPr>
              <w:t xml:space="preserve">Discover</w:t>
            </w:r>
          </w:p>
        </w:tc>
        <w:tc>
          <w:tcPr>
            <w:tcW w:type="dxa" w:w="5400"/>
            <w:tcMar>
              <w:top w:type="dxa" w:w="100"/>
              <w:left w:type="dxa" w:w="140"/>
              <w:bottom w:type="dxa" w:w="100"/>
              <w:right w:type="dxa" w:w="140"/>
            </w:tcMar>
          </w:tcPr>
          <w:p>
            <w:r>
              <w:rPr>
                <w:b w:val="false"/>
                <w:bCs w:val="false"/>
                <w:color w:val="222222"/>
                <w:sz w:val="20"/>
                <w:szCs w:val="20"/>
              </w:rPr>
              <w:t xml:space="preserve">Wonder and simple connection</w:t>
            </w:r>
          </w:p>
        </w:tc>
      </w:tr>
      <w:tr>
        <w:tc>
          <w:tcPr>
            <w:tcW w:type="dxa" w:w="1600"/>
            <w:shd w:fill="F2F2F2" w:color="auto" w:val="clear"/>
            <w:tcMar>
              <w:top w:type="dxa" w:w="100"/>
              <w:left w:type="dxa" w:w="140"/>
              <w:bottom w:type="dxa" w:w="100"/>
              <w:right w:type="dxa" w:w="140"/>
            </w:tcMar>
          </w:tcPr>
          <w:p>
            <w:r>
              <w:rPr>
                <w:b w:val="false"/>
                <w:bCs w:val="false"/>
                <w:color w:val="222222"/>
                <w:sz w:val="20"/>
                <w:szCs w:val="20"/>
              </w:rPr>
              <w:t xml:space="preserve">7–10</w:t>
            </w:r>
          </w:p>
        </w:tc>
        <w:tc>
          <w:tcPr>
            <w:tcW w:type="dxa" w:w="2400"/>
            <w:shd w:fill="F2F2F2" w:color="auto" w:val="clear"/>
            <w:tcMar>
              <w:top w:type="dxa" w:w="100"/>
              <w:left w:type="dxa" w:w="140"/>
              <w:bottom w:type="dxa" w:w="100"/>
              <w:right w:type="dxa" w:w="140"/>
            </w:tcMar>
          </w:tcPr>
          <w:p>
            <w:r>
              <w:rPr>
                <w:b w:val="false"/>
                <w:bCs w:val="false"/>
                <w:color w:val="222222"/>
                <w:sz w:val="20"/>
                <w:szCs w:val="20"/>
              </w:rPr>
              <w:t xml:space="preserve">Understand</w:t>
            </w:r>
          </w:p>
        </w:tc>
        <w:tc>
          <w:tcPr>
            <w:tcW w:type="dxa" w:w="5400"/>
            <w:shd w:fill="F2F2F2" w:color="auto" w:val="clear"/>
            <w:tcMar>
              <w:top w:type="dxa" w:w="100"/>
              <w:left w:type="dxa" w:w="140"/>
              <w:bottom w:type="dxa" w:w="100"/>
              <w:right w:type="dxa" w:w="140"/>
            </w:tcMar>
          </w:tcPr>
          <w:p>
            <w:r>
              <w:rPr>
                <w:b w:val="false"/>
                <w:bCs w:val="false"/>
                <w:color w:val="222222"/>
                <w:sz w:val="20"/>
                <w:szCs w:val="20"/>
              </w:rPr>
              <w:t xml:space="preserve">Knowledge and relationships</w:t>
            </w:r>
          </w:p>
        </w:tc>
      </w:tr>
      <w:tr>
        <w:tc>
          <w:tcPr>
            <w:tcW w:type="dxa" w:w="1600"/>
            <w:tcMar>
              <w:top w:type="dxa" w:w="100"/>
              <w:left w:type="dxa" w:w="140"/>
              <w:bottom w:type="dxa" w:w="100"/>
              <w:right w:type="dxa" w:w="140"/>
            </w:tcMar>
          </w:tcPr>
          <w:p>
            <w:r>
              <w:rPr>
                <w:b w:val="false"/>
                <w:bCs w:val="false"/>
                <w:color w:val="222222"/>
                <w:sz w:val="20"/>
                <w:szCs w:val="20"/>
              </w:rPr>
              <w:t xml:space="preserve">11–14</w:t>
            </w:r>
          </w:p>
        </w:tc>
        <w:tc>
          <w:tcPr>
            <w:tcW w:type="dxa" w:w="2400"/>
            <w:tcMar>
              <w:top w:type="dxa" w:w="100"/>
              <w:left w:type="dxa" w:w="140"/>
              <w:bottom w:type="dxa" w:w="100"/>
              <w:right w:type="dxa" w:w="140"/>
            </w:tcMar>
          </w:tcPr>
          <w:p>
            <w:r>
              <w:rPr>
                <w:b w:val="false"/>
                <w:bCs w:val="false"/>
                <w:color w:val="222222"/>
                <w:sz w:val="20"/>
                <w:szCs w:val="20"/>
              </w:rPr>
              <w:t xml:space="preserve">Connect</w:t>
            </w:r>
          </w:p>
        </w:tc>
        <w:tc>
          <w:tcPr>
            <w:tcW w:type="dxa" w:w="5400"/>
            <w:tcMar>
              <w:top w:type="dxa" w:w="100"/>
              <w:left w:type="dxa" w:w="140"/>
              <w:bottom w:type="dxa" w:w="100"/>
              <w:right w:type="dxa" w:w="140"/>
            </w:tcMar>
          </w:tcPr>
          <w:p>
            <w:r>
              <w:rPr>
                <w:b w:val="false"/>
                <w:bCs w:val="false"/>
                <w:color w:val="222222"/>
                <w:sz w:val="20"/>
                <w:szCs w:val="20"/>
              </w:rPr>
              <w:t xml:space="preserve">Systems awareness and problem-solving</w:t>
            </w:r>
          </w:p>
        </w:tc>
      </w:tr>
      <w:tr>
        <w:tc>
          <w:tcPr>
            <w:tcW w:type="dxa" w:w="1600"/>
            <w:shd w:fill="F2F2F2" w:color="auto" w:val="clear"/>
            <w:tcMar>
              <w:top w:type="dxa" w:w="100"/>
              <w:left w:type="dxa" w:w="140"/>
              <w:bottom w:type="dxa" w:w="100"/>
              <w:right w:type="dxa" w:w="140"/>
            </w:tcMar>
          </w:tcPr>
          <w:p>
            <w:r>
              <w:rPr>
                <w:b w:val="false"/>
                <w:bCs w:val="false"/>
                <w:color w:val="222222"/>
                <w:sz w:val="20"/>
                <w:szCs w:val="20"/>
              </w:rPr>
              <w:t xml:space="preserve">15–18</w:t>
            </w:r>
          </w:p>
        </w:tc>
        <w:tc>
          <w:tcPr>
            <w:tcW w:type="dxa" w:w="2400"/>
            <w:shd w:fill="F2F2F2" w:color="auto" w:val="clear"/>
            <w:tcMar>
              <w:top w:type="dxa" w:w="100"/>
              <w:left w:type="dxa" w:w="140"/>
              <w:bottom w:type="dxa" w:w="100"/>
              <w:right w:type="dxa" w:w="140"/>
            </w:tcMar>
          </w:tcPr>
          <w:p>
            <w:r>
              <w:rPr>
                <w:b w:val="false"/>
                <w:bCs w:val="false"/>
                <w:color w:val="222222"/>
                <w:sz w:val="20"/>
                <w:szCs w:val="20"/>
              </w:rPr>
              <w:t xml:space="preserve">Think &amp; Act</w:t>
            </w:r>
          </w:p>
        </w:tc>
        <w:tc>
          <w:tcPr>
            <w:tcW w:type="dxa" w:w="5400"/>
            <w:shd w:fill="F2F2F2" w:color="auto" w:val="clear"/>
            <w:tcMar>
              <w:top w:type="dxa" w:w="100"/>
              <w:left w:type="dxa" w:w="140"/>
              <w:bottom w:type="dxa" w:w="100"/>
              <w:right w:type="dxa" w:w="140"/>
            </w:tcMar>
          </w:tcPr>
          <w:p>
            <w:r>
              <w:rPr>
                <w:b w:val="false"/>
                <w:bCs w:val="false"/>
                <w:color w:val="222222"/>
                <w:sz w:val="20"/>
                <w:szCs w:val="20"/>
              </w:rPr>
              <w:t xml:space="preserve">Critical analysis and informed action</w:t>
            </w:r>
          </w:p>
        </w:tc>
      </w:tr>
    </w:tbl>
    <w:p>
      <w:pPr>
        <w:pStyle w:val="Heading1"/>
        <w:pBdr>
          <w:bottom w:val="single" w:color="0E6E73" w:sz="6" w:space="4"/>
        </w:pBdr>
        <w:spacing w:after="200" w:before="480"/>
      </w:pPr>
      <w:r>
        <w:rPr>
          <w:b/>
          <w:bCs/>
          <w:color w:val="1B3A4B"/>
          <w:sz w:val="30"/>
          <w:szCs w:val="30"/>
        </w:rPr>
        <w:t xml:space="preserve">5. The Ocean IQ Developmental Progression</w:t>
      </w:r>
    </w:p>
    <w:p>
      <w:pPr>
        <w:spacing w:after="200" w:line="300"/>
        <w:jc w:val="both"/>
      </w:pPr>
      <w:r>
        <w:rPr>
          <w:color w:val="222222"/>
          <w:sz w:val="22"/>
          <w:szCs w:val="22"/>
        </w:rPr>
        <w:t xml:space="preserve">The four age groups establish one consistent learning architecture for books, curriculum, classroom activities, assessments, and videos across the Institute. Read together, they trace a single line:</w:t>
      </w:r>
    </w:p>
    <w:p>
      <w:pPr>
        <w:pBdr>
          <w:left w:val="single" w:color="0E6E73" w:sz="18" w:space="8"/>
        </w:pBdr>
        <w:spacing w:after="220" w:before="160"/>
        <w:ind w:left="540" w:right="540"/>
      </w:pPr>
      <w:r>
        <w:rPr>
          <w:i/>
          <w:iCs/>
          <w:color w:val="1B3A4B"/>
          <w:sz w:val="22"/>
          <w:szCs w:val="22"/>
        </w:rPr>
        <w:t xml:space="preserve">Wonder → Knowledge → Understanding → Connection → Systems Thinking → Informed Action</w:t>
      </w:r>
    </w:p>
    <w:p>
      <w:pPr>
        <w:spacing w:after="200" w:line="300"/>
        <w:jc w:val="both"/>
      </w:pPr>
      <w:r>
        <w:rPr>
          <w:color w:val="222222"/>
          <w:sz w:val="22"/>
          <w:szCs w:val="22"/>
        </w:rPr>
        <w:t xml:space="preserve">The goal is not for students to simply accumulate more ocean facts as they move through school — it is for how they think about the ocean to mature. A young child learns that sharks are important. An elementary student learns why. A middle-schooler investigates how sharks affect food webs and ecosystem relationships. A high-schooler analyzes how predator populations interact with ecological health, fisheries, tourism, public perception, conservation policy, economics, and human behavior. The subject can stay the same from one book to the next — it is the Ocean IQ behind it that deepens.</w:t>
      </w:r>
    </w:p>
    <w:p>
      <w:pPr>
        <w:pStyle w:val="Heading1"/>
        <w:pBdr>
          <w:bottom w:val="single" w:color="0E6E73" w:sz="6" w:space="4"/>
        </w:pBdr>
        <w:spacing w:after="200" w:before="480"/>
      </w:pPr>
      <w:r>
        <w:rPr>
          <w:b/>
          <w:bCs/>
          <w:color w:val="1B3A4B"/>
          <w:sz w:val="30"/>
          <w:szCs w:val="30"/>
        </w:rPr>
        <w:t xml:space="preserve">6. Move Toward the Shark: The First Ocean IQ Adventure</w:t>
      </w:r>
    </w:p>
    <w:p>
      <w:pPr>
        <w:spacing w:after="200" w:line="300"/>
        <w:jc w:val="both"/>
      </w:pPr>
      <w:r>
        <w:rPr>
          <w:color w:val="222222"/>
          <w:sz w:val="22"/>
          <w:szCs w:val="22"/>
        </w:rPr>
        <w:t xml:space="preserve">Move Toward the Shark is an ideal introduction to Ocean IQ because the shark is both an ecological subject and one of the most common human misconceptions. Students often approach sharks through fear; the educational journey moves them toward understanding. The same core subject is presented differently at each of the four Ocean IQ levels.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4100"/>
        <w:gridCol w:w="2900"/>
      </w:tblGrid>
      <w:tr>
        <w:trPr>
          <w:tblHeader/>
        </w:trPr>
        <w:tc>
          <w:tcPr>
            <w:tcW w:type="dxa" w:w="2400"/>
            <w:shd w:fill="1B3A4B" w:color="auto" w:val="clear"/>
            <w:tcMar>
              <w:top w:type="dxa" w:w="100"/>
              <w:left w:type="dxa" w:w="140"/>
              <w:bottom w:type="dxa" w:w="100"/>
              <w:right w:type="dxa" w:w="140"/>
            </w:tcMar>
          </w:tcPr>
          <w:p>
            <w:r>
              <w:rPr>
                <w:b/>
                <w:bCs/>
                <w:color w:val="FFFFFF"/>
                <w:sz w:val="20"/>
                <w:szCs w:val="20"/>
              </w:rPr>
              <w:t xml:space="preserve">Age Group</w:t>
            </w:r>
          </w:p>
        </w:tc>
        <w:tc>
          <w:tcPr>
            <w:tcW w:type="dxa" w:w="4100"/>
            <w:shd w:fill="1B3A4B" w:color="auto" w:val="clear"/>
            <w:tcMar>
              <w:top w:type="dxa" w:w="100"/>
              <w:left w:type="dxa" w:w="140"/>
              <w:bottom w:type="dxa" w:w="100"/>
              <w:right w:type="dxa" w:w="140"/>
            </w:tcMar>
          </w:tcPr>
          <w:p>
            <w:r>
              <w:rPr>
                <w:b/>
                <w:bCs/>
                <w:color w:val="FFFFFF"/>
                <w:sz w:val="20"/>
                <w:szCs w:val="20"/>
              </w:rPr>
              <w:t xml:space="preserve">Edition Focus</w:t>
            </w:r>
          </w:p>
        </w:tc>
        <w:tc>
          <w:tcPr>
            <w:tcW w:type="dxa" w:w="2900"/>
            <w:shd w:fill="1B3A4B" w:color="auto" w:val="clear"/>
            <w:tcMar>
              <w:top w:type="dxa" w:w="100"/>
              <w:left w:type="dxa" w:w="140"/>
              <w:bottom w:type="dxa" w:w="100"/>
              <w:right w:type="dxa" w:w="140"/>
            </w:tcMar>
          </w:tcPr>
          <w:p>
            <w:r>
              <w:rPr>
                <w:b/>
                <w:bCs/>
                <w:color w:val="FFFFFF"/>
                <w:sz w:val="20"/>
                <w:szCs w:val="20"/>
              </w:rPr>
              <w:t xml:space="preserve">Primary Message</w:t>
            </w:r>
          </w:p>
        </w:tc>
      </w:tr>
      <w:tr>
        <w:tc>
          <w:tcPr>
            <w:tcW w:type="dxa" w:w="2400"/>
            <w:tcMar>
              <w:top w:type="dxa" w:w="100"/>
              <w:left w:type="dxa" w:w="140"/>
              <w:bottom w:type="dxa" w:w="100"/>
              <w:right w:type="dxa" w:w="140"/>
            </w:tcMar>
          </w:tcPr>
          <w:p>
            <w:r>
              <w:rPr>
                <w:b w:val="false"/>
                <w:bCs w:val="false"/>
                <w:color w:val="222222"/>
                <w:sz w:val="20"/>
                <w:szCs w:val="20"/>
              </w:rPr>
              <w:t xml:space="preserve">3–6
Discover the Shark</w:t>
            </w:r>
          </w:p>
        </w:tc>
        <w:tc>
          <w:tcPr>
            <w:tcW w:type="dxa" w:w="4100"/>
            <w:tcMar>
              <w:top w:type="dxa" w:w="100"/>
              <w:left w:type="dxa" w:w="140"/>
              <w:bottom w:type="dxa" w:w="100"/>
              <w:right w:type="dxa" w:w="140"/>
            </w:tcMar>
          </w:tcPr>
          <w:p>
            <w:r>
              <w:rPr>
                <w:b w:val="false"/>
                <w:bCs w:val="false"/>
                <w:color w:val="222222"/>
                <w:sz w:val="20"/>
                <w:szCs w:val="20"/>
              </w:rPr>
              <w:t xml:space="preserve">Sharks introduced through wonder rather than fear — what they are, where they live, how varied they are, and why they belong in the ocean.</w:t>
            </w:r>
          </w:p>
        </w:tc>
        <w:tc>
          <w:tcPr>
            <w:tcW w:type="dxa" w:w="2900"/>
            <w:tcMar>
              <w:top w:type="dxa" w:w="100"/>
              <w:left w:type="dxa" w:w="140"/>
              <w:bottom w:type="dxa" w:w="100"/>
              <w:right w:type="dxa" w:w="140"/>
            </w:tcMar>
          </w:tcPr>
          <w:p>
            <w:r>
              <w:rPr>
                <w:b w:val="false"/>
                <w:bCs w:val="false"/>
                <w:color w:val="222222"/>
                <w:sz w:val="20"/>
                <w:szCs w:val="20"/>
              </w:rPr>
              <w:t xml:space="preserve">“Sharks aren’t monsters. They have an important place in the ocean.”</w:t>
            </w:r>
          </w:p>
        </w:tc>
      </w:tr>
      <w:tr>
        <w:tc>
          <w:tcPr>
            <w:tcW w:type="dxa" w:w="2400"/>
            <w:shd w:fill="F2F2F2" w:color="auto" w:val="clear"/>
            <w:tcMar>
              <w:top w:type="dxa" w:w="100"/>
              <w:left w:type="dxa" w:w="140"/>
              <w:bottom w:type="dxa" w:w="100"/>
              <w:right w:type="dxa" w:w="140"/>
            </w:tcMar>
          </w:tcPr>
          <w:p>
            <w:r>
              <w:rPr>
                <w:b w:val="false"/>
                <w:bCs w:val="false"/>
                <w:color w:val="222222"/>
                <w:sz w:val="20"/>
                <w:szCs w:val="20"/>
              </w:rPr>
              <w:t xml:space="preserve">7–10
Understand the Shark</w:t>
            </w:r>
          </w:p>
        </w:tc>
        <w:tc>
          <w:tcPr>
            <w:tcW w:type="dxa" w:w="4100"/>
            <w:shd w:fill="F2F2F2" w:color="auto" w:val="clear"/>
            <w:tcMar>
              <w:top w:type="dxa" w:w="100"/>
              <w:left w:type="dxa" w:w="140"/>
              <w:bottom w:type="dxa" w:w="100"/>
              <w:right w:type="dxa" w:w="140"/>
            </w:tcMar>
          </w:tcPr>
          <w:p>
            <w:r>
              <w:rPr>
                <w:b w:val="false"/>
                <w:bCs w:val="false"/>
                <w:color w:val="222222"/>
                <w:sz w:val="20"/>
                <w:szCs w:val="20"/>
              </w:rPr>
              <w:t xml:space="preserve">Myths versus facts, shark behavior, habitats, adaptations, food relationships, conservation, and the role sharks play in healthy ecosystems.</w:t>
            </w:r>
          </w:p>
        </w:tc>
        <w:tc>
          <w:tcPr>
            <w:tcW w:type="dxa" w:w="2900"/>
            <w:shd w:fill="F2F2F2" w:color="auto" w:val="clear"/>
            <w:tcMar>
              <w:top w:type="dxa" w:w="100"/>
              <w:left w:type="dxa" w:w="140"/>
              <w:bottom w:type="dxa" w:w="100"/>
              <w:right w:type="dxa" w:w="140"/>
            </w:tcMar>
          </w:tcPr>
          <w:p>
            <w:r>
              <w:rPr>
                <w:b w:val="false"/>
                <w:bCs w:val="false"/>
                <w:color w:val="222222"/>
                <w:sz w:val="20"/>
                <w:szCs w:val="20"/>
              </w:rPr>
              <w:t xml:space="preserve">“Understanding something can change the way we fear it.”</w:t>
            </w:r>
          </w:p>
        </w:tc>
      </w:tr>
      <w:tr>
        <w:tc>
          <w:tcPr>
            <w:tcW w:type="dxa" w:w="2400"/>
            <w:tcMar>
              <w:top w:type="dxa" w:w="100"/>
              <w:left w:type="dxa" w:w="140"/>
              <w:bottom w:type="dxa" w:w="100"/>
              <w:right w:type="dxa" w:w="140"/>
            </w:tcMar>
          </w:tcPr>
          <w:p>
            <w:r>
              <w:rPr>
                <w:b w:val="false"/>
                <w:bCs w:val="false"/>
                <w:color w:val="222222"/>
                <w:sz w:val="20"/>
                <w:szCs w:val="20"/>
              </w:rPr>
              <w:t xml:space="preserve">11–14
Connect the Shark</w:t>
            </w:r>
          </w:p>
        </w:tc>
        <w:tc>
          <w:tcPr>
            <w:tcW w:type="dxa" w:w="4100"/>
            <w:tcMar>
              <w:top w:type="dxa" w:w="100"/>
              <w:left w:type="dxa" w:w="140"/>
              <w:bottom w:type="dxa" w:w="100"/>
              <w:right w:type="dxa" w:w="140"/>
            </w:tcMar>
          </w:tcPr>
          <w:p>
            <w:r>
              <w:rPr>
                <w:b w:val="false"/>
                <w:bCs w:val="false"/>
                <w:color w:val="222222"/>
                <w:sz w:val="20"/>
                <w:szCs w:val="20"/>
              </w:rPr>
              <w:t xml:space="preserve">A systems-thinking case study: predator-prey relationships, food webs, reefs, fisheries, biodiversity, conservation, and human perception.</w:t>
            </w:r>
          </w:p>
        </w:tc>
        <w:tc>
          <w:tcPr>
            <w:tcW w:type="dxa" w:w="2900"/>
            <w:tcMar>
              <w:top w:type="dxa" w:w="100"/>
              <w:left w:type="dxa" w:w="140"/>
              <w:bottom w:type="dxa" w:w="100"/>
              <w:right w:type="dxa" w:w="140"/>
            </w:tcMar>
          </w:tcPr>
          <w:p>
            <w:r>
              <w:rPr>
                <w:b w:val="false"/>
                <w:bCs w:val="false"/>
                <w:color w:val="222222"/>
                <w:sz w:val="20"/>
                <w:szCs w:val="20"/>
              </w:rPr>
              <w:t xml:space="preserve">“Nothing in the ocean exists by itself.”</w:t>
            </w:r>
          </w:p>
        </w:tc>
      </w:tr>
      <w:tr>
        <w:tc>
          <w:tcPr>
            <w:tcW w:type="dxa" w:w="2400"/>
            <w:shd w:fill="F2F2F2" w:color="auto" w:val="clear"/>
            <w:tcMar>
              <w:top w:type="dxa" w:w="100"/>
              <w:left w:type="dxa" w:w="140"/>
              <w:bottom w:type="dxa" w:w="100"/>
              <w:right w:type="dxa" w:w="140"/>
            </w:tcMar>
          </w:tcPr>
          <w:p>
            <w:r>
              <w:rPr>
                <w:b w:val="false"/>
                <w:bCs w:val="false"/>
                <w:color w:val="222222"/>
                <w:sz w:val="20"/>
                <w:szCs w:val="20"/>
              </w:rPr>
              <w:t xml:space="preserve">15–18
Think &amp; Act About the Shark</w:t>
            </w:r>
          </w:p>
        </w:tc>
        <w:tc>
          <w:tcPr>
            <w:tcW w:type="dxa" w:w="4100"/>
            <w:shd w:fill="F2F2F2" w:color="auto" w:val="clear"/>
            <w:tcMar>
              <w:top w:type="dxa" w:w="100"/>
              <w:left w:type="dxa" w:w="140"/>
              <w:bottom w:type="dxa" w:w="100"/>
              <w:right w:type="dxa" w:w="140"/>
            </w:tcMar>
          </w:tcPr>
          <w:p>
            <w:r>
              <w:rPr>
                <w:b w:val="false"/>
                <w:bCs w:val="false"/>
                <w:color w:val="222222"/>
                <w:sz w:val="20"/>
                <w:szCs w:val="20"/>
              </w:rPr>
              <w:t xml:space="preserve">Ecology, risk perception, media, economics, tourism, fisheries, conservation, human behavior, and decision-making.</w:t>
            </w:r>
          </w:p>
        </w:tc>
        <w:tc>
          <w:tcPr>
            <w:tcW w:type="dxa" w:w="2900"/>
            <w:shd w:fill="F2F2F2" w:color="auto" w:val="clear"/>
            <w:tcMar>
              <w:top w:type="dxa" w:w="100"/>
              <w:left w:type="dxa" w:w="140"/>
              <w:bottom w:type="dxa" w:w="100"/>
              <w:right w:type="dxa" w:w="140"/>
            </w:tcMar>
          </w:tcPr>
          <w:p>
            <w:r>
              <w:rPr>
                <w:b w:val="false"/>
                <w:bCs w:val="false"/>
                <w:color w:val="222222"/>
                <w:sz w:val="20"/>
                <w:szCs w:val="20"/>
              </w:rPr>
              <w:t xml:space="preserve">“Move toward understanding before deciding what to fear, protect, change, or act upon.”</w:t>
            </w:r>
          </w:p>
        </w:tc>
      </w:tr>
    </w:tbl>
    <w:p>
      <w:pPr>
        <w:spacing w:after="200" w:line="300"/>
        <w:jc w:val="both"/>
      </w:pPr>
      <w:r>
        <w:rPr>
          <w:color w:val="222222"/>
          <w:sz w:val="22"/>
          <w:szCs w:val="22"/>
        </w:rPr>
        <w:t xml:space="preserve">Across all four editions, the arc is the same: fear gives way to curiosity, curiosity to knowledge, knowledge to connection, connection to understanding, understanding to respect, and respect to action.</w:t>
      </w:r>
    </w:p>
    <w:p>
      <w:pPr>
        <w:spacing w:after="200" w:line="300"/>
        <w:jc w:val="both"/>
      </w:pPr>
      <w:r>
        <w:rPr>
          <w:color w:val="222222"/>
          <w:sz w:val="22"/>
          <w:szCs w:val="22"/>
        </w:rPr>
        <w:t xml:space="preserve">The title Move Toward the Shark carries two meanings. Physically, it comes from real, first-person ocean experience. Intellectually, it means moving toward what you do not understand — investigating it, learning about it, respecting it, and only then deciding what to think or do. That principle extends well beyond sharks.</w:t>
      </w:r>
    </w:p>
    <w:p>
      <w:pPr>
        <w:pStyle w:val="Heading1"/>
        <w:pBdr>
          <w:bottom w:val="single" w:color="0E6E73" w:sz="6" w:space="4"/>
        </w:pBdr>
        <w:spacing w:after="200" w:before="480"/>
      </w:pPr>
      <w:r>
        <w:rPr>
          <w:b/>
          <w:bCs/>
          <w:color w:val="1B3A4B"/>
          <w:sz w:val="30"/>
          <w:szCs w:val="30"/>
        </w:rPr>
        <w:t xml:space="preserve">7. Real Stories as the Learning Vehicle</w:t>
      </w:r>
    </w:p>
    <w:p>
      <w:pPr>
        <w:spacing w:after="200" w:line="300"/>
        <w:jc w:val="both"/>
      </w:pPr>
      <w:r>
        <w:rPr>
          <w:color w:val="222222"/>
          <w:sz w:val="22"/>
          <w:szCs w:val="22"/>
        </w:rPr>
        <w:t xml:space="preserve">Ocean IQ uses authentic ocean stories as the entry point into learning, rather than starting with abstraction. A shark encounter opens into predator ecology. An underwater cave introduces geology, pressure, buoyancy, decision-making, and risk. A current introduces ocean circulation. A coral reef introduces biodiversity and interconnected ecosystems. A rescue dive introduces preparation, responsibility, teamwork, and human physiology. A sargassum bloom introduces ecosystem complexity, coastal impact, innovation, economics, and unintended consequences.</w:t>
      </w:r>
    </w:p>
    <w:p>
      <w:pPr>
        <w:spacing w:after="200" w:line="300"/>
        <w:jc w:val="both"/>
      </w:pPr>
      <w:r>
        <w:rPr>
          <w:color w:val="222222"/>
          <w:sz w:val="22"/>
          <w:szCs w:val="22"/>
        </w:rPr>
        <w:t xml:space="preserve">The story captures attention. The science explains what happened. Systems thinking reveals how it connects to everything else. Reflection draws out the lesson. Action gives the student something to do with it. That sequence repeats throughout the curriculum, and its depth grows as students move through the four age groups:</w:t>
      </w:r>
    </w:p>
    <w:p>
      <w:pPr>
        <w:pBdr>
          <w:left w:val="single" w:color="0E6E73" w:sz="18" w:space="8"/>
        </w:pBdr>
        <w:spacing w:after="220" w:before="160"/>
        <w:ind w:left="540" w:right="540"/>
      </w:pPr>
      <w:r>
        <w:rPr>
          <w:i/>
          <w:iCs/>
          <w:color w:val="1B3A4B"/>
          <w:sz w:val="22"/>
          <w:szCs w:val="22"/>
        </w:rPr>
        <w:t xml:space="preserve">Experience → Investigate → Connect → Think → Act</w:t>
      </w:r>
    </w:p>
    <w:p>
      <w:pPr>
        <w:pStyle w:val="Heading1"/>
        <w:pBdr>
          <w:bottom w:val="single" w:color="0E6E73" w:sz="6" w:space="4"/>
        </w:pBdr>
        <w:spacing w:after="200" w:before="480"/>
      </w:pPr>
      <w:r>
        <w:rPr>
          <w:b/>
          <w:bCs/>
          <w:color w:val="1B3A4B"/>
          <w:sz w:val="30"/>
          <w:szCs w:val="30"/>
        </w:rPr>
        <w:t xml:space="preserve">8. Measuring Ocean IQ</w:t>
      </w:r>
    </w:p>
    <w:p>
      <w:pPr>
        <w:spacing w:after="200" w:line="300"/>
        <w:jc w:val="both"/>
      </w:pPr>
      <w:r>
        <w:rPr>
          <w:color w:val="222222"/>
          <w:sz w:val="22"/>
          <w:szCs w:val="22"/>
        </w:rPr>
        <w:t xml:space="preserve">A meaningful long-term goal for the Institute is to make Ocean IQ measurable, not just aspirational. Age-appropriate assessments could be developed for each of the four stages — 3–6, 7–10, 11–14, and 15–18. Rather than testing memorization, they would evaluate whether a student can:</w:t>
      </w:r>
    </w:p>
    <w:p>
      <w:pPr>
        <w:pStyle w:val="ListParagraph"/>
        <w:numPr>
          <w:ilvl w:val="0"/>
          <w:numId w:val="1"/>
        </w:numPr>
        <w:spacing w:after="90" w:line="280"/>
      </w:pPr>
      <w:r>
        <w:rPr>
          <w:color w:val="222222"/>
          <w:sz w:val="22"/>
          <w:szCs w:val="22"/>
        </w:rPr>
        <w:t xml:space="preserve">Explain fundamental concepts</w:t>
      </w:r>
    </w:p>
    <w:p>
      <w:pPr>
        <w:pStyle w:val="ListParagraph"/>
        <w:numPr>
          <w:ilvl w:val="0"/>
          <w:numId w:val="1"/>
        </w:numPr>
        <w:spacing w:after="90" w:line="280"/>
      </w:pPr>
      <w:r>
        <w:rPr>
          <w:color w:val="222222"/>
          <w:sz w:val="22"/>
          <w:szCs w:val="22"/>
        </w:rPr>
        <w:t xml:space="preserve">Recognize relationships</w:t>
      </w:r>
    </w:p>
    <w:p>
      <w:pPr>
        <w:pStyle w:val="ListParagraph"/>
        <w:numPr>
          <w:ilvl w:val="0"/>
          <w:numId w:val="1"/>
        </w:numPr>
        <w:spacing w:after="90" w:line="280"/>
      </w:pPr>
      <w:r>
        <w:rPr>
          <w:color w:val="222222"/>
          <w:sz w:val="22"/>
          <w:szCs w:val="22"/>
        </w:rPr>
        <w:t xml:space="preserve">Distinguish evidence from misconception</w:t>
      </w:r>
    </w:p>
    <w:p>
      <w:pPr>
        <w:pStyle w:val="ListParagraph"/>
        <w:numPr>
          <w:ilvl w:val="0"/>
          <w:numId w:val="1"/>
        </w:numPr>
        <w:spacing w:after="90" w:line="280"/>
      </w:pPr>
      <w:r>
        <w:rPr>
          <w:color w:val="222222"/>
          <w:sz w:val="22"/>
          <w:szCs w:val="22"/>
        </w:rPr>
        <w:t xml:space="preserve">Identify cause-and-effect relationships</w:t>
      </w:r>
    </w:p>
    <w:p>
      <w:pPr>
        <w:pStyle w:val="ListParagraph"/>
        <w:numPr>
          <w:ilvl w:val="0"/>
          <w:numId w:val="1"/>
        </w:numPr>
        <w:spacing w:after="90" w:line="280"/>
      </w:pPr>
      <w:r>
        <w:rPr>
          <w:color w:val="222222"/>
          <w:sz w:val="22"/>
          <w:szCs w:val="22"/>
        </w:rPr>
        <w:t xml:space="preserve">Analyze systems</w:t>
      </w:r>
    </w:p>
    <w:p>
      <w:pPr>
        <w:pStyle w:val="ListParagraph"/>
        <w:numPr>
          <w:ilvl w:val="0"/>
          <w:numId w:val="1"/>
        </w:numPr>
        <w:spacing w:after="90" w:line="280"/>
      </w:pPr>
      <w:r>
        <w:rPr>
          <w:color w:val="222222"/>
          <w:sz w:val="22"/>
          <w:szCs w:val="22"/>
        </w:rPr>
        <w:t xml:space="preserve">Weigh consequences</w:t>
      </w:r>
    </w:p>
    <w:p>
      <w:pPr>
        <w:pStyle w:val="ListParagraph"/>
        <w:numPr>
          <w:ilvl w:val="0"/>
          <w:numId w:val="1"/>
        </w:numPr>
        <w:spacing w:after="90" w:line="280"/>
      </w:pPr>
      <w:r>
        <w:rPr>
          <w:color w:val="222222"/>
          <w:sz w:val="22"/>
          <w:szCs w:val="22"/>
        </w:rPr>
        <w:t xml:space="preserve">Identify potential solutions</w:t>
      </w:r>
    </w:p>
    <w:p>
      <w:pPr>
        <w:pStyle w:val="ListParagraph"/>
        <w:numPr>
          <w:ilvl w:val="0"/>
          <w:numId w:val="1"/>
        </w:numPr>
        <w:spacing w:after="90" w:line="280"/>
      </w:pPr>
      <w:r>
        <w:rPr>
          <w:color w:val="222222"/>
          <w:sz w:val="22"/>
          <w:szCs w:val="22"/>
        </w:rPr>
        <w:t xml:space="preserve">Recognize relevant careers</w:t>
      </w:r>
    </w:p>
    <w:p>
      <w:pPr>
        <w:pStyle w:val="ListParagraph"/>
        <w:numPr>
          <w:ilvl w:val="0"/>
          <w:numId w:val="1"/>
        </w:numPr>
        <w:spacing w:after="90" w:line="280"/>
      </w:pPr>
      <w:r>
        <w:rPr>
          <w:color w:val="222222"/>
          <w:sz w:val="22"/>
          <w:szCs w:val="22"/>
        </w:rPr>
        <w:t xml:space="preserve">Translate understanding into an appropriate action plan</w:t>
      </w:r>
    </w:p>
    <w:p>
      <w:pPr>
        <w:spacing w:after="200" w:line="300"/>
        <w:jc w:val="both"/>
      </w:pPr>
      <w:r>
        <w:rPr>
          <w:color w:val="222222"/>
          <w:sz w:val="22"/>
          <w:szCs w:val="22"/>
        </w:rPr>
        <w:t xml:space="preserve">A simple pre/post structure — a short activity or assessment before an Ocean IQ learning experience, and again afterward — would let educators and the Institute see whether the experience actually produced measurable improvement, rather than assuming it did.</w:t>
      </w:r>
    </w:p>
    <w:p>
      <w:pPr>
        <w:spacing w:after="200" w:line="300"/>
        <w:jc w:val="both"/>
      </w:pPr>
      <w:r>
        <w:rPr>
          <w:color w:val="222222"/>
          <w:sz w:val="22"/>
          <w:szCs w:val="22"/>
        </w:rPr>
        <w:t xml:space="preserve">Any of this should be developed with the Education Fellows Program, working alongside qualified educators and subject-matter experts, before Ocean IQ is presented anywhere as a standardized or scientifically validated measure.</w:t>
      </w:r>
    </w:p>
    <w:p>
      <w:pPr>
        <w:pStyle w:val="Heading1"/>
        <w:pBdr>
          <w:bottom w:val="single" w:color="0E6E73" w:sz="6" w:space="4"/>
        </w:pBdr>
        <w:spacing w:after="200" w:before="480"/>
      </w:pPr>
      <w:r>
        <w:rPr>
          <w:b/>
          <w:bCs/>
          <w:color w:val="1B3A4B"/>
          <w:sz w:val="30"/>
          <w:szCs w:val="30"/>
        </w:rPr>
        <w:t xml:space="preserve">9. Ocean IQ Learning Pathway</w:t>
      </w:r>
    </w:p>
    <w:p>
      <w:pPr>
        <w:spacing w:after="200" w:line="300"/>
        <w:jc w:val="both"/>
      </w:pPr>
      <w:r>
        <w:rPr>
          <w:color w:val="222222"/>
          <w:sz w:val="22"/>
          <w:szCs w:val="22"/>
        </w:rPr>
        <w:t xml:space="preserve">As the Institute develops, students could progress through identifiable Ocean IQ stages that mirror the developmental framework:</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1400"/>
        <w:gridCol w:w="5400"/>
      </w:tblGrid>
      <w:tr>
        <w:trPr>
          <w:tblHeader/>
        </w:trPr>
        <w:tc>
          <w:tcPr>
            <w:tcW w:type="dxa" w:w="2600"/>
            <w:shd w:fill="1B3A4B" w:color="auto" w:val="clear"/>
            <w:tcMar>
              <w:top w:type="dxa" w:w="100"/>
              <w:left w:type="dxa" w:w="140"/>
              <w:bottom w:type="dxa" w:w="100"/>
              <w:right w:type="dxa" w:w="140"/>
            </w:tcMar>
          </w:tcPr>
          <w:p>
            <w:r>
              <w:rPr>
                <w:b/>
                <w:bCs/>
                <w:color w:val="FFFFFF"/>
                <w:sz w:val="20"/>
                <w:szCs w:val="20"/>
              </w:rPr>
              <w:t xml:space="preserve">Level</w:t>
            </w:r>
          </w:p>
        </w:tc>
        <w:tc>
          <w:tcPr>
            <w:tcW w:type="dxa" w:w="1400"/>
            <w:shd w:fill="1B3A4B" w:color="auto" w:val="clear"/>
            <w:tcMar>
              <w:top w:type="dxa" w:w="100"/>
              <w:left w:type="dxa" w:w="140"/>
              <w:bottom w:type="dxa" w:w="100"/>
              <w:right w:type="dxa" w:w="140"/>
            </w:tcMar>
          </w:tcPr>
          <w:p>
            <w:r>
              <w:rPr>
                <w:b/>
                <w:bCs/>
                <w:color w:val="FFFFFF"/>
                <w:sz w:val="20"/>
                <w:szCs w:val="20"/>
              </w:rPr>
              <w:t xml:space="preserve">Ages</w:t>
            </w:r>
          </w:p>
        </w:tc>
        <w:tc>
          <w:tcPr>
            <w:tcW w:type="dxa" w:w="5400"/>
            <w:shd w:fill="1B3A4B" w:color="auto" w:val="clear"/>
            <w:tcMar>
              <w:top w:type="dxa" w:w="100"/>
              <w:left w:type="dxa" w:w="140"/>
              <w:bottom w:type="dxa" w:w="100"/>
              <w:right w:type="dxa" w:w="140"/>
            </w:tcMar>
          </w:tcPr>
          <w:p>
            <w:r>
              <w:rPr>
                <w:b/>
                <w:bCs/>
                <w:color w:val="FFFFFF"/>
                <w:sz w:val="20"/>
                <w:szCs w:val="20"/>
              </w:rPr>
              <w:t xml:space="preserve">Description</w:t>
            </w:r>
          </w:p>
        </w:tc>
      </w:tr>
      <w:tr>
        <w:tc>
          <w:tcPr>
            <w:tcW w:type="dxa" w:w="2600"/>
            <w:tcMar>
              <w:top w:type="dxa" w:w="100"/>
              <w:left w:type="dxa" w:w="140"/>
              <w:bottom w:type="dxa" w:w="100"/>
              <w:right w:type="dxa" w:w="140"/>
            </w:tcMar>
          </w:tcPr>
          <w:p>
            <w:r>
              <w:rPr>
                <w:b w:val="false"/>
                <w:bCs w:val="false"/>
                <w:color w:val="222222"/>
                <w:sz w:val="20"/>
                <w:szCs w:val="20"/>
              </w:rPr>
              <w:t xml:space="preserve">Ocean IQ Explorer</w:t>
            </w:r>
          </w:p>
        </w:tc>
        <w:tc>
          <w:tcPr>
            <w:tcW w:type="dxa" w:w="1400"/>
            <w:tcMar>
              <w:top w:type="dxa" w:w="100"/>
              <w:left w:type="dxa" w:w="140"/>
              <w:bottom w:type="dxa" w:w="100"/>
              <w:right w:type="dxa" w:w="140"/>
            </w:tcMar>
          </w:tcPr>
          <w:p>
            <w:r>
              <w:rPr>
                <w:b w:val="false"/>
                <w:bCs w:val="false"/>
                <w:color w:val="222222"/>
                <w:sz w:val="20"/>
                <w:szCs w:val="20"/>
              </w:rPr>
              <w:t xml:space="preserve">3–6</w:t>
            </w:r>
          </w:p>
        </w:tc>
        <w:tc>
          <w:tcPr>
            <w:tcW w:type="dxa" w:w="5400"/>
            <w:tcMar>
              <w:top w:type="dxa" w:w="100"/>
              <w:left w:type="dxa" w:w="140"/>
              <w:bottom w:type="dxa" w:w="100"/>
              <w:right w:type="dxa" w:w="140"/>
            </w:tcMar>
          </w:tcPr>
          <w:p>
            <w:r>
              <w:rPr>
                <w:b w:val="false"/>
                <w:bCs w:val="false"/>
                <w:color w:val="222222"/>
                <w:sz w:val="20"/>
                <w:szCs w:val="20"/>
              </w:rPr>
              <w:t xml:space="preserve">Discovering the ocean through curiosity and wonder</w:t>
            </w:r>
          </w:p>
        </w:tc>
      </w:tr>
      <w:tr>
        <w:tc>
          <w:tcPr>
            <w:tcW w:type="dxa" w:w="2600"/>
            <w:shd w:fill="F2F2F2" w:color="auto" w:val="clear"/>
            <w:tcMar>
              <w:top w:type="dxa" w:w="100"/>
              <w:left w:type="dxa" w:w="140"/>
              <w:bottom w:type="dxa" w:w="100"/>
              <w:right w:type="dxa" w:w="140"/>
            </w:tcMar>
          </w:tcPr>
          <w:p>
            <w:r>
              <w:rPr>
                <w:b w:val="false"/>
                <w:bCs w:val="false"/>
                <w:color w:val="222222"/>
                <w:sz w:val="20"/>
                <w:szCs w:val="20"/>
              </w:rPr>
              <w:t xml:space="preserve">Ocean IQ Investigator</w:t>
            </w:r>
          </w:p>
        </w:tc>
        <w:tc>
          <w:tcPr>
            <w:tcW w:type="dxa" w:w="1400"/>
            <w:shd w:fill="F2F2F2" w:color="auto" w:val="clear"/>
            <w:tcMar>
              <w:top w:type="dxa" w:w="100"/>
              <w:left w:type="dxa" w:w="140"/>
              <w:bottom w:type="dxa" w:w="100"/>
              <w:right w:type="dxa" w:w="140"/>
            </w:tcMar>
          </w:tcPr>
          <w:p>
            <w:r>
              <w:rPr>
                <w:b w:val="false"/>
                <w:bCs w:val="false"/>
                <w:color w:val="222222"/>
                <w:sz w:val="20"/>
                <w:szCs w:val="20"/>
              </w:rPr>
              <w:t xml:space="preserve">7–10</w:t>
            </w:r>
          </w:p>
        </w:tc>
        <w:tc>
          <w:tcPr>
            <w:tcW w:type="dxa" w:w="5400"/>
            <w:shd w:fill="F2F2F2" w:color="auto" w:val="clear"/>
            <w:tcMar>
              <w:top w:type="dxa" w:w="100"/>
              <w:left w:type="dxa" w:w="140"/>
              <w:bottom w:type="dxa" w:w="100"/>
              <w:right w:type="dxa" w:w="140"/>
            </w:tcMar>
          </w:tcPr>
          <w:p>
            <w:r>
              <w:rPr>
                <w:b w:val="false"/>
                <w:bCs w:val="false"/>
                <w:color w:val="222222"/>
                <w:sz w:val="20"/>
                <w:szCs w:val="20"/>
              </w:rPr>
              <w:t xml:space="preserve">Understanding how the ocean and its inhabitants work</w:t>
            </w:r>
          </w:p>
        </w:tc>
      </w:tr>
      <w:tr>
        <w:tc>
          <w:tcPr>
            <w:tcW w:type="dxa" w:w="2600"/>
            <w:tcMar>
              <w:top w:type="dxa" w:w="100"/>
              <w:left w:type="dxa" w:w="140"/>
              <w:bottom w:type="dxa" w:w="100"/>
              <w:right w:type="dxa" w:w="140"/>
            </w:tcMar>
          </w:tcPr>
          <w:p>
            <w:r>
              <w:rPr>
                <w:b w:val="false"/>
                <w:bCs w:val="false"/>
                <w:color w:val="222222"/>
                <w:sz w:val="20"/>
                <w:szCs w:val="20"/>
              </w:rPr>
              <w:t xml:space="preserve">Ocean IQ Connector</w:t>
            </w:r>
          </w:p>
        </w:tc>
        <w:tc>
          <w:tcPr>
            <w:tcW w:type="dxa" w:w="1400"/>
            <w:tcMar>
              <w:top w:type="dxa" w:w="100"/>
              <w:left w:type="dxa" w:w="140"/>
              <w:bottom w:type="dxa" w:w="100"/>
              <w:right w:type="dxa" w:w="140"/>
            </w:tcMar>
          </w:tcPr>
          <w:p>
            <w:r>
              <w:rPr>
                <w:b w:val="false"/>
                <w:bCs w:val="false"/>
                <w:color w:val="222222"/>
                <w:sz w:val="20"/>
                <w:szCs w:val="20"/>
              </w:rPr>
              <w:t xml:space="preserve">11–14</w:t>
            </w:r>
          </w:p>
        </w:tc>
        <w:tc>
          <w:tcPr>
            <w:tcW w:type="dxa" w:w="5400"/>
            <w:tcMar>
              <w:top w:type="dxa" w:w="100"/>
              <w:left w:type="dxa" w:w="140"/>
              <w:bottom w:type="dxa" w:w="100"/>
              <w:right w:type="dxa" w:w="140"/>
            </w:tcMar>
          </w:tcPr>
          <w:p>
            <w:r>
              <w:rPr>
                <w:b w:val="false"/>
                <w:bCs w:val="false"/>
                <w:color w:val="222222"/>
                <w:sz w:val="20"/>
                <w:szCs w:val="20"/>
              </w:rPr>
              <w:t xml:space="preserve">Recognizing relationships, dependencies, and consequences</w:t>
            </w:r>
          </w:p>
        </w:tc>
      </w:tr>
      <w:tr>
        <w:tc>
          <w:tcPr>
            <w:tcW w:type="dxa" w:w="2600"/>
            <w:shd w:fill="F2F2F2" w:color="auto" w:val="clear"/>
            <w:tcMar>
              <w:top w:type="dxa" w:w="100"/>
              <w:left w:type="dxa" w:w="140"/>
              <w:bottom w:type="dxa" w:w="100"/>
              <w:right w:type="dxa" w:w="140"/>
            </w:tcMar>
          </w:tcPr>
          <w:p>
            <w:r>
              <w:rPr>
                <w:b w:val="false"/>
                <w:bCs w:val="false"/>
                <w:color w:val="222222"/>
                <w:sz w:val="20"/>
                <w:szCs w:val="20"/>
              </w:rPr>
              <w:t xml:space="preserve">Ocean IQ Systems Thinker</w:t>
            </w:r>
          </w:p>
        </w:tc>
        <w:tc>
          <w:tcPr>
            <w:tcW w:type="dxa" w:w="1400"/>
            <w:shd w:fill="F2F2F2" w:color="auto" w:val="clear"/>
            <w:tcMar>
              <w:top w:type="dxa" w:w="100"/>
              <w:left w:type="dxa" w:w="140"/>
              <w:bottom w:type="dxa" w:w="100"/>
              <w:right w:type="dxa" w:w="140"/>
            </w:tcMar>
          </w:tcPr>
          <w:p>
            <w:r>
              <w:rPr>
                <w:b w:val="false"/>
                <w:bCs w:val="false"/>
                <w:color w:val="222222"/>
                <w:sz w:val="20"/>
                <w:szCs w:val="20"/>
              </w:rPr>
              <w:t xml:space="preserve">15–18</w:t>
            </w:r>
          </w:p>
        </w:tc>
        <w:tc>
          <w:tcPr>
            <w:tcW w:type="dxa" w:w="5400"/>
            <w:shd w:fill="F2F2F2" w:color="auto" w:val="clear"/>
            <w:tcMar>
              <w:top w:type="dxa" w:w="100"/>
              <w:left w:type="dxa" w:w="140"/>
              <w:bottom w:type="dxa" w:w="100"/>
              <w:right w:type="dxa" w:w="140"/>
            </w:tcMar>
          </w:tcPr>
          <w:p>
            <w:r>
              <w:rPr>
                <w:b w:val="false"/>
                <w:bCs w:val="false"/>
                <w:color w:val="222222"/>
                <w:sz w:val="20"/>
                <w:szCs w:val="20"/>
              </w:rPr>
              <w:t xml:space="preserve">Analyzing complex ocean challenges and evaluating potential responses</w:t>
            </w:r>
          </w:p>
        </w:tc>
      </w:tr>
    </w:tbl>
    <w:p>
      <w:pPr>
        <w:spacing w:after="200" w:line="300"/>
        <w:jc w:val="both"/>
      </w:pPr>
      <w:r>
        <w:rPr>
          <w:color w:val="222222"/>
          <w:sz w:val="22"/>
          <w:szCs w:val="22"/>
        </w:rPr>
        <w:t xml:space="preserve">Older students could also earn recognition as Ocean IQ Ambassadors, applying what they have learned through leadership, communication, mentoring, research, or community action. Over time, these levels could support certificates, classroom recognition, student portfolios, and challenges — not for the sake of competition, but to give students a visible sense of their own progression.</w:t>
      </w:r>
    </w:p>
    <w:p>
      <w:pPr>
        <w:pStyle w:val="Heading1"/>
        <w:pBdr>
          <w:bottom w:val="single" w:color="0E6E73" w:sz="6" w:space="4"/>
        </w:pBdr>
        <w:spacing w:after="200" w:before="480"/>
      </w:pPr>
      <w:r>
        <w:rPr>
          <w:b/>
          <w:bCs/>
          <w:color w:val="1B3A4B"/>
          <w:sz w:val="30"/>
          <w:szCs w:val="30"/>
        </w:rPr>
        <w:t xml:space="preserve">10. Role of the Education Fellows</w:t>
      </w:r>
    </w:p>
    <w:p>
      <w:pPr>
        <w:spacing w:after="200" w:line="300"/>
        <w:jc w:val="both"/>
      </w:pPr>
      <w:r>
        <w:rPr>
          <w:color w:val="222222"/>
          <w:sz w:val="22"/>
          <w:szCs w:val="22"/>
        </w:rPr>
        <w:t xml:space="preserve">The Ocean Literacy Education Fellows Program is essential to building Ocean IQ. Educators understand how students learn; scientists and ocean professionals understand the subject matter. The Institute brings these two communities together, and Fellows can help:</w:t>
      </w:r>
    </w:p>
    <w:p>
      <w:pPr>
        <w:pStyle w:val="ListParagraph"/>
        <w:numPr>
          <w:ilvl w:val="0"/>
          <w:numId w:val="1"/>
        </w:numPr>
        <w:spacing w:after="90" w:line="280"/>
      </w:pPr>
      <w:r>
        <w:rPr>
          <w:color w:val="222222"/>
          <w:sz w:val="22"/>
          <w:szCs w:val="22"/>
        </w:rPr>
        <w:t xml:space="preserve">Establish Ocean IQ competencies for ages 3–6, 7–10, 11–14, and 15–18</w:t>
      </w:r>
    </w:p>
    <w:p>
      <w:pPr>
        <w:pStyle w:val="ListParagraph"/>
        <w:numPr>
          <w:ilvl w:val="0"/>
          <w:numId w:val="1"/>
        </w:numPr>
        <w:spacing w:after="90" w:line="280"/>
      </w:pPr>
      <w:r>
        <w:rPr>
          <w:color w:val="222222"/>
          <w:sz w:val="22"/>
          <w:szCs w:val="22"/>
        </w:rPr>
        <w:t xml:space="preserve">Review books and educational materials</w:t>
      </w:r>
    </w:p>
    <w:p>
      <w:pPr>
        <w:pStyle w:val="ListParagraph"/>
        <w:numPr>
          <w:ilvl w:val="0"/>
          <w:numId w:val="1"/>
        </w:numPr>
        <w:spacing w:after="90" w:line="280"/>
      </w:pPr>
      <w:r>
        <w:rPr>
          <w:color w:val="222222"/>
          <w:sz w:val="22"/>
          <w:szCs w:val="22"/>
        </w:rPr>
        <w:t xml:space="preserve">Advise on developmental appropriateness</w:t>
      </w:r>
    </w:p>
    <w:p>
      <w:pPr>
        <w:pStyle w:val="ListParagraph"/>
        <w:numPr>
          <w:ilvl w:val="0"/>
          <w:numId w:val="1"/>
        </w:numPr>
        <w:spacing w:after="90" w:line="280"/>
      </w:pPr>
      <w:r>
        <w:rPr>
          <w:color w:val="222222"/>
          <w:sz w:val="22"/>
          <w:szCs w:val="22"/>
        </w:rPr>
        <w:t xml:space="preserve">Develop classroom activities</w:t>
      </w:r>
    </w:p>
    <w:p>
      <w:pPr>
        <w:pStyle w:val="ListParagraph"/>
        <w:numPr>
          <w:ilvl w:val="0"/>
          <w:numId w:val="1"/>
        </w:numPr>
        <w:spacing w:after="90" w:line="280"/>
      </w:pPr>
      <w:r>
        <w:rPr>
          <w:color w:val="222222"/>
          <w:sz w:val="22"/>
          <w:szCs w:val="22"/>
        </w:rPr>
        <w:t xml:space="preserve">Align learning experiences with educational standards</w:t>
      </w:r>
    </w:p>
    <w:p>
      <w:pPr>
        <w:pStyle w:val="ListParagraph"/>
        <w:numPr>
          <w:ilvl w:val="0"/>
          <w:numId w:val="1"/>
        </w:numPr>
        <w:spacing w:after="90" w:line="280"/>
      </w:pPr>
      <w:r>
        <w:rPr>
          <w:color w:val="222222"/>
          <w:sz w:val="22"/>
          <w:szCs w:val="22"/>
        </w:rPr>
        <w:t xml:space="preserve">Develop assessment methods</w:t>
      </w:r>
    </w:p>
    <w:p>
      <w:pPr>
        <w:pStyle w:val="ListParagraph"/>
        <w:numPr>
          <w:ilvl w:val="0"/>
          <w:numId w:val="1"/>
        </w:numPr>
        <w:spacing w:after="90" w:line="280"/>
      </w:pPr>
      <w:r>
        <w:rPr>
          <w:color w:val="222222"/>
          <w:sz w:val="22"/>
          <w:szCs w:val="22"/>
        </w:rPr>
        <w:t xml:space="preserve">Pilot materials with students</w:t>
      </w:r>
    </w:p>
    <w:p>
      <w:pPr>
        <w:pStyle w:val="ListParagraph"/>
        <w:numPr>
          <w:ilvl w:val="0"/>
          <w:numId w:val="1"/>
        </w:numPr>
        <w:spacing w:after="90" w:line="280"/>
      </w:pPr>
      <w:r>
        <w:rPr>
          <w:color w:val="222222"/>
          <w:sz w:val="22"/>
          <w:szCs w:val="22"/>
        </w:rPr>
        <w:t xml:space="preserve">Measure learning outcomes and collect educator feedback</w:t>
      </w:r>
    </w:p>
    <w:p>
      <w:pPr>
        <w:pStyle w:val="ListParagraph"/>
        <w:numPr>
          <w:ilvl w:val="0"/>
          <w:numId w:val="1"/>
        </w:numPr>
        <w:spacing w:after="90" w:line="280"/>
      </w:pPr>
      <w:r>
        <w:rPr>
          <w:color w:val="222222"/>
          <w:sz w:val="22"/>
          <w:szCs w:val="22"/>
        </w:rPr>
        <w:t xml:space="preserve">Identify accessibility and inclusion needs</w:t>
      </w:r>
    </w:p>
    <w:p>
      <w:pPr>
        <w:pStyle w:val="ListParagraph"/>
        <w:numPr>
          <w:ilvl w:val="0"/>
          <w:numId w:val="1"/>
        </w:numPr>
        <w:spacing w:after="90" w:line="280"/>
      </w:pPr>
      <w:r>
        <w:rPr>
          <w:color w:val="222222"/>
          <w:sz w:val="22"/>
          <w:szCs w:val="22"/>
        </w:rPr>
        <w:t xml:space="preserve">Develop professional-development resources</w:t>
      </w:r>
    </w:p>
    <w:p>
      <w:pPr>
        <w:pStyle w:val="ListParagraph"/>
        <w:numPr>
          <w:ilvl w:val="0"/>
          <w:numId w:val="1"/>
        </w:numPr>
        <w:spacing w:after="90" w:line="280"/>
      </w:pPr>
      <w:r>
        <w:rPr>
          <w:color w:val="222222"/>
          <w:sz w:val="22"/>
          <w:szCs w:val="22"/>
        </w:rPr>
        <w:t xml:space="preserve">Adapt programs across different educational environments</w:t>
      </w:r>
    </w:p>
    <w:p>
      <w:pPr>
        <w:spacing w:after="200" w:line="300"/>
        <w:jc w:val="both"/>
      </w:pPr>
      <w:r>
        <w:rPr>
          <w:color w:val="222222"/>
          <w:sz w:val="22"/>
          <w:szCs w:val="22"/>
        </w:rPr>
        <w:t xml:space="preserve">Retired educators are a particularly valuable community here — they bring decades of experience and often welcome the chance to stay meaningfully involved in education without returning to a classroom full-time. Active educators, administrators, curriculum specialists, librarians, university faculty, and informal educators are equally important to the model.</w:t>
      </w:r>
    </w:p>
    <w:p>
      <w:pPr>
        <w:pStyle w:val="Heading1"/>
        <w:pBdr>
          <w:bottom w:val="single" w:color="0E6E73" w:sz="6" w:space="4"/>
        </w:pBdr>
        <w:spacing w:after="200" w:before="480"/>
      </w:pPr>
      <w:r>
        <w:rPr>
          <w:b/>
          <w:bCs/>
          <w:color w:val="1B3A4B"/>
          <w:sz w:val="30"/>
          <w:szCs w:val="30"/>
        </w:rPr>
        <w:t xml:space="preserve">11. Ocean IQ and Career Awareness</w:t>
      </w:r>
    </w:p>
    <w:p>
      <w:pPr>
        <w:spacing w:after="200" w:line="300"/>
        <w:jc w:val="both"/>
      </w:pPr>
      <w:r>
        <w:rPr>
          <w:color w:val="222222"/>
          <w:sz w:val="22"/>
          <w:szCs w:val="22"/>
        </w:rPr>
        <w:t xml:space="preserve">Ocean IQ should broaden what students think an “ocean career” even means. The future of the ocean will need far more than marine biologists — it will need engineers, scientists, technologists, data analysts, roboticists, divers, mariners, doctors, entrepreneurs, policy professionals, risk specialists, educators, communicators, designers, and conservation professionals, among many others.</w:t>
      </w:r>
    </w:p>
    <w:p>
      <w:pPr>
        <w:spacing w:after="200" w:line="300"/>
        <w:jc w:val="both"/>
      </w:pPr>
      <w:r>
        <w:rPr>
          <w:color w:val="222222"/>
          <w:sz w:val="22"/>
          <w:szCs w:val="22"/>
        </w:rPr>
        <w:t xml:space="preserve">Career exposure should grow with the student. For younger students, the goal is simple discovery — people really do this for a job? By ages 7–10, students start exploring what different ocean professionals actually do day to day. By 11–14, they begin connecting those careers to their own interests and strengths. By 15–18, career exploration becomes actionable, through education pathways, mentorship, internships, field experiences, college and vocational options, and direct exposure to working professionals.</w:t>
      </w:r>
    </w:p>
    <w:p>
      <w:pPr>
        <w:spacing w:after="200" w:line="300"/>
        <w:jc w:val="both"/>
      </w:pPr>
      <w:r>
        <w:rPr>
          <w:color w:val="222222"/>
          <w:sz w:val="22"/>
          <w:szCs w:val="22"/>
        </w:rPr>
        <w:t xml:space="preserve">Across every stage, students should keep encountering one question: could you see yourself doing this? That question is what turns ocean literacy from something students learn into something some of them go on to do.</w:t>
      </w:r>
    </w:p>
    <w:p>
      <w:pPr>
        <w:pStyle w:val="Heading1"/>
        <w:pBdr>
          <w:bottom w:val="single" w:color="0E6E73" w:sz="6" w:space="4"/>
        </w:pBdr>
        <w:spacing w:after="200" w:before="480"/>
      </w:pPr>
      <w:r>
        <w:rPr>
          <w:b/>
          <w:bCs/>
          <w:color w:val="1B3A4B"/>
          <w:sz w:val="30"/>
          <w:szCs w:val="30"/>
        </w:rPr>
        <w:t xml:space="preserve">12. From Books to an Ocean IQ Ecosystem</w:t>
      </w:r>
    </w:p>
    <w:p>
      <w:pPr>
        <w:spacing w:after="200" w:line="300"/>
        <w:jc w:val="both"/>
      </w:pPr>
      <w:r>
        <w:rPr>
          <w:color w:val="222222"/>
          <w:sz w:val="22"/>
          <w:szCs w:val="22"/>
        </w:rPr>
        <w:t xml:space="preserve">Ocean IQ gives the Institute a common framework capable of connecting its future programs: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200"/>
        <w:gridCol w:w="6200"/>
      </w:tblGrid>
      <w:tr>
        <w:trPr>
          <w:tblHeader/>
        </w:trPr>
        <w:tc>
          <w:tcPr>
            <w:tcW w:type="dxa" w:w="3200"/>
            <w:shd w:fill="1B3A4B" w:color="auto" w:val="clear"/>
            <w:tcMar>
              <w:top w:type="dxa" w:w="100"/>
              <w:left w:type="dxa" w:w="140"/>
              <w:bottom w:type="dxa" w:w="100"/>
              <w:right w:type="dxa" w:w="140"/>
            </w:tcMar>
          </w:tcPr>
          <w:p>
            <w:r>
              <w:rPr>
                <w:b/>
                <w:bCs/>
                <w:color w:val="FFFFFF"/>
                <w:sz w:val="20"/>
                <w:szCs w:val="20"/>
              </w:rPr>
              <w:t xml:space="preserve">Program</w:t>
            </w:r>
          </w:p>
        </w:tc>
        <w:tc>
          <w:tcPr>
            <w:tcW w:type="dxa" w:w="6200"/>
            <w:shd w:fill="1B3A4B" w:color="auto" w:val="clear"/>
            <w:tcMar>
              <w:top w:type="dxa" w:w="100"/>
              <w:left w:type="dxa" w:w="140"/>
              <w:bottom w:type="dxa" w:w="100"/>
              <w:right w:type="dxa" w:w="140"/>
            </w:tcMar>
          </w:tcPr>
          <w:p>
            <w:r>
              <w:rPr>
                <w:b/>
                <w:bCs/>
                <w:color w:val="FFFFFF"/>
                <w:sz w:val="20"/>
                <w:szCs w:val="20"/>
              </w:rPr>
              <w:t xml:space="preserve">Description</w:t>
            </w:r>
          </w:p>
        </w:tc>
      </w:tr>
      <w:tr>
        <w:tc>
          <w:tcPr>
            <w:tcW w:type="dxa" w:w="3200"/>
            <w:tcMar>
              <w:top w:type="dxa" w:w="100"/>
              <w:left w:type="dxa" w:w="140"/>
              <w:bottom w:type="dxa" w:w="100"/>
              <w:right w:type="dxa" w:w="140"/>
            </w:tcMar>
          </w:tcPr>
          <w:p>
            <w:r>
              <w:rPr>
                <w:b w:val="false"/>
                <w:bCs w:val="false"/>
                <w:color w:val="222222"/>
                <w:sz w:val="20"/>
                <w:szCs w:val="20"/>
              </w:rPr>
              <w:t xml:space="preserve">Ocean IQ Adventures</w:t>
            </w:r>
          </w:p>
        </w:tc>
        <w:tc>
          <w:tcPr>
            <w:tcW w:type="dxa" w:w="6200"/>
            <w:tcMar>
              <w:top w:type="dxa" w:w="100"/>
              <w:left w:type="dxa" w:w="140"/>
              <w:bottom w:type="dxa" w:w="100"/>
              <w:right w:type="dxa" w:w="140"/>
            </w:tcMar>
          </w:tcPr>
          <w:p>
            <w:r>
              <w:rPr>
                <w:b w:val="false"/>
                <w:bCs w:val="false"/>
                <w:color w:val="222222"/>
                <w:sz w:val="20"/>
                <w:szCs w:val="20"/>
              </w:rPr>
              <w:t xml:space="preserve">Age-specific books built on authentic ocean experiences</w:t>
            </w:r>
          </w:p>
        </w:tc>
      </w:tr>
      <w:tr>
        <w:tc>
          <w:tcPr>
            <w:tcW w:type="dxa" w:w="3200"/>
            <w:shd w:fill="F2F2F2" w:color="auto" w:val="clear"/>
            <w:tcMar>
              <w:top w:type="dxa" w:w="100"/>
              <w:left w:type="dxa" w:w="140"/>
              <w:bottom w:type="dxa" w:w="100"/>
              <w:right w:type="dxa" w:w="140"/>
            </w:tcMar>
          </w:tcPr>
          <w:p>
            <w:r>
              <w:rPr>
                <w:b w:val="false"/>
                <w:bCs w:val="false"/>
                <w:color w:val="222222"/>
                <w:sz w:val="20"/>
                <w:szCs w:val="20"/>
              </w:rPr>
              <w:t xml:space="preserve">Ocean IQ Classroom</w:t>
            </w:r>
          </w:p>
        </w:tc>
        <w:tc>
          <w:tcPr>
            <w:tcW w:type="dxa" w:w="6200"/>
            <w:shd w:fill="F2F2F2" w:color="auto" w:val="clear"/>
            <w:tcMar>
              <w:top w:type="dxa" w:w="100"/>
              <w:left w:type="dxa" w:w="140"/>
              <w:bottom w:type="dxa" w:w="100"/>
              <w:right w:type="dxa" w:w="140"/>
            </w:tcMar>
          </w:tcPr>
          <w:p>
            <w:r>
              <w:rPr>
                <w:b w:val="false"/>
                <w:bCs w:val="false"/>
                <w:color w:val="222222"/>
                <w:sz w:val="20"/>
                <w:szCs w:val="20"/>
              </w:rPr>
              <w:t xml:space="preserve">Teacher guides, lessons, activities, and curriculum resources</w:t>
            </w:r>
          </w:p>
        </w:tc>
      </w:tr>
      <w:tr>
        <w:tc>
          <w:tcPr>
            <w:tcW w:type="dxa" w:w="3200"/>
            <w:tcMar>
              <w:top w:type="dxa" w:w="100"/>
              <w:left w:type="dxa" w:w="140"/>
              <w:bottom w:type="dxa" w:w="100"/>
              <w:right w:type="dxa" w:w="140"/>
            </w:tcMar>
          </w:tcPr>
          <w:p>
            <w:r>
              <w:rPr>
                <w:b w:val="false"/>
                <w:bCs w:val="false"/>
                <w:color w:val="222222"/>
                <w:sz w:val="20"/>
                <w:szCs w:val="20"/>
              </w:rPr>
              <w:t xml:space="preserve">Ocean IQ Challenge</w:t>
            </w:r>
          </w:p>
        </w:tc>
        <w:tc>
          <w:tcPr>
            <w:tcW w:type="dxa" w:w="6200"/>
            <w:tcMar>
              <w:top w:type="dxa" w:w="100"/>
              <w:left w:type="dxa" w:w="140"/>
              <w:bottom w:type="dxa" w:w="100"/>
              <w:right w:type="dxa" w:w="140"/>
            </w:tcMar>
          </w:tcPr>
          <w:p>
            <w:r>
              <w:rPr>
                <w:b w:val="false"/>
                <w:bCs w:val="false"/>
                <w:color w:val="222222"/>
                <w:sz w:val="20"/>
                <w:szCs w:val="20"/>
              </w:rPr>
              <w:t xml:space="preserve">Student problem-solving and action projects</w:t>
            </w:r>
          </w:p>
        </w:tc>
      </w:tr>
      <w:tr>
        <w:tc>
          <w:tcPr>
            <w:tcW w:type="dxa" w:w="3200"/>
            <w:shd w:fill="F2F2F2" w:color="auto" w:val="clear"/>
            <w:tcMar>
              <w:top w:type="dxa" w:w="100"/>
              <w:left w:type="dxa" w:w="140"/>
              <w:bottom w:type="dxa" w:w="100"/>
              <w:right w:type="dxa" w:w="140"/>
            </w:tcMar>
          </w:tcPr>
          <w:p>
            <w:r>
              <w:rPr>
                <w:b w:val="false"/>
                <w:bCs w:val="false"/>
                <w:color w:val="222222"/>
                <w:sz w:val="20"/>
                <w:szCs w:val="20"/>
              </w:rPr>
              <w:t xml:space="preserve">Ocean IQ Careers</w:t>
            </w:r>
          </w:p>
        </w:tc>
        <w:tc>
          <w:tcPr>
            <w:tcW w:type="dxa" w:w="6200"/>
            <w:shd w:fill="F2F2F2" w:color="auto" w:val="clear"/>
            <w:tcMar>
              <w:top w:type="dxa" w:w="100"/>
              <w:left w:type="dxa" w:w="140"/>
              <w:bottom w:type="dxa" w:w="100"/>
              <w:right w:type="dxa" w:w="140"/>
            </w:tcMar>
          </w:tcPr>
          <w:p>
            <w:r>
              <w:rPr>
                <w:b w:val="false"/>
                <w:bCs w:val="false"/>
                <w:color w:val="222222"/>
                <w:sz w:val="20"/>
                <w:szCs w:val="20"/>
              </w:rPr>
              <w:t xml:space="preserve">Career exploration and professional profiles</w:t>
            </w:r>
          </w:p>
        </w:tc>
      </w:tr>
      <w:tr>
        <w:tc>
          <w:tcPr>
            <w:tcW w:type="dxa" w:w="3200"/>
            <w:tcMar>
              <w:top w:type="dxa" w:w="100"/>
              <w:left w:type="dxa" w:w="140"/>
              <w:bottom w:type="dxa" w:w="100"/>
              <w:right w:type="dxa" w:w="140"/>
            </w:tcMar>
          </w:tcPr>
          <w:p>
            <w:r>
              <w:rPr>
                <w:b w:val="false"/>
                <w:bCs w:val="false"/>
                <w:color w:val="222222"/>
                <w:sz w:val="20"/>
                <w:szCs w:val="20"/>
              </w:rPr>
              <w:t xml:space="preserve">Ocean IQ Labs</w:t>
            </w:r>
          </w:p>
        </w:tc>
        <w:tc>
          <w:tcPr>
            <w:tcW w:type="dxa" w:w="6200"/>
            <w:tcMar>
              <w:top w:type="dxa" w:w="100"/>
              <w:left w:type="dxa" w:w="140"/>
              <w:bottom w:type="dxa" w:w="100"/>
              <w:right w:type="dxa" w:w="140"/>
            </w:tcMar>
          </w:tcPr>
          <w:p>
            <w:r>
              <w:rPr>
                <w:b w:val="false"/>
                <w:bCs w:val="false"/>
                <w:color w:val="222222"/>
                <w:sz w:val="20"/>
                <w:szCs w:val="20"/>
              </w:rPr>
              <w:t xml:space="preserve">Hands-on STEM and systems-thinking activities</w:t>
            </w:r>
          </w:p>
        </w:tc>
      </w:tr>
      <w:tr>
        <w:tc>
          <w:tcPr>
            <w:tcW w:type="dxa" w:w="3200"/>
            <w:shd w:fill="F2F2F2" w:color="auto" w:val="clear"/>
            <w:tcMar>
              <w:top w:type="dxa" w:w="100"/>
              <w:left w:type="dxa" w:w="140"/>
              <w:bottom w:type="dxa" w:w="100"/>
              <w:right w:type="dxa" w:w="140"/>
            </w:tcMar>
          </w:tcPr>
          <w:p>
            <w:r>
              <w:rPr>
                <w:b w:val="false"/>
                <w:bCs w:val="false"/>
                <w:color w:val="222222"/>
                <w:sz w:val="20"/>
                <w:szCs w:val="20"/>
              </w:rPr>
              <w:t xml:space="preserve">Ocean Literacy Education Fellows</w:t>
            </w:r>
          </w:p>
        </w:tc>
        <w:tc>
          <w:tcPr>
            <w:tcW w:type="dxa" w:w="6200"/>
            <w:shd w:fill="F2F2F2" w:color="auto" w:val="clear"/>
            <w:tcMar>
              <w:top w:type="dxa" w:w="100"/>
              <w:left w:type="dxa" w:w="140"/>
              <w:bottom w:type="dxa" w:w="100"/>
              <w:right w:type="dxa" w:w="140"/>
            </w:tcMar>
          </w:tcPr>
          <w:p>
            <w:r>
              <w:rPr>
                <w:b w:val="false"/>
                <w:bCs w:val="false"/>
                <w:color w:val="222222"/>
                <w:sz w:val="20"/>
                <w:szCs w:val="20"/>
              </w:rPr>
              <w:t xml:space="preserve">Educator-led development, validation, and classroom implementation</w:t>
            </w:r>
          </w:p>
        </w:tc>
      </w:tr>
      <w:tr>
        <w:tc>
          <w:tcPr>
            <w:tcW w:type="dxa" w:w="3200"/>
            <w:tcMar>
              <w:top w:type="dxa" w:w="100"/>
              <w:left w:type="dxa" w:w="140"/>
              <w:bottom w:type="dxa" w:w="100"/>
              <w:right w:type="dxa" w:w="140"/>
            </w:tcMar>
          </w:tcPr>
          <w:p>
            <w:r>
              <w:rPr>
                <w:b w:val="false"/>
                <w:bCs w:val="false"/>
                <w:color w:val="222222"/>
                <w:sz w:val="20"/>
                <w:szCs w:val="20"/>
              </w:rPr>
              <w:t xml:space="preserve">Ocean IQ Ambassador Program</w:t>
            </w:r>
          </w:p>
        </w:tc>
        <w:tc>
          <w:tcPr>
            <w:tcW w:type="dxa" w:w="6200"/>
            <w:tcMar>
              <w:top w:type="dxa" w:w="100"/>
              <w:left w:type="dxa" w:w="140"/>
              <w:bottom w:type="dxa" w:w="100"/>
              <w:right w:type="dxa" w:w="140"/>
            </w:tcMar>
          </w:tcPr>
          <w:p>
            <w:r>
              <w:rPr>
                <w:b w:val="false"/>
                <w:bCs w:val="false"/>
                <w:color w:val="222222"/>
                <w:sz w:val="20"/>
                <w:szCs w:val="20"/>
              </w:rPr>
              <w:t xml:space="preserve">Leadership and community-engagement opportunities for older students</w:t>
            </w:r>
          </w:p>
        </w:tc>
      </w:tr>
      <w:tr>
        <w:tc>
          <w:tcPr>
            <w:tcW w:type="dxa" w:w="3200"/>
            <w:shd w:fill="F2F2F2" w:color="auto" w:val="clear"/>
            <w:tcMar>
              <w:top w:type="dxa" w:w="100"/>
              <w:left w:type="dxa" w:w="140"/>
              <w:bottom w:type="dxa" w:w="100"/>
              <w:right w:type="dxa" w:w="140"/>
            </w:tcMar>
          </w:tcPr>
          <w:p>
            <w:r>
              <w:rPr>
                <w:b w:val="false"/>
                <w:bCs w:val="false"/>
                <w:color w:val="222222"/>
                <w:sz w:val="20"/>
                <w:szCs w:val="20"/>
              </w:rPr>
              <w:t xml:space="preserve">Ocean IQ Assessment</w:t>
            </w:r>
          </w:p>
        </w:tc>
        <w:tc>
          <w:tcPr>
            <w:tcW w:type="dxa" w:w="6200"/>
            <w:shd w:fill="F2F2F2" w:color="auto" w:val="clear"/>
            <w:tcMar>
              <w:top w:type="dxa" w:w="100"/>
              <w:left w:type="dxa" w:w="140"/>
              <w:bottom w:type="dxa" w:w="100"/>
              <w:right w:type="dxa" w:w="140"/>
            </w:tcMar>
          </w:tcPr>
          <w:p>
            <w:r>
              <w:rPr>
                <w:b w:val="false"/>
                <w:bCs w:val="false"/>
                <w:color w:val="222222"/>
                <w:sz w:val="20"/>
                <w:szCs w:val="20"/>
              </w:rPr>
              <w:t xml:space="preserve">Developmentally appropriate tools for evaluating learning and systems understanding</w:t>
            </w:r>
          </w:p>
        </w:tc>
      </w:tr>
    </w:tbl>
    <w:p>
      <w:pPr>
        <w:spacing w:after="200" w:line="300"/>
        <w:jc w:val="both"/>
      </w:pPr>
      <w:r>
        <w:rPr>
          <w:color w:val="222222"/>
          <w:sz w:val="22"/>
          <w:szCs w:val="22"/>
        </w:rPr>
        <w:t xml:space="preserve">Taken together, these are not simply a publishing program. They are an educational ecosystem capable of following a student from early childhood all the way through high school.</w:t>
      </w:r>
    </w:p>
    <w:p>
      <w:pPr>
        <w:pStyle w:val="Heading1"/>
        <w:pBdr>
          <w:bottom w:val="single" w:color="0E6E73" w:sz="6" w:space="4"/>
        </w:pBdr>
        <w:spacing w:after="200" w:before="480"/>
      </w:pPr>
      <w:r>
        <w:rPr>
          <w:b/>
          <w:bCs/>
          <w:color w:val="1B3A4B"/>
          <w:sz w:val="30"/>
          <w:szCs w:val="30"/>
        </w:rPr>
        <w:t xml:space="preserve">13. The Strategic Role of Ocean IQ</w:t>
      </w:r>
    </w:p>
    <w:p>
      <w:pPr>
        <w:spacing w:after="200" w:line="300"/>
        <w:jc w:val="both"/>
      </w:pPr>
      <w:r>
        <w:rPr>
          <w:color w:val="222222"/>
          <w:sz w:val="22"/>
          <w:szCs w:val="22"/>
        </w:rPr>
        <w:t xml:space="preserve">Ocean literacy describes the mission. Systems thinking describes the approach. Ocean IQ is what makes both of those understandable, teachable, repeatable, developmental, and — eventually — measurable. It gives the Institute a simple public-facing goal: raise the Ocean IQ of the next generation. And it gives every program a common architecture to build against — Discover (3–6), Understand (7–10), Connect (11–14), Think &amp; Act (15–18).</w:t>
      </w:r>
    </w:p>
    <w:p>
      <w:pPr>
        <w:spacing w:after="200" w:line="300"/>
        <w:jc w:val="both"/>
      </w:pPr>
      <w:r>
        <w:rPr>
          <w:color w:val="222222"/>
          <w:sz w:val="22"/>
          <w:szCs w:val="22"/>
        </w:rPr>
        <w:t xml:space="preserve">That architecture can unify books, curriculum, school programs, educator development, student experiences, career exploration, partnerships, and future research under one throughline: a shift from knowing facts about the ocean, to understanding how it works, to seeing how ocean systems connect to our lives, to thinking critically about change, to making informed decisions and taking meaningful action.</w:t>
      </w:r>
    </w:p>
    <w:p>
      <w:pPr>
        <w:pStyle w:val="Heading1"/>
        <w:pBdr>
          <w:bottom w:val="single" w:color="0E6E73" w:sz="6" w:space="4"/>
        </w:pBdr>
        <w:spacing w:after="200" w:before="480"/>
      </w:pPr>
      <w:r>
        <w:rPr>
          <w:b/>
          <w:bCs/>
          <w:color w:val="1B3A4B"/>
          <w:sz w:val="30"/>
          <w:szCs w:val="30"/>
        </w:rPr>
        <w:t xml:space="preserve">Conclusion</w:t>
      </w:r>
    </w:p>
    <w:p>
      <w:pPr>
        <w:spacing w:after="200" w:line="300"/>
        <w:jc w:val="both"/>
      </w:pPr>
      <w:r>
        <w:rPr>
          <w:color w:val="222222"/>
          <w:sz w:val="22"/>
          <w:szCs w:val="22"/>
        </w:rPr>
        <w:t xml:space="preserve">The Ocean Literacy Institute starts from a simple premise: the ocean cannot be understood one fact, one species, or one problem at a time. It is interconnected, and so is our relationship to it.</w:t>
      </w:r>
    </w:p>
    <w:p>
      <w:pPr>
        <w:spacing w:after="200" w:line="300"/>
        <w:jc w:val="both"/>
      </w:pPr>
      <w:r>
        <w:rPr>
          <w:color w:val="222222"/>
          <w:sz w:val="22"/>
          <w:szCs w:val="22"/>
        </w:rPr>
        <w:t xml:space="preserve">Young people need more than awareness of ocean problems — they need the ability to understand relationships, investigate complexity, tell fact from misconception, recognize consequences, explore solutions, and see real opportunities to participate. Ocean IQ is the developmental framework for building that ability, from a three-year-old's first sense of wonder to an eighteen-year-old's capacity to analyze a genuinely complex ocean challenge and decide how they might contribute.</w:t>
      </w:r>
    </w:p>
    <w:p>
      <w:pPr>
        <w:spacing w:after="200" w:line="300"/>
        <w:jc w:val="both"/>
      </w:pPr>
      <w:r>
        <w:rPr>
          <w:color w:val="222222"/>
          <w:sz w:val="22"/>
          <w:szCs w:val="22"/>
        </w:rPr>
        <w:t xml:space="preserve">That is the purpose of Ocean IQ: know it, connect it, think about it, act on it — and through authentic stories, exploration, education, and experience, raise the Ocean IQ of the next generation.</w:t>
      </w:r>
    </w:p>
    <w:p>
      <w:r>
        <w:br w:type="page"/>
      </w:r>
    </w:p>
    <w:p>
      <w:pPr>
        <w:pStyle w:val="Heading1"/>
        <w:pBdr>
          <w:bottom w:val="single" w:color="0E6E73" w:sz="6" w:space="4"/>
        </w:pBdr>
        <w:spacing w:after="200" w:before="480"/>
      </w:pPr>
      <w:r>
        <w:rPr>
          <w:b/>
          <w:bCs/>
          <w:color w:val="1B3A4B"/>
          <w:sz w:val="30"/>
          <w:szCs w:val="30"/>
        </w:rPr>
        <w:t xml:space="preserve">Appendix A: One Topic, Four Levels of Ocean IQ</w:t>
      </w:r>
    </w:p>
    <w:p>
      <w:pPr>
        <w:spacing w:after="200" w:line="300"/>
        <w:jc w:val="both"/>
      </w:pPr>
      <w:r>
        <w:rPr>
          <w:color w:val="222222"/>
          <w:sz w:val="22"/>
          <w:szCs w:val="22"/>
        </w:rPr>
        <w:t xml:space="preserve">The framework's central claim — that the subject can stay the same while a student's Ocean IQ deepens — is easiest to see in practice. The table below applies it to a single topic, coral reefs, at each of the four stages. This is illustrative rather than final; the Education Fellows should treat it as a starting template when they build out the full competencies matrix.</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600"/>
        <w:gridCol w:w="7800"/>
      </w:tblGrid>
      <w:tr>
        <w:trPr>
          <w:tblHeader/>
        </w:trPr>
        <w:tc>
          <w:tcPr>
            <w:tcW w:type="dxa" w:w="1600"/>
            <w:shd w:fill="1B3A4B" w:color="auto" w:val="clear"/>
            <w:tcMar>
              <w:top w:type="dxa" w:w="100"/>
              <w:left w:type="dxa" w:w="140"/>
              <w:bottom w:type="dxa" w:w="100"/>
              <w:right w:type="dxa" w:w="140"/>
            </w:tcMar>
          </w:tcPr>
          <w:p>
            <w:r>
              <w:rPr>
                <w:b/>
                <w:bCs/>
                <w:color w:val="FFFFFF"/>
                <w:sz w:val="20"/>
                <w:szCs w:val="20"/>
              </w:rPr>
              <w:t xml:space="preserve">Ages</w:t>
            </w:r>
          </w:p>
        </w:tc>
        <w:tc>
          <w:tcPr>
            <w:tcW w:type="dxa" w:w="7800"/>
            <w:shd w:fill="1B3A4B" w:color="auto" w:val="clear"/>
            <w:tcMar>
              <w:top w:type="dxa" w:w="100"/>
              <w:left w:type="dxa" w:w="140"/>
              <w:bottom w:type="dxa" w:w="100"/>
              <w:right w:type="dxa" w:w="140"/>
            </w:tcMar>
          </w:tcPr>
          <w:p>
            <w:r>
              <w:rPr>
                <w:b/>
                <w:bCs/>
                <w:color w:val="FFFFFF"/>
                <w:sz w:val="20"/>
                <w:szCs w:val="20"/>
              </w:rPr>
              <w:t xml:space="preserve">Sample Inquiry Question</w:t>
            </w:r>
          </w:p>
        </w:tc>
      </w:tr>
      <w:tr>
        <w:tc>
          <w:tcPr>
            <w:tcW w:type="dxa" w:w="1600"/>
            <w:tcMar>
              <w:top w:type="dxa" w:w="100"/>
              <w:left w:type="dxa" w:w="140"/>
              <w:bottom w:type="dxa" w:w="100"/>
              <w:right w:type="dxa" w:w="140"/>
            </w:tcMar>
          </w:tcPr>
          <w:p>
            <w:r>
              <w:rPr>
                <w:b w:val="false"/>
                <w:bCs w:val="false"/>
                <w:color w:val="222222"/>
                <w:sz w:val="20"/>
                <w:szCs w:val="20"/>
              </w:rPr>
              <w:t xml:space="preserve">3–6</w:t>
            </w:r>
          </w:p>
        </w:tc>
        <w:tc>
          <w:tcPr>
            <w:tcW w:type="dxa" w:w="7800"/>
            <w:tcMar>
              <w:top w:type="dxa" w:w="100"/>
              <w:left w:type="dxa" w:w="140"/>
              <w:bottom w:type="dxa" w:w="100"/>
              <w:right w:type="dxa" w:w="140"/>
            </w:tcMar>
          </w:tcPr>
          <w:p>
            <w:r>
              <w:rPr>
                <w:b w:val="false"/>
                <w:bCs w:val="false"/>
                <w:color w:val="222222"/>
                <w:sz w:val="20"/>
                <w:szCs w:val="20"/>
              </w:rPr>
              <w:t xml:space="preserve">What lives on a coral reef, and why is it so colorful?</w:t>
            </w:r>
          </w:p>
        </w:tc>
      </w:tr>
      <w:tr>
        <w:tc>
          <w:tcPr>
            <w:tcW w:type="dxa" w:w="1600"/>
            <w:shd w:fill="F2F2F2" w:color="auto" w:val="clear"/>
            <w:tcMar>
              <w:top w:type="dxa" w:w="100"/>
              <w:left w:type="dxa" w:w="140"/>
              <w:bottom w:type="dxa" w:w="100"/>
              <w:right w:type="dxa" w:w="140"/>
            </w:tcMar>
          </w:tcPr>
          <w:p>
            <w:r>
              <w:rPr>
                <w:b w:val="false"/>
                <w:bCs w:val="false"/>
                <w:color w:val="222222"/>
                <w:sz w:val="20"/>
                <w:szCs w:val="20"/>
              </w:rPr>
              <w:t xml:space="preserve">7–10</w:t>
            </w:r>
          </w:p>
        </w:tc>
        <w:tc>
          <w:tcPr>
            <w:tcW w:type="dxa" w:w="7800"/>
            <w:shd w:fill="F2F2F2" w:color="auto" w:val="clear"/>
            <w:tcMar>
              <w:top w:type="dxa" w:w="100"/>
              <w:left w:type="dxa" w:w="140"/>
              <w:bottom w:type="dxa" w:w="100"/>
              <w:right w:type="dxa" w:w="140"/>
            </w:tcMar>
          </w:tcPr>
          <w:p>
            <w:r>
              <w:rPr>
                <w:b w:val="false"/>
                <w:bCs w:val="false"/>
                <w:color w:val="222222"/>
                <w:sz w:val="20"/>
                <w:szCs w:val="20"/>
              </w:rPr>
              <w:t xml:space="preserve">What does a coral reef need to stay healthy, and what happens to the fish that live there if it gets sick?</w:t>
            </w:r>
          </w:p>
        </w:tc>
      </w:tr>
      <w:tr>
        <w:tc>
          <w:tcPr>
            <w:tcW w:type="dxa" w:w="1600"/>
            <w:tcMar>
              <w:top w:type="dxa" w:w="100"/>
              <w:left w:type="dxa" w:w="140"/>
              <w:bottom w:type="dxa" w:w="100"/>
              <w:right w:type="dxa" w:w="140"/>
            </w:tcMar>
          </w:tcPr>
          <w:p>
            <w:r>
              <w:rPr>
                <w:b w:val="false"/>
                <w:bCs w:val="false"/>
                <w:color w:val="222222"/>
                <w:sz w:val="20"/>
                <w:szCs w:val="20"/>
              </w:rPr>
              <w:t xml:space="preserve">11–14</w:t>
            </w:r>
          </w:p>
        </w:tc>
        <w:tc>
          <w:tcPr>
            <w:tcW w:type="dxa" w:w="7800"/>
            <w:tcMar>
              <w:top w:type="dxa" w:w="100"/>
              <w:left w:type="dxa" w:w="140"/>
              <w:bottom w:type="dxa" w:w="100"/>
              <w:right w:type="dxa" w:w="140"/>
            </w:tcMar>
          </w:tcPr>
          <w:p>
            <w:r>
              <w:rPr>
                <w:b w:val="false"/>
                <w:bCs w:val="false"/>
                <w:color w:val="222222"/>
                <w:sz w:val="20"/>
                <w:szCs w:val="20"/>
              </w:rPr>
              <w:t xml:space="preserve">If a reef declines, what else in the system is affected — fish populations, local fishing, tourism?</w:t>
            </w:r>
          </w:p>
        </w:tc>
      </w:tr>
      <w:tr>
        <w:tc>
          <w:tcPr>
            <w:tcW w:type="dxa" w:w="1600"/>
            <w:shd w:fill="F2F2F2" w:color="auto" w:val="clear"/>
            <w:tcMar>
              <w:top w:type="dxa" w:w="100"/>
              <w:left w:type="dxa" w:w="140"/>
              <w:bottom w:type="dxa" w:w="100"/>
              <w:right w:type="dxa" w:w="140"/>
            </w:tcMar>
          </w:tcPr>
          <w:p>
            <w:r>
              <w:rPr>
                <w:b w:val="false"/>
                <w:bCs w:val="false"/>
                <w:color w:val="222222"/>
                <w:sz w:val="20"/>
                <w:szCs w:val="20"/>
              </w:rPr>
              <w:t xml:space="preserve">15–18</w:t>
            </w:r>
          </w:p>
        </w:tc>
        <w:tc>
          <w:tcPr>
            <w:tcW w:type="dxa" w:w="7800"/>
            <w:shd w:fill="F2F2F2" w:color="auto" w:val="clear"/>
            <w:tcMar>
              <w:top w:type="dxa" w:w="100"/>
              <w:left w:type="dxa" w:w="140"/>
              <w:bottom w:type="dxa" w:w="100"/>
              <w:right w:type="dxa" w:w="140"/>
            </w:tcMar>
          </w:tcPr>
          <w:p>
            <w:r>
              <w:rPr>
                <w:b w:val="false"/>
                <w:bCs w:val="false"/>
                <w:color w:val="222222"/>
                <w:sz w:val="20"/>
                <w:szCs w:val="20"/>
              </w:rPr>
              <w:t xml:space="preserve">What tradeoffs come with a proposed reef-restoration project, and what evidence would you want before recommending it?</w:t>
            </w:r>
          </w:p>
        </w:tc>
      </w:tr>
    </w:tbl>
    <w:p>
      <w:pPr>
        <w:pStyle w:val="Heading1"/>
        <w:pBdr>
          <w:bottom w:val="single" w:color="0E6E73" w:sz="6" w:space="4"/>
        </w:pBdr>
        <w:spacing w:after="200" w:before="480"/>
      </w:pPr>
      <w:r>
        <w:rPr>
          <w:b/>
          <w:bCs/>
          <w:color w:val="1B3A4B"/>
          <w:sz w:val="30"/>
          <w:szCs w:val="30"/>
        </w:rPr>
        <w:t xml:space="preserve">Next Step</w:t>
      </w:r>
    </w:p>
    <w:p>
      <w:pPr>
        <w:spacing w:after="200" w:line="300"/>
        <w:jc w:val="both"/>
      </w:pPr>
      <w:r>
        <w:rPr>
          <w:color w:val="222222"/>
          <w:sz w:val="22"/>
          <w:szCs w:val="22"/>
        </w:rPr>
        <w:t xml:space="preserve">The next document in this framework is Ocean IQ Framework v1.0: Competencies &amp; Learning Outcomes — a detailed matrix defining exactly what a student should know, connect, think, explore, and be able to do at each of the four age stages. That matrix will give the Education Fellows a concrete tool to review, and it will start turning Ocean IQ from a framework into an implementable curriculum.</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2026-09-17T19:05:11.621Z</dcterms:created>
  <dcterms:modified xsi:type="dcterms:W3CDTF">2026-09-17T19:05:11.632Z</dcterms:modified>
</cp:coreProperties>
</file>

<file path=docProps/custom.xml><?xml version="1.0" encoding="utf-8"?>
<Properties xmlns="http://schemas.openxmlformats.org/officeDocument/2006/custom-properties" xmlns:vt="http://schemas.openxmlformats.org/officeDocument/2006/docPropsVTypes"/>
</file>