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2F3B52"/>
          <w:sz w:val="38"/>
        </w:rPr>
        <w:t>AI Governance Committee Charter</w:t>
      </w:r>
    </w:p>
    <w:p>
      <w:r>
        <w:rPr>
          <w:i/>
          <w:color w:val="2F3B52"/>
          <w:sz w:val="22"/>
        </w:rPr>
        <w:t>Mandate, membership, decision rights, and procedures</w:t>
      </w:r>
    </w:p>
    <w:p>
      <w:r>
        <w:rPr>
          <w:i/>
          <w:color w:val="8A8A8A"/>
          <w:sz w:val="18"/>
        </w:rPr>
        <w:t>Companion template to The AI Governance Implementation Guide, Chapter 2 and Appendix D.</w:t>
      </w:r>
    </w:p>
    <w:p>
      <w:r>
        <w:rPr>
          <w:i/>
          <w:color w:val="8A8A8A"/>
          <w:sz w:val="18"/>
        </w:rPr>
        <w:t>Instructions: replace every [bracketed] item, complete every field, and delete all gray instructional text before finalizing.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2736"/>
          </w:tcPr>
          <w:p>
            <w:r>
              <w:rPr>
                <w:b/>
                <w:sz w:val="19"/>
              </w:rPr>
              <w:t>Document Owner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[Name, Title]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Version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0.1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Status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Draft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Effective Date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[Date]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Review Frequency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[Annual]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Approved By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[Name / Committee]</w:t>
            </w:r>
          </w:p>
        </w:tc>
      </w:tr>
      <w:tr>
        <w:tc>
          <w:tcPr>
            <w:tcW w:type="dxa" w:w="2736"/>
          </w:tcPr>
          <w:p>
            <w:r>
              <w:rPr>
                <w:b/>
                <w:sz w:val="19"/>
              </w:rPr>
              <w:t>Classification</w:t>
            </w:r>
          </w:p>
        </w:tc>
        <w:tc>
          <w:tcPr>
            <w:tcW w:type="dxa" w:w="6624"/>
          </w:tcPr>
          <w:p>
            <w:r>
              <w:rPr>
                <w:color w:val="8A8A8A"/>
                <w:sz w:val="19"/>
              </w:rPr>
              <w:t>[Internal]</w:t>
            </w:r>
          </w:p>
        </w:tc>
      </w:tr>
    </w:tbl>
    <w:p/>
    <w:p>
      <w:pPr>
        <w:pStyle w:val="Heading2"/>
      </w:pPr>
      <w:r>
        <w:t>1. State the Purpose and Mandate</w:t>
      </w:r>
    </w:p>
    <w:p>
      <w:r>
        <w:t>The AI Governance Committee is established by [the Chief Risk Officer and Chief Technology Officer] to oversee the responsible, ethical, and secure development, procurement, and deployment of AI systems, and to enforce the AI Governance Policy.</w:t>
      </w:r>
    </w:p>
    <w:p>
      <w:pPr>
        <w:pStyle w:val="Heading2"/>
      </w:pPr>
      <w:r>
        <w:t>2. Name the Membership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3456"/>
          </w:tcPr>
          <w:p>
            <w:r>
              <w:rPr>
                <w:b/>
                <w:sz w:val="20"/>
              </w:rPr>
              <w:t>Chair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Co-Chair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Legal / Privacy member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Information Security member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Data Science / Engineering member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Rotating business member(s)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  <w:tr>
        <w:tc>
          <w:tcPr>
            <w:tcW w:type="dxa" w:w="3456"/>
          </w:tcPr>
          <w:p>
            <w:r>
              <w:rPr>
                <w:b/>
                <w:sz w:val="20"/>
              </w:rPr>
              <w:t>Secretary (minutes, inventory, artifacts)</w:t>
            </w:r>
          </w:p>
        </w:tc>
        <w:tc>
          <w:tcPr>
            <w:tcW w:type="dxa" w:w="5904"/>
          </w:tcPr>
          <w:p>
            <w:r>
              <w:t xml:space="preserve"> </w:t>
            </w:r>
          </w:p>
        </w:tc>
      </w:tr>
    </w:tbl>
    <w:p/>
    <w:p>
      <w:pPr>
        <w:pStyle w:val="Heading2"/>
      </w:pPr>
      <w:r>
        <w:t>3. Define Decision Authority</w:t>
      </w:r>
    </w:p>
    <w:p>
      <w:pPr>
        <w:pStyle w:val="ListBullet"/>
      </w:pPr>
      <w:r>
        <w:t>Low: Business Owner and Technical Lead approve jointly; Committee informed via quarterly summary.</w:t>
      </w:r>
    </w:p>
    <w:p>
      <w:pPr>
        <w:pStyle w:val="ListBullet"/>
      </w:pPr>
      <w:r>
        <w:t>Medium: IT Governance review added; Committee informed, with escalation available.</w:t>
      </w:r>
    </w:p>
    <w:p>
      <w:pPr>
        <w:pStyle w:val="ListBullet"/>
      </w:pPr>
      <w:r>
        <w:t>High: full Committee review and documented majority vote required before production use.</w:t>
      </w:r>
    </w:p>
    <w:p>
      <w:pPr>
        <w:pStyle w:val="ListBullet"/>
      </w:pPr>
      <w:r>
        <w:t>Critical: Committee vote plus [CRO and CTO] co-signature and board notification.</w:t>
      </w:r>
    </w:p>
    <w:p>
      <w:pPr>
        <w:pStyle w:val="Heading2"/>
      </w:pPr>
      <w:r>
        <w:t>4. Set Meetings and Procedures</w:t>
      </w:r>
    </w:p>
    <w:p>
      <w:r>
        <w:t>The Committee meets [monthly], with ad hoc sessions for High or Critical approvals that cannot wait. Quorum is the Chair or Co-Chair plus at least three core members including Legal or Compliance. Decisions require a majority of members present; the Chair breaks ties. Every decision and its reasoning is recorded in minutes archived by the Secretary.</w:t>
      </w:r>
    </w:p>
    <w:p>
      <w:pPr>
        <w:pStyle w:val="Heading2"/>
      </w:pPr>
      <w:r>
        <w:t>5. Adopt the Standing Agenda</w:t>
      </w:r>
    </w:p>
    <w:p>
      <w:pPr>
        <w:pStyle w:val="ListBullet"/>
      </w:pPr>
      <w:r>
        <w:t>Inventory changes and new registrations</w:t>
      </w:r>
    </w:p>
    <w:p>
      <w:pPr>
        <w:pStyle w:val="ListBullet"/>
      </w:pPr>
      <w:r>
        <w:t>Intake decisions awaiting Committee review</w:t>
      </w:r>
    </w:p>
    <w:p>
      <w:pPr>
        <w:pStyle w:val="ListBullet"/>
      </w:pPr>
      <w:r>
        <w:t>Open incidents and their status</w:t>
      </w:r>
    </w:p>
    <w:p>
      <w:pPr>
        <w:pStyle w:val="ListBullet"/>
      </w:pPr>
      <w:r>
        <w:t>Policy exceptions requested or expiring</w:t>
      </w:r>
    </w:p>
    <w:p>
      <w:pPr>
        <w:pStyle w:val="ListBullet"/>
      </w:pPr>
      <w:r>
        <w:t>Vendor issues and upcoming renewals</w:t>
      </w:r>
    </w:p>
    <w:p>
      <w:pPr>
        <w:pStyle w:val="ListBullet"/>
      </w:pPr>
      <w:r>
        <w:t>Monitoring trends and threshold breaches</w:t>
      </w:r>
    </w:p>
    <w:p>
      <w:pPr>
        <w:pStyle w:val="ListBullet"/>
      </w:pPr>
      <w:r>
        <w:t>Audit findings and remediation status</w:t>
      </w:r>
    </w:p>
    <w:p>
      <w:pPr>
        <w:pStyle w:val="ListBullet"/>
      </w:pPr>
      <w:r>
        <w:t>Upcoming regulatory or business changes</w:t>
      </w:r>
    </w:p>
    <w:p>
      <w:pPr>
        <w:pStyle w:val="Heading2"/>
      </w:pPr>
      <w:r>
        <w:t>6. Confirm Authority</w:t>
      </w:r>
    </w:p>
    <w:p>
      <w:r>
        <w:t>The Committee may pause or halt any AI system found to violate policy, pose unacceptable risk, or operate outside its validated parameters; may request any documentation or testing result from a project team; and escalates unresolved disagreements to [the Board Risk Committee].</w:t>
      </w:r>
    </w:p>
    <w:p>
      <w:pPr>
        <w:pStyle w:val="Heading2"/>
      </w:pPr>
      <w:r>
        <w:t>Approval and Sign-Off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Role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Name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Signature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</w:tr>
      <w:tr>
        <w:tc>
          <w:tcPr>
            <w:tcW w:type="dxa" w:w="2160"/>
          </w:tcPr>
          <w:p>
            <w:r>
              <w:rPr>
                <w:sz w:val="19"/>
              </w:rPr>
              <w:t>Executive Sponsor (CRO)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  <w:tr>
        <w:tc>
          <w:tcPr>
            <w:tcW w:type="dxa" w:w="2160"/>
          </w:tcPr>
          <w:p>
            <w:r>
              <w:rPr>
                <w:sz w:val="19"/>
              </w:rPr>
              <w:t>Executive Sponsor (CTO)</w:t>
            </w:r>
          </w:p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p>
      <w:pPr>
        <w:pStyle w:val="Heading2"/>
      </w:pPr>
      <w:r>
        <w:t>Revision History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  <w:sz w:val="19"/>
              </w:rPr>
              <w:t>Version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Date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Description</w:t>
            </w:r>
          </w:p>
        </w:tc>
        <w:tc>
          <w:tcPr>
            <w:tcW w:type="dxa" w:w="2160"/>
          </w:tcPr>
          <w:p>
            <w:r>
              <w:rPr>
                <w:b/>
                <w:sz w:val="19"/>
              </w:rPr>
              <w:t>Author</w:t>
            </w:r>
          </w:p>
        </w:tc>
      </w:tr>
      <w:tr>
        <w:tc>
          <w:tcPr>
            <w:tcW w:type="dxa" w:w="2160"/>
          </w:tcPr>
          <w:p>
            <w:r>
              <w:rPr>
                <w:color w:val="8A8A8A"/>
                <w:sz w:val="19"/>
              </w:rPr>
              <w:t>0.1</w:t>
            </w:r>
          </w:p>
        </w:tc>
        <w:tc>
          <w:tcPr>
            <w:tcW w:type="dxa" w:w="2160"/>
          </w:tcPr>
          <w:p>
            <w:r>
              <w:rPr>
                <w:color w:val="8A8A8A"/>
                <w:sz w:val="19"/>
              </w:rPr>
              <w:t>[Date]</w:t>
            </w:r>
          </w:p>
        </w:tc>
        <w:tc>
          <w:tcPr>
            <w:tcW w:type="dxa" w:w="2160"/>
          </w:tcPr>
          <w:p>
            <w:r>
              <w:rPr>
                <w:color w:val="8A8A8A"/>
                <w:sz w:val="19"/>
              </w:rPr>
              <w:t>Initial draft from toolkit template</w:t>
            </w:r>
          </w:p>
        </w:tc>
        <w:tc>
          <w:tcPr>
            <w:tcW w:type="dxa" w:w="2160"/>
          </w:tcPr>
          <w:p>
            <w:r>
              <w:rPr>
                <w:color w:val="8A8A8A"/>
                <w:sz w:val="19"/>
              </w:rPr>
              <w:t>[Name]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2F3B52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2F3B52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2F3B52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