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color w:val="2F3B52"/>
          <w:sz w:val="38"/>
        </w:rPr>
        <w:t>AI Governance Policy</w:t>
      </w:r>
    </w:p>
    <w:p>
      <w:r>
        <w:rPr>
          <w:i/>
          <w:color w:val="2F3B52"/>
          <w:sz w:val="22"/>
        </w:rPr>
        <w:t>Enterprise policy establishing AI governance requirements</w:t>
      </w:r>
    </w:p>
    <w:p>
      <w:r>
        <w:rPr>
          <w:i/>
          <w:color w:val="8A8A8A"/>
          <w:sz w:val="18"/>
        </w:rPr>
        <w:t>Companion template to The AI Governance Implementation Guide, Chapter 2 and Appendix C.</w:t>
      </w:r>
    </w:p>
    <w:p>
      <w:r>
        <w:rPr>
          <w:i/>
          <w:color w:val="8A8A8A"/>
          <w:sz w:val="18"/>
        </w:rPr>
        <w:t>Instructions: replace every [bracketed] item, complete every field, and delete all gray instructional text before finalizing.</w:t>
      </w:r>
    </w:p>
    <w:p/>
    <w:tbl>
      <w:tblPr>
        <w:tblStyle w:val="TableGrid"/>
        <w:tblW w:type="auto" w:w="0"/>
        <w:tblLook w:firstColumn="1" w:firstRow="1" w:lastColumn="0" w:lastRow="0" w:noHBand="0" w:noVBand="1" w:val="04A0"/>
      </w:tblPr>
      <w:tblGrid>
        <w:gridCol w:w="4320"/>
        <w:gridCol w:w="4320"/>
      </w:tblGrid>
      <w:tr>
        <w:tc>
          <w:tcPr>
            <w:tcW w:type="dxa" w:w="2736"/>
          </w:tcPr>
          <w:p>
            <w:r>
              <w:rPr>
                <w:b/>
                <w:sz w:val="19"/>
              </w:rPr>
              <w:t>Document Owner</w:t>
            </w:r>
          </w:p>
        </w:tc>
        <w:tc>
          <w:tcPr>
            <w:tcW w:type="dxa" w:w="6624"/>
          </w:tcPr>
          <w:p>
            <w:r>
              <w:rPr>
                <w:color w:val="8A8A8A"/>
                <w:sz w:val="19"/>
              </w:rPr>
              <w:t>[Name, Title]</w:t>
            </w:r>
          </w:p>
        </w:tc>
      </w:tr>
      <w:tr>
        <w:tc>
          <w:tcPr>
            <w:tcW w:type="dxa" w:w="2736"/>
          </w:tcPr>
          <w:p>
            <w:r>
              <w:rPr>
                <w:b/>
                <w:sz w:val="19"/>
              </w:rPr>
              <w:t>Version</w:t>
            </w:r>
          </w:p>
        </w:tc>
        <w:tc>
          <w:tcPr>
            <w:tcW w:type="dxa" w:w="6624"/>
          </w:tcPr>
          <w:p>
            <w:r>
              <w:rPr>
                <w:color w:val="8A8A8A"/>
                <w:sz w:val="19"/>
              </w:rPr>
              <w:t>0.1</w:t>
            </w:r>
          </w:p>
        </w:tc>
      </w:tr>
      <w:tr>
        <w:tc>
          <w:tcPr>
            <w:tcW w:type="dxa" w:w="2736"/>
          </w:tcPr>
          <w:p>
            <w:r>
              <w:rPr>
                <w:b/>
                <w:sz w:val="19"/>
              </w:rPr>
              <w:t>Status</w:t>
            </w:r>
          </w:p>
        </w:tc>
        <w:tc>
          <w:tcPr>
            <w:tcW w:type="dxa" w:w="6624"/>
          </w:tcPr>
          <w:p>
            <w:r>
              <w:rPr>
                <w:color w:val="8A8A8A"/>
                <w:sz w:val="19"/>
              </w:rPr>
              <w:t>Draft</w:t>
            </w:r>
          </w:p>
        </w:tc>
      </w:tr>
      <w:tr>
        <w:tc>
          <w:tcPr>
            <w:tcW w:type="dxa" w:w="2736"/>
          </w:tcPr>
          <w:p>
            <w:r>
              <w:rPr>
                <w:b/>
                <w:sz w:val="19"/>
              </w:rPr>
              <w:t>Effective Date</w:t>
            </w:r>
          </w:p>
        </w:tc>
        <w:tc>
          <w:tcPr>
            <w:tcW w:type="dxa" w:w="6624"/>
          </w:tcPr>
          <w:p>
            <w:r>
              <w:rPr>
                <w:color w:val="8A8A8A"/>
                <w:sz w:val="19"/>
              </w:rPr>
              <w:t>[Date]</w:t>
            </w:r>
          </w:p>
        </w:tc>
      </w:tr>
      <w:tr>
        <w:tc>
          <w:tcPr>
            <w:tcW w:type="dxa" w:w="2736"/>
          </w:tcPr>
          <w:p>
            <w:r>
              <w:rPr>
                <w:b/>
                <w:sz w:val="19"/>
              </w:rPr>
              <w:t>Review Frequency</w:t>
            </w:r>
          </w:p>
        </w:tc>
        <w:tc>
          <w:tcPr>
            <w:tcW w:type="dxa" w:w="6624"/>
          </w:tcPr>
          <w:p>
            <w:r>
              <w:rPr>
                <w:color w:val="8A8A8A"/>
                <w:sz w:val="19"/>
              </w:rPr>
              <w:t>[Annual]</w:t>
            </w:r>
          </w:p>
        </w:tc>
      </w:tr>
      <w:tr>
        <w:tc>
          <w:tcPr>
            <w:tcW w:type="dxa" w:w="2736"/>
          </w:tcPr>
          <w:p>
            <w:r>
              <w:rPr>
                <w:b/>
                <w:sz w:val="19"/>
              </w:rPr>
              <w:t>Approved By</w:t>
            </w:r>
          </w:p>
        </w:tc>
        <w:tc>
          <w:tcPr>
            <w:tcW w:type="dxa" w:w="6624"/>
          </w:tcPr>
          <w:p>
            <w:r>
              <w:rPr>
                <w:color w:val="8A8A8A"/>
                <w:sz w:val="19"/>
              </w:rPr>
              <w:t>[Name / Committee]</w:t>
            </w:r>
          </w:p>
        </w:tc>
      </w:tr>
      <w:tr>
        <w:tc>
          <w:tcPr>
            <w:tcW w:type="dxa" w:w="2736"/>
          </w:tcPr>
          <w:p>
            <w:r>
              <w:rPr>
                <w:b/>
                <w:sz w:val="19"/>
              </w:rPr>
              <w:t>Classification</w:t>
            </w:r>
          </w:p>
        </w:tc>
        <w:tc>
          <w:tcPr>
            <w:tcW w:type="dxa" w:w="6624"/>
          </w:tcPr>
          <w:p>
            <w:r>
              <w:rPr>
                <w:color w:val="8A8A8A"/>
                <w:sz w:val="19"/>
              </w:rPr>
              <w:t>[Internal]</w:t>
            </w:r>
          </w:p>
        </w:tc>
      </w:tr>
    </w:tbl>
    <w:p/>
    <w:p>
      <w:pPr>
        <w:pStyle w:val="Heading2"/>
      </w:pPr>
      <w:r>
        <w:t>1. State the Purpose and Scope</w:t>
      </w:r>
    </w:p>
    <w:p>
      <w:r>
        <w:t>This policy defines the governance, risk management, and compliance requirements for all AI systems developed, deployed, or procured by [Organization Name]. It applies to all employees, contractors, and vendors, and covers the full AI lifecycle: Govern, Map, Measure, and Manage. It supersedes any prior informal practice for approving or monitoring AI use.</w:t>
      </w:r>
    </w:p>
    <w:p>
      <w:pPr>
        <w:pStyle w:val="Heading2"/>
      </w:pPr>
      <w:r>
        <w:t>2. Adopt the Definitions and Taxonomy</w:t>
      </w:r>
    </w:p>
    <w:p>
      <w:r>
        <w:t>The organization applies the approved AI Taxonomy (see the Risk Scoring Worksheet, Scoring Rubric tab) to determine whether a tool, feature, or workflow is in scope. Questions of scope are resolved by [IT Governance], with escalation to the AI Governance Committee if unresolved within five business days.</w:t>
      </w:r>
    </w:p>
    <w:p>
      <w:pPr>
        <w:pStyle w:val="Heading2"/>
      </w:pPr>
      <w:r>
        <w:t>3. Establish the Governance Structure</w:t>
      </w:r>
    </w:p>
    <w:p>
      <w:r>
        <w:t>The AI Governance Committee, chartered separately, is the final approval authority for High and Critical risk AI systems. Every AI system has a named Business Owner accountable for appropriate use, operational impact, and risk acceptance, and a named Technical Lead accountable for technical performance, monitoring, and documentation. Both roles must have a named backup recorded in the AI Inventory.</w:t>
      </w:r>
    </w:p>
    <w:p>
      <w:pPr>
        <w:pStyle w:val="Heading2"/>
      </w:pPr>
      <w:r>
        <w:t>4. Apply Risk Classification</w:t>
      </w:r>
    </w:p>
    <w:p>
      <w:r>
        <w:t>Every AI system is scored using the five-factor methodology (data sensitivity, autonomy, decision impact, regulatory exposure, business criticality; each 1 to 4 points). Total score determines the tier: 5-9 Low, 10-13 Medium, 14-17 High, 18-20 Critical. The tier determines required reviewers, monitoring frequency, and documentation depth.</w:t>
      </w:r>
    </w:p>
    <w:p>
      <w:pPr>
        <w:pStyle w:val="Heading2"/>
      </w:pPr>
      <w:r>
        <w:t>5. Enforce Lifecycle Requirements</w:t>
      </w:r>
    </w:p>
    <w:p>
      <w:pPr>
        <w:pStyle w:val="ListBullet"/>
      </w:pPr>
      <w:r>
        <w:t>No AI system may enter production use, or begin processing sensitive data, without a completed intake form, an assigned risk tier, and, for High and Critical systems, Committee approval.</w:t>
      </w:r>
    </w:p>
    <w:p>
      <w:pPr>
        <w:pStyle w:val="ListBullet"/>
      </w:pPr>
      <w:r>
        <w:t>High and Critical systems require documented validation and bias testing before launch, and adversarial security testing where customer facing or internet exposed.</w:t>
      </w:r>
    </w:p>
    <w:p>
      <w:pPr>
        <w:pStyle w:val="ListBullet"/>
      </w:pPr>
      <w:r>
        <w:t>Every High and Critical system requires an active monitoring plan and a documented risk treatment plan before remaining in production past its initial pilot period.</w:t>
      </w:r>
    </w:p>
    <w:p>
      <w:pPr>
        <w:pStyle w:val="Heading2"/>
      </w:pPr>
      <w:r>
        <w:t>6. Govern Vendors</w:t>
      </w:r>
    </w:p>
    <w:p>
      <w:r>
        <w:t>Vendors providing AI-based capabilities are assessed using the AI Vendor Risk Assessment before contract signature. Contracts must address customer data use, model training, retention, and subprocessors. Critical vendors require a documented continuity and exit plan.</w:t>
      </w:r>
    </w:p>
    <w:p>
      <w:pPr>
        <w:pStyle w:val="Heading2"/>
      </w:pPr>
      <w:r>
        <w:t>7. Require Training and Attestation</w:t>
      </w:r>
    </w:p>
    <w:p>
      <w:r>
        <w:t>All employees complete role-based AI training. Employees and contractors involved in AI development, procurement, approval, or operation acknowledge this policy at onboarding and annually thereafter, with each attestation tied to the current policy version.</w:t>
      </w:r>
    </w:p>
    <w:p>
      <w:pPr>
        <w:pStyle w:val="Heading2"/>
      </w:pPr>
      <w:r>
        <w:t>8. Report Incidents</w:t>
      </w:r>
    </w:p>
    <w:p>
      <w:r>
        <w:t>AI-related incidents are reported, escalated, and resolved according to the severity tiers and notification windows in the AI Incident Response Playbook. High-severity matters reach the Committee and executive risk leadership within 24 hours of detection.</w:t>
      </w:r>
    </w:p>
    <w:p>
      <w:pPr>
        <w:pStyle w:val="Heading2"/>
      </w:pPr>
      <w:r>
        <w:t>9. Monitor, Review, and Retire</w:t>
      </w:r>
    </w:p>
    <w:p>
      <w:r>
        <w:t>The AI Inventory is reconciled on a defined schedule. High and Critical models are reviewed on a risk-based calendar and retired through the documented decommissioning checklist, with technical shutdown verified before the inventory is updated.</w:t>
      </w:r>
    </w:p>
    <w:p>
      <w:pPr>
        <w:pStyle w:val="Heading2"/>
      </w:pPr>
      <w:r>
        <w:t>10. Manage Exceptions</w:t>
      </w:r>
    </w:p>
    <w:p>
      <w:r>
        <w:t>Any exception must be documented, time bound, approved by the Committee for High and Critical systems, and logged in the AI Inventory exception field.</w:t>
      </w:r>
    </w:p>
    <w:p>
      <w:pPr>
        <w:pStyle w:val="Heading2"/>
      </w:pPr>
      <w:r>
        <w:t>Approval and Sign-Off</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rPr>
                <w:b/>
                <w:sz w:val="19"/>
              </w:rPr>
              <w:t>Role</w:t>
            </w:r>
          </w:p>
        </w:tc>
        <w:tc>
          <w:tcPr>
            <w:tcW w:type="dxa" w:w="2160"/>
          </w:tcPr>
          <w:p>
            <w:r>
              <w:rPr>
                <w:b/>
                <w:sz w:val="19"/>
              </w:rPr>
              <w:t>Name</w:t>
            </w:r>
          </w:p>
        </w:tc>
        <w:tc>
          <w:tcPr>
            <w:tcW w:type="dxa" w:w="2160"/>
          </w:tcPr>
          <w:p>
            <w:r>
              <w:rPr>
                <w:b/>
                <w:sz w:val="19"/>
              </w:rPr>
              <w:t>Signature</w:t>
            </w:r>
          </w:p>
        </w:tc>
        <w:tc>
          <w:tcPr>
            <w:tcW w:type="dxa" w:w="2160"/>
          </w:tcPr>
          <w:p>
            <w:r>
              <w:rPr>
                <w:b/>
                <w:sz w:val="19"/>
              </w:rPr>
              <w:t>Date</w:t>
            </w:r>
          </w:p>
        </w:tc>
      </w:tr>
      <w:tr>
        <w:tc>
          <w:tcPr>
            <w:tcW w:type="dxa" w:w="2160"/>
          </w:tcPr>
          <w:p>
            <w:r>
              <w:rPr>
                <w:sz w:val="19"/>
              </w:rPr>
              <w:t>Chief Risk Officer</w:t>
            </w:r>
          </w:p>
        </w:tc>
        <w:tc>
          <w:tcPr>
            <w:tcW w:type="dxa" w:w="2160"/>
          </w:tcPr>
          <w:p/>
        </w:tc>
        <w:tc>
          <w:tcPr>
            <w:tcW w:type="dxa" w:w="2160"/>
          </w:tcPr>
          <w:p/>
        </w:tc>
        <w:tc>
          <w:tcPr>
            <w:tcW w:type="dxa" w:w="2160"/>
          </w:tcPr>
          <w:p/>
        </w:tc>
      </w:tr>
      <w:tr>
        <w:tc>
          <w:tcPr>
            <w:tcW w:type="dxa" w:w="2160"/>
          </w:tcPr>
          <w:p>
            <w:r>
              <w:rPr>
                <w:sz w:val="19"/>
              </w:rPr>
              <w:t>Chief Technology Officer</w:t>
            </w:r>
          </w:p>
        </w:tc>
        <w:tc>
          <w:tcPr>
            <w:tcW w:type="dxa" w:w="2160"/>
          </w:tcPr>
          <w:p/>
        </w:tc>
        <w:tc>
          <w:tcPr>
            <w:tcW w:type="dxa" w:w="2160"/>
          </w:tcPr>
          <w:p/>
        </w:tc>
        <w:tc>
          <w:tcPr>
            <w:tcW w:type="dxa" w:w="2160"/>
          </w:tcPr>
          <w:p/>
        </w:tc>
      </w:tr>
      <w:tr>
        <w:tc>
          <w:tcPr>
            <w:tcW w:type="dxa" w:w="2160"/>
          </w:tcPr>
          <w:p>
            <w:r>
              <w:rPr>
                <w:sz w:val="19"/>
              </w:rPr>
              <w:t>AI Governance Committee Chair</w:t>
            </w:r>
          </w:p>
        </w:tc>
        <w:tc>
          <w:tcPr>
            <w:tcW w:type="dxa" w:w="2160"/>
          </w:tcPr>
          <w:p/>
        </w:tc>
        <w:tc>
          <w:tcPr>
            <w:tcW w:type="dxa" w:w="2160"/>
          </w:tcPr>
          <w:p/>
        </w:tc>
        <w:tc>
          <w:tcPr>
            <w:tcW w:type="dxa" w:w="2160"/>
          </w:tcPr>
          <w:p/>
        </w:tc>
      </w:tr>
    </w:tbl>
    <w:p/>
    <w:p>
      <w:pPr>
        <w:pStyle w:val="Heading2"/>
      </w:pPr>
      <w:r>
        <w:t>Revision History</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rPr>
                <w:b/>
                <w:sz w:val="19"/>
              </w:rPr>
              <w:t>Version</w:t>
            </w:r>
          </w:p>
        </w:tc>
        <w:tc>
          <w:tcPr>
            <w:tcW w:type="dxa" w:w="2160"/>
          </w:tcPr>
          <w:p>
            <w:r>
              <w:rPr>
                <w:b/>
                <w:sz w:val="19"/>
              </w:rPr>
              <w:t>Date</w:t>
            </w:r>
          </w:p>
        </w:tc>
        <w:tc>
          <w:tcPr>
            <w:tcW w:type="dxa" w:w="2160"/>
          </w:tcPr>
          <w:p>
            <w:r>
              <w:rPr>
                <w:b/>
                <w:sz w:val="19"/>
              </w:rPr>
              <w:t>Description</w:t>
            </w:r>
          </w:p>
        </w:tc>
        <w:tc>
          <w:tcPr>
            <w:tcW w:type="dxa" w:w="2160"/>
          </w:tcPr>
          <w:p>
            <w:r>
              <w:rPr>
                <w:b/>
                <w:sz w:val="19"/>
              </w:rPr>
              <w:t>Author</w:t>
            </w:r>
          </w:p>
        </w:tc>
      </w:tr>
      <w:tr>
        <w:tc>
          <w:tcPr>
            <w:tcW w:type="dxa" w:w="2160"/>
          </w:tcPr>
          <w:p>
            <w:r>
              <w:rPr>
                <w:color w:val="8A8A8A"/>
                <w:sz w:val="19"/>
              </w:rPr>
              <w:t>0.1</w:t>
            </w:r>
          </w:p>
        </w:tc>
        <w:tc>
          <w:tcPr>
            <w:tcW w:type="dxa" w:w="2160"/>
          </w:tcPr>
          <w:p>
            <w:r>
              <w:rPr>
                <w:color w:val="8A8A8A"/>
                <w:sz w:val="19"/>
              </w:rPr>
              <w:t>[Date]</w:t>
            </w:r>
          </w:p>
        </w:tc>
        <w:tc>
          <w:tcPr>
            <w:tcW w:type="dxa" w:w="2160"/>
          </w:tcPr>
          <w:p>
            <w:r>
              <w:rPr>
                <w:color w:val="8A8A8A"/>
                <w:sz w:val="19"/>
              </w:rPr>
              <w:t>Initial draft from toolkit template</w:t>
            </w:r>
          </w:p>
        </w:tc>
        <w:tc>
          <w:tcPr>
            <w:tcW w:type="dxa" w:w="2160"/>
          </w:tcPr>
          <w:p>
            <w:r>
              <w:rPr>
                <w:color w:val="8A8A8A"/>
                <w:sz w:val="19"/>
              </w:rPr>
              <w:t>[Name]</w:t>
            </w:r>
          </w:p>
        </w:tc>
      </w:tr>
      <w:tr>
        <w:tc>
          <w:tcPr>
            <w:tcW w:type="dxa" w:w="2160"/>
          </w:tcPr>
          <w:p/>
        </w:tc>
        <w:tc>
          <w:tcPr>
            <w:tcW w:type="dxa" w:w="2160"/>
          </w:tcPr>
          <w:p/>
        </w:tc>
        <w:tc>
          <w:tcPr>
            <w:tcW w:type="dxa" w:w="2160"/>
          </w:tcPr>
          <w:p/>
        </w:tc>
        <w:tc>
          <w:tcPr>
            <w:tcW w:type="dxa" w:w="2160"/>
          </w:tcPr>
          <w:p/>
        </w:tc>
      </w:tr>
    </w:tbl>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2F3B52"/>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2F3B52"/>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2F3B52"/>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