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2F3B52"/>
          <w:sz w:val="38"/>
        </w:rPr>
        <w:t>AI Incident Response Playbook</w:t>
      </w:r>
    </w:p>
    <w:p>
      <w:r>
        <w:rPr>
          <w:i/>
          <w:color w:val="2F3B52"/>
          <w:sz w:val="22"/>
        </w:rPr>
        <w:t>Severity tiers, response procedure, and post-incident learning</w:t>
      </w:r>
    </w:p>
    <w:p>
      <w:r>
        <w:rPr>
          <w:i/>
          <w:color w:val="8A8A8A"/>
          <w:sz w:val="18"/>
        </w:rPr>
        <w:t>Companion template to The AI Governance Implementation Guide, Chapters 2 and 9, and Appendix M.</w:t>
      </w:r>
    </w:p>
    <w:p>
      <w:r>
        <w:rPr>
          <w:i/>
          <w:color w:val="8A8A8A"/>
          <w:sz w:val="18"/>
        </w:rPr>
        <w:t>Instructions: replace every [bracketed] item, complete every field, and delete all gray instructional text before finalizing.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736"/>
          </w:tcPr>
          <w:p>
            <w:r>
              <w:rPr>
                <w:b/>
                <w:sz w:val="19"/>
              </w:rPr>
              <w:t>Document Owner</w:t>
            </w:r>
          </w:p>
        </w:tc>
        <w:tc>
          <w:tcPr>
            <w:tcW w:type="dxa" w:w="6624"/>
          </w:tcPr>
          <w:p>
            <w:r>
              <w:rPr>
                <w:color w:val="8A8A8A"/>
                <w:sz w:val="19"/>
              </w:rPr>
              <w:t>[Name, Title]</w:t>
            </w:r>
          </w:p>
        </w:tc>
      </w:tr>
      <w:tr>
        <w:tc>
          <w:tcPr>
            <w:tcW w:type="dxa" w:w="2736"/>
          </w:tcPr>
          <w:p>
            <w:r>
              <w:rPr>
                <w:b/>
                <w:sz w:val="19"/>
              </w:rPr>
              <w:t>Version</w:t>
            </w:r>
          </w:p>
        </w:tc>
        <w:tc>
          <w:tcPr>
            <w:tcW w:type="dxa" w:w="6624"/>
          </w:tcPr>
          <w:p>
            <w:r>
              <w:rPr>
                <w:color w:val="8A8A8A"/>
                <w:sz w:val="19"/>
              </w:rPr>
              <w:t>0.1</w:t>
            </w:r>
          </w:p>
        </w:tc>
      </w:tr>
      <w:tr>
        <w:tc>
          <w:tcPr>
            <w:tcW w:type="dxa" w:w="2736"/>
          </w:tcPr>
          <w:p>
            <w:r>
              <w:rPr>
                <w:b/>
                <w:sz w:val="19"/>
              </w:rPr>
              <w:t>Status</w:t>
            </w:r>
          </w:p>
        </w:tc>
        <w:tc>
          <w:tcPr>
            <w:tcW w:type="dxa" w:w="6624"/>
          </w:tcPr>
          <w:p>
            <w:r>
              <w:rPr>
                <w:color w:val="8A8A8A"/>
                <w:sz w:val="19"/>
              </w:rPr>
              <w:t>Draft</w:t>
            </w:r>
          </w:p>
        </w:tc>
      </w:tr>
      <w:tr>
        <w:tc>
          <w:tcPr>
            <w:tcW w:type="dxa" w:w="2736"/>
          </w:tcPr>
          <w:p>
            <w:r>
              <w:rPr>
                <w:b/>
                <w:sz w:val="19"/>
              </w:rPr>
              <w:t>Effective Date</w:t>
            </w:r>
          </w:p>
        </w:tc>
        <w:tc>
          <w:tcPr>
            <w:tcW w:type="dxa" w:w="6624"/>
          </w:tcPr>
          <w:p>
            <w:r>
              <w:rPr>
                <w:color w:val="8A8A8A"/>
                <w:sz w:val="19"/>
              </w:rPr>
              <w:t>[Date]</w:t>
            </w:r>
          </w:p>
        </w:tc>
      </w:tr>
      <w:tr>
        <w:tc>
          <w:tcPr>
            <w:tcW w:type="dxa" w:w="2736"/>
          </w:tcPr>
          <w:p>
            <w:r>
              <w:rPr>
                <w:b/>
                <w:sz w:val="19"/>
              </w:rPr>
              <w:t>Review Frequency</w:t>
            </w:r>
          </w:p>
        </w:tc>
        <w:tc>
          <w:tcPr>
            <w:tcW w:type="dxa" w:w="6624"/>
          </w:tcPr>
          <w:p>
            <w:r>
              <w:rPr>
                <w:color w:val="8A8A8A"/>
                <w:sz w:val="19"/>
              </w:rPr>
              <w:t>[Annual]</w:t>
            </w:r>
          </w:p>
        </w:tc>
      </w:tr>
      <w:tr>
        <w:tc>
          <w:tcPr>
            <w:tcW w:type="dxa" w:w="2736"/>
          </w:tcPr>
          <w:p>
            <w:r>
              <w:rPr>
                <w:b/>
                <w:sz w:val="19"/>
              </w:rPr>
              <w:t>Approved By</w:t>
            </w:r>
          </w:p>
        </w:tc>
        <w:tc>
          <w:tcPr>
            <w:tcW w:type="dxa" w:w="6624"/>
          </w:tcPr>
          <w:p>
            <w:r>
              <w:rPr>
                <w:color w:val="8A8A8A"/>
                <w:sz w:val="19"/>
              </w:rPr>
              <w:t>[Name / Committee]</w:t>
            </w:r>
          </w:p>
        </w:tc>
      </w:tr>
      <w:tr>
        <w:tc>
          <w:tcPr>
            <w:tcW w:type="dxa" w:w="2736"/>
          </w:tcPr>
          <w:p>
            <w:r>
              <w:rPr>
                <w:b/>
                <w:sz w:val="19"/>
              </w:rPr>
              <w:t>Classification</w:t>
            </w:r>
          </w:p>
        </w:tc>
        <w:tc>
          <w:tcPr>
            <w:tcW w:type="dxa" w:w="6624"/>
          </w:tcPr>
          <w:p>
            <w:r>
              <w:rPr>
                <w:color w:val="8A8A8A"/>
                <w:sz w:val="19"/>
              </w:rPr>
              <w:t>[Internal]</w:t>
            </w:r>
          </w:p>
        </w:tc>
      </w:tr>
    </w:tbl>
    <w:p/>
    <w:p>
      <w:pPr>
        <w:pStyle w:val="Heading2"/>
      </w:pPr>
      <w:r>
        <w:t>1. Classify Severity and Notify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  <w:t>Severity</w:t>
            </w:r>
          </w:p>
        </w:tc>
        <w:tc>
          <w:tcPr>
            <w:tcW w:type="dxa" w:w="2880"/>
          </w:tcPr>
          <w:p>
            <w:r>
              <w:rPr>
                <w:b/>
              </w:rPr>
              <w:t>Examples</w:t>
            </w:r>
          </w:p>
        </w:tc>
        <w:tc>
          <w:tcPr>
            <w:tcW w:type="dxa" w:w="2880"/>
          </w:tcPr>
          <w:p>
            <w:r>
              <w:rPr>
                <w:b/>
              </w:rPr>
              <w:t>Notification Window</w:t>
            </w:r>
          </w:p>
        </w:tc>
      </w:tr>
      <w:tr>
        <w:tc>
          <w:tcPr>
            <w:tcW w:type="dxa" w:w="2880"/>
          </w:tcPr>
          <w:p>
            <w:r>
              <w:t>High</w:t>
            </w:r>
          </w:p>
        </w:tc>
        <w:tc>
          <w:tcPr>
            <w:tcW w:type="dxa" w:w="2880"/>
          </w:tcPr>
          <w:p>
            <w:r>
              <w:t>Unsafe output reaching customers, confirmed data leakage, security breach</w:t>
            </w:r>
          </w:p>
        </w:tc>
        <w:tc>
          <w:tcPr>
            <w:tcW w:type="dxa" w:w="2880"/>
          </w:tcPr>
          <w:p>
            <w:r>
              <w:t>Within 24 hours to the Committee and executive risk leadership</w:t>
            </w:r>
          </w:p>
        </w:tc>
      </w:tr>
      <w:tr>
        <w:tc>
          <w:tcPr>
            <w:tcW w:type="dxa" w:w="2880"/>
          </w:tcPr>
          <w:p>
            <w:r>
              <w:t>Medium</w:t>
            </w:r>
          </w:p>
        </w:tc>
        <w:tc>
          <w:tcPr>
            <w:tcW w:type="dxa" w:w="2880"/>
          </w:tcPr>
          <w:p>
            <w:r>
              <w:t>Performance drift beyond threshold, suspected bias, blocked but concerning security event</w:t>
            </w:r>
          </w:p>
        </w:tc>
        <w:tc>
          <w:tcPr>
            <w:tcW w:type="dxa" w:w="2880"/>
          </w:tcPr>
          <w:p>
            <w:r>
              <w:t>Within 5 business days to the Committee</w:t>
            </w:r>
          </w:p>
        </w:tc>
      </w:tr>
      <w:tr>
        <w:tc>
          <w:tcPr>
            <w:tcW w:type="dxa" w:w="2880"/>
          </w:tcPr>
          <w:p>
            <w:r>
              <w:t>Low</w:t>
            </w:r>
          </w:p>
        </w:tc>
        <w:tc>
          <w:tcPr>
            <w:tcW w:type="dxa" w:w="2880"/>
          </w:tcPr>
          <w:p>
            <w:r>
              <w:t>Minor guardrail trigger, resolved false alarm</w:t>
            </w:r>
          </w:p>
        </w:tc>
        <w:tc>
          <w:tcPr>
            <w:tcW w:type="dxa" w:w="2880"/>
          </w:tcPr>
          <w:p>
            <w:r>
              <w:t>Logged; reviewed in the quarterly incident summary</w:t>
            </w:r>
          </w:p>
        </w:tc>
      </w:tr>
    </w:tbl>
    <w:p/>
    <w:p>
      <w:pPr>
        <w:pStyle w:val="Heading2"/>
      </w:pPr>
      <w:r>
        <w:t>2. Follow the Response Procedure</w:t>
      </w:r>
    </w:p>
    <w:p>
      <w:pPr>
        <w:pStyle w:val="ListBullet"/>
      </w:pPr>
      <w:r>
        <w:t>Detection: identify the anomaly (drift, hallucination, leakage, unauthorized access). Owner: Technical Lead. Immediate.</w:t>
      </w:r>
    </w:p>
    <w:p>
      <w:pPr>
        <w:pStyle w:val="ListBullet"/>
      </w:pPr>
      <w:r>
        <w:t>Containment: suspend the model or switch to the fallback. Owner: Technical Lead. Within 1 hour for High severity.</w:t>
      </w:r>
    </w:p>
    <w:p>
      <w:pPr>
        <w:pStyle w:val="ListBullet"/>
      </w:pPr>
      <w:r>
        <w:t>Notification: notify the Committee, Legal, and Privacy per the severity table. Owner: Business Owner.</w:t>
      </w:r>
    </w:p>
    <w:p>
      <w:pPr>
        <w:pStyle w:val="ListBullet"/>
      </w:pPr>
      <w:r>
        <w:t>Investigation: analyze logs to determine root cause. Owner: Technical and Security. Within 3 business days.</w:t>
      </w:r>
    </w:p>
    <w:p>
      <w:pPr>
        <w:pStyle w:val="ListBullet"/>
      </w:pPr>
      <w:r>
        <w:t>Resolution: implement the fix or retraining, and log it. Owner: Technical Lead.</w:t>
      </w:r>
    </w:p>
    <w:p>
      <w:pPr>
        <w:pStyle w:val="ListBullet"/>
      </w:pPr>
      <w:r>
        <w:t>Review: post-mortem to determine whether policy or controls need updating. Owner: Committee. Within 2 weeks of resolution.</w:t>
      </w:r>
    </w:p>
    <w:p>
      <w:pPr>
        <w:pStyle w:val="Heading2"/>
      </w:pPr>
      <w:r>
        <w:t>3. Clean Up Legacy Models (mandatory on every replacement)</w:t>
      </w:r>
    </w:p>
    <w:p>
      <w:r>
        <w:t>Whenever a system is replaced, a named Technical Lead confirms the old endpoint is disabled within [5] business days, with the access-removal ticket and shutdown confirmation attached to the retirement record before the inventory is marked Retired.</w:t>
      </w:r>
    </w:p>
    <w:p>
      <w:pPr>
        <w:pStyle w:val="Heading2"/>
      </w:pPr>
      <w:r>
        <w:t>4. Complete the Incident Report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3456"/>
          </w:tcPr>
          <w:p>
            <w:r>
              <w:rPr>
                <w:b/>
                <w:sz w:val="20"/>
              </w:rPr>
              <w:t>Date and time detected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System affected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Description of the anomaly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Severity assigned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Containment action taken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Root cause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Resolution and date closed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</w:tbl>
    <w:p/>
    <w:p>
      <w:pPr>
        <w:pStyle w:val="Heading2"/>
      </w:pPr>
      <w:r>
        <w:t>5. Capture Lessons Learned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3456"/>
          </w:tcPr>
          <w:p>
            <w:r>
              <w:rPr>
                <w:b/>
                <w:sz w:val="20"/>
              </w:rPr>
              <w:t>What happened, in plain language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What worked in the response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What should change (policy, training, or control)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Awareness update distributed (Y/N and date)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</w:tbl>
    <w:p/>
    <w:p>
      <w:pPr>
        <w:pStyle w:val="Heading2"/>
      </w:pPr>
      <w:r>
        <w:t>Approval and Sign-Off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  <w:sz w:val="19"/>
              </w:rPr>
              <w:t>Role</w:t>
            </w:r>
          </w:p>
        </w:tc>
        <w:tc>
          <w:tcPr>
            <w:tcW w:type="dxa" w:w="2160"/>
          </w:tcPr>
          <w:p>
            <w:r>
              <w:rPr>
                <w:b/>
                <w:sz w:val="19"/>
              </w:rPr>
              <w:t>Name</w:t>
            </w:r>
          </w:p>
        </w:tc>
        <w:tc>
          <w:tcPr>
            <w:tcW w:type="dxa" w:w="2160"/>
          </w:tcPr>
          <w:p>
            <w:r>
              <w:rPr>
                <w:b/>
                <w:sz w:val="19"/>
              </w:rPr>
              <w:t>Signature</w:t>
            </w:r>
          </w:p>
        </w:tc>
        <w:tc>
          <w:tcPr>
            <w:tcW w:type="dxa" w:w="2160"/>
          </w:tcPr>
          <w:p>
            <w:r>
              <w:rPr>
                <w:b/>
                <w:sz w:val="19"/>
              </w:rPr>
              <w:t>Date</w:t>
            </w:r>
          </w:p>
        </w:tc>
      </w:tr>
      <w:tr>
        <w:tc>
          <w:tcPr>
            <w:tcW w:type="dxa" w:w="2160"/>
          </w:tcPr>
          <w:p>
            <w:r>
              <w:rPr>
                <w:sz w:val="19"/>
              </w:rPr>
              <w:t>AI Governance Committee Chair</w:t>
            </w:r>
          </w:p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</w:tr>
      <w:tr>
        <w:tc>
          <w:tcPr>
            <w:tcW w:type="dxa" w:w="2160"/>
          </w:tcPr>
          <w:p>
            <w:r>
              <w:rPr>
                <w:sz w:val="19"/>
              </w:rPr>
              <w:t>Information Security Lead</w:t>
            </w:r>
          </w:p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</w:tr>
    </w:tbl>
    <w:p/>
    <w:p>
      <w:pPr>
        <w:pStyle w:val="Heading2"/>
      </w:pPr>
      <w:r>
        <w:t>Revision History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  <w:sz w:val="19"/>
              </w:rPr>
              <w:t>Version</w:t>
            </w:r>
          </w:p>
        </w:tc>
        <w:tc>
          <w:tcPr>
            <w:tcW w:type="dxa" w:w="2160"/>
          </w:tcPr>
          <w:p>
            <w:r>
              <w:rPr>
                <w:b/>
                <w:sz w:val="19"/>
              </w:rPr>
              <w:t>Date</w:t>
            </w:r>
          </w:p>
        </w:tc>
        <w:tc>
          <w:tcPr>
            <w:tcW w:type="dxa" w:w="2160"/>
          </w:tcPr>
          <w:p>
            <w:r>
              <w:rPr>
                <w:b/>
                <w:sz w:val="19"/>
              </w:rPr>
              <w:t>Description</w:t>
            </w:r>
          </w:p>
        </w:tc>
        <w:tc>
          <w:tcPr>
            <w:tcW w:type="dxa" w:w="2160"/>
          </w:tcPr>
          <w:p>
            <w:r>
              <w:rPr>
                <w:b/>
                <w:sz w:val="19"/>
              </w:rPr>
              <w:t>Author</w:t>
            </w:r>
          </w:p>
        </w:tc>
      </w:tr>
      <w:tr>
        <w:tc>
          <w:tcPr>
            <w:tcW w:type="dxa" w:w="2160"/>
          </w:tcPr>
          <w:p>
            <w:r>
              <w:rPr>
                <w:color w:val="8A8A8A"/>
                <w:sz w:val="19"/>
              </w:rPr>
              <w:t>0.1</w:t>
            </w:r>
          </w:p>
        </w:tc>
        <w:tc>
          <w:tcPr>
            <w:tcW w:type="dxa" w:w="2160"/>
          </w:tcPr>
          <w:p>
            <w:r>
              <w:rPr>
                <w:color w:val="8A8A8A"/>
                <w:sz w:val="19"/>
              </w:rPr>
              <w:t>[Date]</w:t>
            </w:r>
          </w:p>
        </w:tc>
        <w:tc>
          <w:tcPr>
            <w:tcW w:type="dxa" w:w="2160"/>
          </w:tcPr>
          <w:p>
            <w:r>
              <w:rPr>
                <w:color w:val="8A8A8A"/>
                <w:sz w:val="19"/>
              </w:rPr>
              <w:t>Initial draft from toolkit template</w:t>
            </w:r>
          </w:p>
        </w:tc>
        <w:tc>
          <w:tcPr>
            <w:tcW w:type="dxa" w:w="2160"/>
          </w:tcPr>
          <w:p>
            <w:r>
              <w:rPr>
                <w:color w:val="8A8A8A"/>
                <w:sz w:val="19"/>
              </w:rPr>
              <w:t>[Name]</w:t>
            </w:r>
          </w:p>
        </w:tc>
      </w:tr>
      <w:tr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</w:tr>
    </w:tbl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2F3B52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2F3B52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2F3B52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