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Vendor Risk Assessment</w:t>
      </w:r>
    </w:p>
    <w:p>
      <w:r>
        <w:rPr>
          <w:i/>
          <w:color w:val="2F3B52"/>
          <w:sz w:val="22"/>
        </w:rPr>
        <w:t>AI-specific due diligence before contract signature</w:t>
      </w:r>
    </w:p>
    <w:p>
      <w:r>
        <w:rPr>
          <w:i/>
          <w:color w:val="8A8A8A"/>
          <w:sz w:val="18"/>
        </w:rPr>
        <w:t>Companion template to The AI Governance Implementation Guide, Chapter 4 and Appendix H.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p>
      <w:pPr>
        <w:pStyle w:val="Heading2"/>
      </w:pPr>
      <w:r>
        <w:t>Part 1: Identify the Vendor and Use Case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Vendor name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Product / model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Business owner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Intended use case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Data to be shared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Proposed risk tier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2: Complete the AI-Specific Questionnaire</w:t>
      </w:r>
    </w:p>
    <w:p>
      <w:r>
        <w:rPr>
          <w:i/>
          <w:color w:val="8A8A8A"/>
          <w:sz w:val="18"/>
        </w:rPr>
        <w:t>Record the vendor's response under each question. Attach supporting documentation.</w:t>
      </w:r>
    </w:p>
    <w:p>
      <w:r>
        <w:t>1. Does the product use machine learning or generative AI to produce output, recommendations, or decisions?</w:t>
      </w:r>
    </w:p>
    <w:p>
      <w:r>
        <w:rPr>
          <w:color w:val="8A8A8A"/>
        </w:rPr>
        <w:t xml:space="preserve">    Response: </w:t>
      </w:r>
    </w:p>
    <w:p>
      <w:r>
        <w:t>2. What categories of company or customer data will the vendor receive?</w:t>
      </w:r>
    </w:p>
    <w:p>
      <w:r>
        <w:rPr>
          <w:color w:val="8A8A8A"/>
        </w:rPr>
        <w:t xml:space="preserve">    Response: </w:t>
      </w:r>
    </w:p>
    <w:p>
      <w:r>
        <w:t>3. Can prompts, uploads, or customer data be retained by the vendor?</w:t>
      </w:r>
    </w:p>
    <w:p>
      <w:r>
        <w:rPr>
          <w:color w:val="8A8A8A"/>
        </w:rPr>
        <w:t xml:space="preserve">    Response: </w:t>
      </w:r>
    </w:p>
    <w:p>
      <w:r>
        <w:t>4. Can our data be used to train, fine-tune, or otherwise improve the vendor's models? Cite the contract clause.</w:t>
      </w:r>
    </w:p>
    <w:p>
      <w:r>
        <w:rPr>
          <w:color w:val="8A8A8A"/>
        </w:rPr>
        <w:t xml:space="preserve">    Response: </w:t>
      </w:r>
    </w:p>
    <w:p>
      <w:r>
        <w:t>5. What subprocessors have access to our data, and how are we notified of changes?</w:t>
      </w:r>
    </w:p>
    <w:p>
      <w:r>
        <w:rPr>
          <w:color w:val="8A8A8A"/>
        </w:rPr>
        <w:t xml:space="preserve">    Response: </w:t>
      </w:r>
    </w:p>
    <w:p>
      <w:r>
        <w:t>6. What security certifications does the vendor hold, and when were they last audited?</w:t>
      </w:r>
    </w:p>
    <w:p>
      <w:r>
        <w:rPr>
          <w:color w:val="8A8A8A"/>
        </w:rPr>
        <w:t xml:space="preserve">    Response: </w:t>
      </w:r>
    </w:p>
    <w:p>
      <w:r>
        <w:t>7. Does the vendor document model limitations and known failure modes?</w:t>
      </w:r>
    </w:p>
    <w:p>
      <w:r>
        <w:rPr>
          <w:color w:val="8A8A8A"/>
        </w:rPr>
        <w:t xml:space="preserve">    Response: </w:t>
      </w:r>
    </w:p>
    <w:p>
      <w:r>
        <w:t>8. What human review capability does the product support or require?</w:t>
      </w:r>
    </w:p>
    <w:p>
      <w:r>
        <w:rPr>
          <w:color w:val="8A8A8A"/>
        </w:rPr>
        <w:t xml:space="preserve">    Response: </w:t>
      </w:r>
    </w:p>
    <w:p>
      <w:r>
        <w:t>9. What performance or uptime monitoring does the vendor provide?</w:t>
      </w:r>
    </w:p>
    <w:p>
      <w:r>
        <w:rPr>
          <w:color w:val="8A8A8A"/>
        </w:rPr>
        <w:t xml:space="preserve">    Response: </w:t>
      </w:r>
    </w:p>
    <w:p>
      <w:r>
        <w:t>10. What happens to our data upon termination, and within what timeframe?</w:t>
      </w:r>
    </w:p>
    <w:p>
      <w:r>
        <w:rPr>
          <w:color w:val="8A8A8A"/>
        </w:rPr>
        <w:t xml:space="preserve">    Response: </w:t>
      </w:r>
    </w:p>
    <w:p>
      <w:r>
        <w:t>11. What is the vendor's incident notification commitment, in hours?</w:t>
      </w:r>
    </w:p>
    <w:p>
      <w:r>
        <w:rPr>
          <w:color w:val="8A8A8A"/>
        </w:rPr>
        <w:t xml:space="preserve">    Response: </w:t>
      </w:r>
    </w:p>
    <w:p>
      <w:r>
        <w:t>12. Does the vendor support an audit right or third-party assessment?</w:t>
      </w:r>
    </w:p>
    <w:p>
      <w:r>
        <w:rPr>
          <w:color w:val="8A8A8A"/>
        </w:rPr>
        <w:t xml:space="preserve">    Response: </w:t>
      </w:r>
    </w:p>
    <w:p>
      <w:r>
        <w:t>13. What is the vendor's data residency?</w:t>
      </w:r>
    </w:p>
    <w:p>
      <w:r>
        <w:rPr>
          <w:color w:val="8A8A8A"/>
        </w:rPr>
        <w:t xml:space="preserve">    Response: </w:t>
      </w:r>
    </w:p>
    <w:p>
      <w:r>
        <w:t>14. Is the vendor dependent on a further subcontracted AI provider?</w:t>
      </w:r>
    </w:p>
    <w:p>
      <w:r>
        <w:rPr>
          <w:color w:val="8A8A8A"/>
        </w:rPr>
        <w:t xml:space="preserve">    Response: </w:t>
      </w:r>
    </w:p>
    <w:p>
      <w:r>
        <w:t>15. What termination assistance does the vendor commit to providing?</w:t>
      </w:r>
    </w:p>
    <w:p>
      <w:r>
        <w:rPr>
          <w:color w:val="8A8A8A"/>
        </w:rPr>
        <w:t xml:space="preserve">    Response: </w:t>
      </w:r>
    </w:p>
    <w:p>
      <w:pPr>
        <w:pStyle w:val="Heading2"/>
      </w:pPr>
      <w:r>
        <w:t>Part 3: Confirm the Required Contract Clauses</w:t>
      </w:r>
    </w:p>
    <w:p>
      <w:pPr>
        <w:pStyle w:val="ListBullet"/>
      </w:pPr>
      <w:r>
        <w:t>Data use: customer data may not be used to train, fine-tune, or improve Vendor models.</w:t>
      </w:r>
    </w:p>
    <w:p>
      <w:pPr>
        <w:pStyle w:val="ListBullet"/>
      </w:pPr>
      <w:r>
        <w:t>Retention: all customer data deleted within [30] days of termination, with written confirmation.</w:t>
      </w:r>
    </w:p>
    <w:p>
      <w:pPr>
        <w:pStyle w:val="ListBullet"/>
      </w:pPr>
      <w:r>
        <w:t>Subprocessors: [30] days advance written notice before adding or changing any subprocessor with data access.</w:t>
      </w:r>
    </w:p>
    <w:p>
      <w:pPr>
        <w:pStyle w:val="ListBullet"/>
      </w:pPr>
      <w:r>
        <w:t>Audit rights: evidence of security controls and testing available on request, up to [twice] annually.</w:t>
      </w:r>
    </w:p>
    <w:p>
      <w:pPr>
        <w:pStyle w:val="ListBullet"/>
      </w:pPr>
      <w:r>
        <w:t>Incident notification: within [24] hours of any security incident affecting our data.</w:t>
      </w:r>
    </w:p>
    <w:p>
      <w:pPr>
        <w:pStyle w:val="ListBullet"/>
      </w:pPr>
      <w:r>
        <w:t>Termination assistance: usable data export and [90] days of transition support.</w:t>
      </w:r>
    </w:p>
    <w:p>
      <w:pPr>
        <w:pStyle w:val="Heading2"/>
      </w:pPr>
      <w:r>
        <w:t>Part 4: Record the Decision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Assessment outcome (Approve / Approve with conditions / Reject)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Conditions, if any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Review cadence assigned (Quarterly / Semiannual / Annual)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Legal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Privacy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Information Security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Vendor Risk Management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