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7667" w14:textId="315F0AEB" w:rsidR="006F6B63" w:rsidRPr="00B278FF" w:rsidRDefault="00B278FF" w:rsidP="48569CAD">
      <w:pPr>
        <w:rPr>
          <w:b/>
          <w:bCs/>
          <w:sz w:val="36"/>
          <w:szCs w:val="36"/>
        </w:rPr>
      </w:pPr>
      <w:r w:rsidRPr="48569CAD">
        <w:rPr>
          <w:b/>
          <w:bCs/>
          <w:sz w:val="36"/>
          <w:szCs w:val="36"/>
        </w:rPr>
        <w:t>HEALTH</w:t>
      </w:r>
      <w:r w:rsidR="78511349" w:rsidRPr="48569CAD">
        <w:rPr>
          <w:b/>
          <w:bCs/>
          <w:sz w:val="36"/>
          <w:szCs w:val="36"/>
        </w:rPr>
        <w:t xml:space="preserve">, </w:t>
      </w:r>
      <w:r w:rsidRPr="48569CAD">
        <w:rPr>
          <w:b/>
          <w:bCs/>
          <w:sz w:val="36"/>
          <w:szCs w:val="36"/>
        </w:rPr>
        <w:t>SAFETY AND ENVIRONMENTAL POLICY STATEMENT</w:t>
      </w:r>
    </w:p>
    <w:p w14:paraId="61189165" w14:textId="53F18791" w:rsidR="00B278FF" w:rsidRPr="00B278FF" w:rsidRDefault="00B278FF" w:rsidP="00B278FF">
      <w:pPr>
        <w:autoSpaceDE w:val="0"/>
        <w:autoSpaceDN w:val="0"/>
        <w:adjustRightInd w:val="0"/>
        <w:spacing w:after="0" w:line="288" w:lineRule="auto"/>
        <w:rPr>
          <w:rFonts w:ascii="Calibri" w:hAnsi="Calibri" w:cs="Calibri"/>
          <w:color w:val="000000"/>
        </w:rPr>
      </w:pPr>
      <w:r w:rsidRPr="38DA2A23">
        <w:rPr>
          <w:rFonts w:ascii="Calibri" w:hAnsi="Calibri" w:cs="Calibri"/>
          <w:color w:val="000000" w:themeColor="text1"/>
        </w:rPr>
        <w:t xml:space="preserve">AVworx is committed to continually improving our safety and environmental performance. This will be achieved by setting a clear, health, safety and environmental objectives and monitoring performance against the targets set. Safety first and </w:t>
      </w:r>
      <w:r w:rsidR="2512B671" w:rsidRPr="38DA2A23">
        <w:rPr>
          <w:rFonts w:ascii="Calibri" w:hAnsi="Calibri" w:cs="Calibri"/>
          <w:color w:val="000000" w:themeColor="text1"/>
        </w:rPr>
        <w:t>foremost</w:t>
      </w:r>
      <w:r w:rsidRPr="38DA2A23">
        <w:rPr>
          <w:rFonts w:ascii="Calibri" w:hAnsi="Calibri" w:cs="Calibri"/>
          <w:color w:val="000000" w:themeColor="text1"/>
        </w:rPr>
        <w:t xml:space="preserve"> is our overriding principle. </w:t>
      </w:r>
    </w:p>
    <w:p w14:paraId="068EA88F" w14:textId="77777777" w:rsidR="00B278FF" w:rsidRPr="00B278FF" w:rsidRDefault="00B278FF" w:rsidP="00B278FF">
      <w:pPr>
        <w:autoSpaceDE w:val="0"/>
        <w:autoSpaceDN w:val="0"/>
        <w:adjustRightInd w:val="0"/>
        <w:spacing w:after="0" w:line="288" w:lineRule="auto"/>
        <w:rPr>
          <w:rFonts w:ascii="Calibri" w:hAnsi="Calibri" w:cs="Calibri"/>
          <w:color w:val="000000"/>
        </w:rPr>
      </w:pPr>
    </w:p>
    <w:p w14:paraId="29E539C3" w14:textId="5C1884F3" w:rsidR="00B278FF" w:rsidRPr="00B278FF" w:rsidRDefault="00B278FF" w:rsidP="00B278FF">
      <w:pPr>
        <w:autoSpaceDE w:val="0"/>
        <w:autoSpaceDN w:val="0"/>
        <w:adjustRightInd w:val="0"/>
        <w:spacing w:after="0" w:line="288" w:lineRule="auto"/>
        <w:rPr>
          <w:rFonts w:ascii="Calibri" w:hAnsi="Calibri" w:cs="Calibri"/>
          <w:color w:val="000000"/>
        </w:rPr>
      </w:pPr>
      <w:r w:rsidRPr="7C1B0F51">
        <w:rPr>
          <w:rFonts w:ascii="Calibri" w:hAnsi="Calibri" w:cs="Calibri"/>
          <w:color w:val="000000" w:themeColor="text1"/>
        </w:rPr>
        <w:t xml:space="preserve">To Facilitate this, </w:t>
      </w:r>
      <w:proofErr w:type="gramStart"/>
      <w:r w:rsidRPr="7C1B0F51">
        <w:rPr>
          <w:rFonts w:ascii="Calibri" w:hAnsi="Calibri" w:cs="Calibri"/>
          <w:color w:val="000000" w:themeColor="text1"/>
        </w:rPr>
        <w:t>safety</w:t>
      </w:r>
      <w:proofErr w:type="gramEnd"/>
      <w:r w:rsidRPr="7C1B0F51">
        <w:rPr>
          <w:rFonts w:ascii="Calibri" w:hAnsi="Calibri" w:cs="Calibri"/>
          <w:color w:val="000000" w:themeColor="text1"/>
        </w:rPr>
        <w:t xml:space="preserve"> and environment management systems, aligned to the requirements of </w:t>
      </w:r>
      <w:r w:rsidR="0EDD53C8" w:rsidRPr="7C1B0F51">
        <w:rPr>
          <w:rFonts w:ascii="Calibri" w:hAnsi="Calibri" w:cs="Calibri"/>
          <w:color w:val="000000" w:themeColor="text1"/>
        </w:rPr>
        <w:t>BS EN ISO 14001:2015 and BS ISO 45001:2018</w:t>
      </w:r>
      <w:r w:rsidRPr="7C1B0F51">
        <w:rPr>
          <w:rFonts w:ascii="Calibri" w:hAnsi="Calibri" w:cs="Calibri"/>
          <w:color w:val="000000" w:themeColor="text1"/>
        </w:rPr>
        <w:t>, will be documented, implemented and maintained.</w:t>
      </w:r>
    </w:p>
    <w:p w14:paraId="430BA7C6" w14:textId="4400724C" w:rsidR="7C1B0F51" w:rsidRDefault="7C1B0F51" w:rsidP="7C1B0F51">
      <w:pPr>
        <w:spacing w:after="0" w:line="288" w:lineRule="auto"/>
        <w:rPr>
          <w:rFonts w:ascii="Calibri" w:hAnsi="Calibri" w:cs="Calibri"/>
          <w:color w:val="000000" w:themeColor="text1"/>
        </w:rPr>
      </w:pPr>
    </w:p>
    <w:p w14:paraId="44C6424E" w14:textId="24681779" w:rsidR="46E45C21" w:rsidRDefault="46E45C21" w:rsidP="7C1B0F51">
      <w:pPr>
        <w:rPr>
          <w:b/>
          <w:bCs/>
        </w:rPr>
      </w:pPr>
      <w:r w:rsidRPr="7C1B0F51">
        <w:rPr>
          <w:b/>
          <w:bCs/>
        </w:rPr>
        <w:t>Policy Communication and Implementation:</w:t>
      </w:r>
    </w:p>
    <w:p w14:paraId="558E239B" w14:textId="28F8194E" w:rsidR="46E45C21" w:rsidRDefault="46E45C21" w:rsidP="7C1B0F51">
      <w:r>
        <w:t>Ensure that the health, safety, and environmental policy is understood, implemented, and maintained at all levels within the company and by others working on our behalf.</w:t>
      </w:r>
    </w:p>
    <w:p w14:paraId="6F598B44" w14:textId="7EC305DA" w:rsidR="46E45C21" w:rsidRDefault="46E45C21" w:rsidP="7C1B0F51">
      <w:pPr>
        <w:rPr>
          <w:b/>
          <w:bCs/>
        </w:rPr>
      </w:pPr>
      <w:r w:rsidRPr="7C1B0F51">
        <w:rPr>
          <w:b/>
          <w:bCs/>
        </w:rPr>
        <w:t>Awareness and Training:</w:t>
      </w:r>
    </w:p>
    <w:p w14:paraId="5248ECD3" w14:textId="42C54F95" w:rsidR="46E45C21" w:rsidRDefault="46E45C21" w:rsidP="7C1B0F51">
      <w:pPr>
        <w:pStyle w:val="ListParagraph"/>
        <w:numPr>
          <w:ilvl w:val="0"/>
          <w:numId w:val="5"/>
        </w:numPr>
      </w:pPr>
      <w:r>
        <w:t>Ensure that all employees are aware of the safety hazards and environmental aspects arising from company activities, including the benefits of improved performance to the company, themselves, and our customers.</w:t>
      </w:r>
    </w:p>
    <w:p w14:paraId="7052BFC4" w14:textId="33BC8C88" w:rsidR="46E45C21" w:rsidRDefault="46E45C21" w:rsidP="7C1B0F51">
      <w:pPr>
        <w:pStyle w:val="ListParagraph"/>
        <w:numPr>
          <w:ilvl w:val="0"/>
          <w:numId w:val="5"/>
        </w:numPr>
      </w:pPr>
      <w:r>
        <w:t xml:space="preserve">Provide behavioural safety and environmental training and appropriate supervision for </w:t>
      </w:r>
      <w:r w:rsidR="04D4E1E3">
        <w:t>employees and</w:t>
      </w:r>
      <w:r>
        <w:t xml:space="preserve"> ensure that our subcontractors have received relevant training.</w:t>
      </w:r>
    </w:p>
    <w:p w14:paraId="278338C5" w14:textId="6751D005" w:rsidR="46E45C21" w:rsidRDefault="46E45C21" w:rsidP="7C1B0F51">
      <w:pPr>
        <w:rPr>
          <w:b/>
          <w:bCs/>
        </w:rPr>
      </w:pPr>
      <w:r w:rsidRPr="7C1B0F51">
        <w:rPr>
          <w:b/>
          <w:bCs/>
        </w:rPr>
        <w:t>Injury, Ill Health, and Pollution Prevention:</w:t>
      </w:r>
    </w:p>
    <w:p w14:paraId="4B494C1E" w14:textId="19E472F3" w:rsidR="46E45C21" w:rsidRDefault="46E45C21" w:rsidP="7C1B0F51">
      <w:pPr>
        <w:pStyle w:val="ListParagraph"/>
        <w:numPr>
          <w:ilvl w:val="0"/>
          <w:numId w:val="5"/>
        </w:numPr>
      </w:pPr>
      <w:r>
        <w:t>Seek to prevent injury, ill health, and pollution through effective risk assessments and control measures, in line with the Health and Safety at Work etc. Act 1974 and the Environmental Protection Act 1990.</w:t>
      </w:r>
    </w:p>
    <w:p w14:paraId="621BB509" w14:textId="0E6C0FD1" w:rsidR="46E45C21" w:rsidRDefault="46E45C21" w:rsidP="7C1B0F51">
      <w:pPr>
        <w:rPr>
          <w:b/>
          <w:bCs/>
        </w:rPr>
      </w:pPr>
      <w:r w:rsidRPr="7C1B0F51">
        <w:rPr>
          <w:b/>
          <w:bCs/>
        </w:rPr>
        <w:t>Compliance with Legislation:</w:t>
      </w:r>
    </w:p>
    <w:p w14:paraId="5BC707E6" w14:textId="069C2919" w:rsidR="46E45C21" w:rsidRDefault="46E45C21" w:rsidP="7C1B0F51">
      <w:pPr>
        <w:pStyle w:val="ListParagraph"/>
        <w:numPr>
          <w:ilvl w:val="0"/>
          <w:numId w:val="5"/>
        </w:numPr>
      </w:pPr>
      <w:r>
        <w:t>Comply with all health, safety, and environmental legislation relevant to our activities, including the Management of Health and Safety at Work Regulations 1999 and other requirements to which we subscribe.</w:t>
      </w:r>
    </w:p>
    <w:p w14:paraId="46B17090" w14:textId="314624AC" w:rsidR="46E45C21" w:rsidRDefault="46E45C21" w:rsidP="7C1B0F51">
      <w:pPr>
        <w:rPr>
          <w:b/>
          <w:bCs/>
        </w:rPr>
      </w:pPr>
      <w:r w:rsidRPr="7C1B0F51">
        <w:rPr>
          <w:b/>
          <w:bCs/>
        </w:rPr>
        <w:t>Waste Management:</w:t>
      </w:r>
    </w:p>
    <w:p w14:paraId="5BD1DC0A" w14:textId="5F65F08A" w:rsidR="46E45C21" w:rsidRDefault="46E45C21" w:rsidP="7C1B0F51">
      <w:pPr>
        <w:pStyle w:val="ListParagraph"/>
        <w:numPr>
          <w:ilvl w:val="0"/>
          <w:numId w:val="5"/>
        </w:numPr>
      </w:pPr>
      <w:r>
        <w:t>Minimise the volume of waste generated throughout the company and deal only with reputable, registered waste carriers, in compliance with the Waste (England and Wales) Regulations 2011. We are moving towards zero waste to landfill.</w:t>
      </w:r>
    </w:p>
    <w:p w14:paraId="76FD04AB" w14:textId="0365DD5F" w:rsidR="46E45C21" w:rsidRDefault="46E45C21" w:rsidP="7C1B0F51">
      <w:pPr>
        <w:rPr>
          <w:b/>
          <w:bCs/>
        </w:rPr>
      </w:pPr>
      <w:r w:rsidRPr="7C1B0F51">
        <w:rPr>
          <w:b/>
          <w:bCs/>
        </w:rPr>
        <w:t>Energy Efficiency:</w:t>
      </w:r>
    </w:p>
    <w:p w14:paraId="13E34C25" w14:textId="616B24E6" w:rsidR="46E45C21" w:rsidRDefault="46E45C21" w:rsidP="7C1B0F51">
      <w:pPr>
        <w:pStyle w:val="ListParagraph"/>
        <w:numPr>
          <w:ilvl w:val="0"/>
          <w:numId w:val="5"/>
        </w:numPr>
      </w:pPr>
      <w:r>
        <w:t>Maintain energy efficiency in new buildings and services and manage energy wisely throughout the company, in line with the Energy Efficiency (Private Rented Property) (England and Wales) Regulations 2015.</w:t>
      </w:r>
    </w:p>
    <w:p w14:paraId="05466D7E" w14:textId="379A32C0" w:rsidR="46E45C21" w:rsidRDefault="46E45C21" w:rsidP="7C1B0F51">
      <w:pPr>
        <w:rPr>
          <w:b/>
          <w:bCs/>
        </w:rPr>
      </w:pPr>
      <w:r w:rsidRPr="7C1B0F51">
        <w:rPr>
          <w:b/>
          <w:bCs/>
        </w:rPr>
        <w:t>Stakeholder Collaboration:</w:t>
      </w:r>
    </w:p>
    <w:p w14:paraId="2E2F2002" w14:textId="07B2243C" w:rsidR="46E45C21" w:rsidRDefault="46E45C21" w:rsidP="7C1B0F51">
      <w:pPr>
        <w:pStyle w:val="ListParagraph"/>
        <w:numPr>
          <w:ilvl w:val="0"/>
          <w:numId w:val="5"/>
        </w:numPr>
      </w:pPr>
      <w:r>
        <w:t>Work with suppliers, customers, and contractors to promote safety and environmental awareness and the need to work in a socially responsible manner, recognising our responsibilities to any third parties who may be affected by our works.</w:t>
      </w:r>
    </w:p>
    <w:p w14:paraId="031444DF" w14:textId="652FDB1A" w:rsidR="46E45C21" w:rsidRDefault="46E45C21" w:rsidP="7C1B0F51">
      <w:pPr>
        <w:rPr>
          <w:b/>
          <w:bCs/>
        </w:rPr>
      </w:pPr>
      <w:r w:rsidRPr="7C1B0F51">
        <w:rPr>
          <w:b/>
          <w:bCs/>
        </w:rPr>
        <w:t>Policy Review and Improvement:</w:t>
      </w:r>
    </w:p>
    <w:p w14:paraId="6B8BADA9" w14:textId="2CBFC056" w:rsidR="46E45C21" w:rsidRDefault="46E45C21" w:rsidP="7C1B0F51">
      <w:pPr>
        <w:pStyle w:val="ListParagraph"/>
        <w:numPr>
          <w:ilvl w:val="0"/>
          <w:numId w:val="5"/>
        </w:numPr>
      </w:pPr>
      <w:r>
        <w:lastRenderedPageBreak/>
        <w:t>Periodically review the health, safety, and environmental policy statement and management systems to ensure they remain suitable, adequate, and effective, and revise where appropriate</w:t>
      </w:r>
      <w:r w:rsidR="038D426A">
        <w:t>.</w:t>
      </w:r>
    </w:p>
    <w:p w14:paraId="30EEDE22" w14:textId="0B4CAB86" w:rsidR="7C1B0F51" w:rsidRDefault="7C1B0F51" w:rsidP="7C1B0F51">
      <w:pPr>
        <w:rPr>
          <w:b/>
          <w:bCs/>
        </w:rPr>
      </w:pPr>
    </w:p>
    <w:p w14:paraId="5EE22B30" w14:textId="485273DD" w:rsidR="7C1B0F51" w:rsidRDefault="7C1B0F51" w:rsidP="7C1B0F51">
      <w:pPr>
        <w:rPr>
          <w:b/>
          <w:bCs/>
        </w:rPr>
      </w:pPr>
    </w:p>
    <w:p w14:paraId="34C63C0D" w14:textId="69C10152" w:rsidR="46E45C21" w:rsidRDefault="46E45C21" w:rsidP="7C1B0F51">
      <w:pPr>
        <w:rPr>
          <w:b/>
          <w:bCs/>
        </w:rPr>
      </w:pPr>
      <w:r w:rsidRPr="7C1B0F51">
        <w:rPr>
          <w:b/>
          <w:bCs/>
        </w:rPr>
        <w:t>Employee Empowerment:</w:t>
      </w:r>
    </w:p>
    <w:p w14:paraId="0FDB21EE" w14:textId="69AC1DFF" w:rsidR="46E45C21" w:rsidRDefault="46E45C21" w:rsidP="7C1B0F51">
      <w:pPr>
        <w:pStyle w:val="ListParagraph"/>
        <w:numPr>
          <w:ilvl w:val="0"/>
          <w:numId w:val="5"/>
        </w:numPr>
      </w:pPr>
      <w:r>
        <w:t>Empower all employees to stop or refuse to work if they believe their health or safety has been compromised until a suitable level of investigation and remedial action has been carried out.</w:t>
      </w:r>
    </w:p>
    <w:p w14:paraId="0811F1AE" w14:textId="5F62CCA4" w:rsidR="6ABD5F58" w:rsidRDefault="6ABD5F58" w:rsidP="7DE95076">
      <w:pPr>
        <w:pStyle w:val="ListParagraph"/>
        <w:numPr>
          <w:ilvl w:val="0"/>
          <w:numId w:val="5"/>
        </w:numPr>
      </w:pPr>
      <w:r>
        <w:t>We commit to providing continuous education and training for all employees to keep them informed about the latest health, safety, and environmental practices and legislative requirements. Regular training sessions will be conducted to ensure employees are confident in recogni</w:t>
      </w:r>
      <w:r w:rsidR="7A9F9876">
        <w:t>s</w:t>
      </w:r>
      <w:r>
        <w:t>ing hazards, understanding their roles, and exercising their right to stop work if safety is compromised. Additionally, we will maintain clear communication channels to encourage the reporting of potential risks or concerns.</w:t>
      </w:r>
    </w:p>
    <w:p w14:paraId="40F463F8" w14:textId="2F6A50A8" w:rsidR="7DE95076" w:rsidRDefault="7DE95076" w:rsidP="7DE95076"/>
    <w:p w14:paraId="02D3FBF4" w14:textId="4F3E7804" w:rsidR="46E45C21" w:rsidRDefault="46E45C21" w:rsidP="7C1B0F51">
      <w:pPr>
        <w:rPr>
          <w:b/>
          <w:bCs/>
        </w:rPr>
      </w:pPr>
      <w:r w:rsidRPr="7C1B0F51">
        <w:rPr>
          <w:b/>
          <w:bCs/>
        </w:rPr>
        <w:t>Communication of Policy:</w:t>
      </w:r>
    </w:p>
    <w:p w14:paraId="73DC5805" w14:textId="788A9B6E" w:rsidR="46E45C21" w:rsidRDefault="46E45C21" w:rsidP="7C1B0F51">
      <w:pPr>
        <w:pStyle w:val="ListParagraph"/>
        <w:numPr>
          <w:ilvl w:val="0"/>
          <w:numId w:val="5"/>
        </w:numPr>
      </w:pPr>
      <w:r>
        <w:t>Bring the statement and any revisions of it to the attention of employees and others working on our behalf.</w:t>
      </w:r>
    </w:p>
    <w:p w14:paraId="0EDD299C" w14:textId="6AD83478" w:rsidR="7DE95076" w:rsidRDefault="7DE95076" w:rsidP="7DE95076"/>
    <w:p w14:paraId="614E6676" w14:textId="6AA5D447" w:rsidR="3E59F556" w:rsidRDefault="3E59F556">
      <w:r w:rsidRPr="7DE95076">
        <w:rPr>
          <w:rFonts w:ascii="Calibri" w:eastAsia="Calibri" w:hAnsi="Calibri" w:cs="Calibri"/>
          <w:b/>
          <w:bCs/>
        </w:rPr>
        <w:t>Performance Monitoring and Reporting:</w:t>
      </w:r>
    </w:p>
    <w:p w14:paraId="203C85E5" w14:textId="4A2AD2EF" w:rsidR="3E59F556" w:rsidRDefault="3E59F556" w:rsidP="7DE95076">
      <w:pPr>
        <w:pStyle w:val="ListParagraph"/>
        <w:numPr>
          <w:ilvl w:val="0"/>
          <w:numId w:val="2"/>
        </w:numPr>
        <w:rPr>
          <w:rFonts w:ascii="Calibri" w:eastAsia="Calibri" w:hAnsi="Calibri" w:cs="Calibri"/>
        </w:rPr>
      </w:pPr>
      <w:r w:rsidRPr="7DE95076">
        <w:rPr>
          <w:rFonts w:ascii="Calibri" w:eastAsia="Calibri" w:hAnsi="Calibri" w:cs="Calibri"/>
        </w:rPr>
        <w:t>We will regularly monitor our health, safety, and environmental performance against the objectives set. A detailed report on this performance will be prepared periodically and reviewed by senior management to ensure that we are meeting our goals and complying with relevant legislation. Corrective actions will be taken where necessary to address any areas of non-compliance or underperformance.</w:t>
      </w:r>
    </w:p>
    <w:p w14:paraId="72E5C7CE" w14:textId="7E3DDDFE" w:rsidR="7DE95076" w:rsidRDefault="7DE95076" w:rsidP="7DE95076">
      <w:pPr>
        <w:pStyle w:val="ListParagraph"/>
        <w:ind w:left="360"/>
        <w:rPr>
          <w:rFonts w:ascii="Calibri" w:eastAsia="Calibri" w:hAnsi="Calibri" w:cs="Calibri"/>
        </w:rPr>
      </w:pPr>
    </w:p>
    <w:p w14:paraId="504C765D" w14:textId="7156DE50" w:rsidR="3BD7D75C" w:rsidRDefault="3BD7D75C">
      <w:r w:rsidRPr="7DE95076">
        <w:rPr>
          <w:rFonts w:ascii="Calibri" w:eastAsia="Calibri" w:hAnsi="Calibri" w:cs="Calibri"/>
          <w:b/>
          <w:bCs/>
        </w:rPr>
        <w:t>Legal Compliance and Policy Updates:</w:t>
      </w:r>
    </w:p>
    <w:p w14:paraId="5F25F2DF" w14:textId="248597B4" w:rsidR="3BD7D75C" w:rsidRDefault="3BD7D75C" w:rsidP="7DE95076">
      <w:pPr>
        <w:pStyle w:val="ListParagraph"/>
        <w:numPr>
          <w:ilvl w:val="0"/>
          <w:numId w:val="1"/>
        </w:numPr>
      </w:pPr>
      <w:r w:rsidRPr="7DE95076">
        <w:rPr>
          <w:rFonts w:ascii="Calibri" w:eastAsia="Calibri" w:hAnsi="Calibri" w:cs="Calibri"/>
        </w:rPr>
        <w:t>This policy will be reviewed and updated annually or whenever significant changes in legislation occur to ensure continued compliance with UK health, safety, and environmental laws. We will also stay informed of any changes in industry best practices to continuously improve our management systems.</w:t>
      </w:r>
    </w:p>
    <w:p w14:paraId="2D41915B" w14:textId="2C106A50" w:rsidR="7C1B0F51" w:rsidRDefault="7C1B0F51" w:rsidP="7DE95076">
      <w:pPr>
        <w:spacing w:after="0" w:line="240" w:lineRule="auto"/>
        <w:rPr>
          <w:rFonts w:ascii="Calibri" w:hAnsi="Calibri" w:cs="Calibri"/>
          <w:color w:val="000000" w:themeColor="text1"/>
        </w:rPr>
      </w:pPr>
    </w:p>
    <w:p w14:paraId="4E9F98FD" w14:textId="15BA4258" w:rsidR="3BD7D75C" w:rsidRDefault="3BD7D75C" w:rsidP="7DE95076">
      <w:pPr>
        <w:spacing w:after="0" w:line="288" w:lineRule="auto"/>
        <w:rPr>
          <w:rFonts w:ascii="Calibri" w:hAnsi="Calibri" w:cs="Calibri"/>
          <w:color w:val="000000" w:themeColor="text1"/>
        </w:rPr>
      </w:pPr>
      <w:r w:rsidRPr="7DE95076">
        <w:rPr>
          <w:rFonts w:ascii="Calibri" w:hAnsi="Calibri" w:cs="Calibri"/>
          <w:b/>
          <w:bCs/>
          <w:color w:val="000000" w:themeColor="text1"/>
        </w:rPr>
        <w:t>Revision History</w:t>
      </w:r>
    </w:p>
    <w:p w14:paraId="6B68D425" w14:textId="797BEDC3" w:rsidR="7C1B0F51" w:rsidRDefault="7C1B0F51" w:rsidP="7C1B0F51">
      <w:pPr>
        <w:spacing w:after="0" w:line="288" w:lineRule="auto"/>
        <w:rPr>
          <w:rFonts w:ascii="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2220"/>
        <w:gridCol w:w="4620"/>
      </w:tblGrid>
      <w:tr w:rsidR="7DE95076" w14:paraId="500D40C4" w14:textId="77777777" w:rsidTr="7DE95076">
        <w:trPr>
          <w:trHeight w:val="300"/>
        </w:trPr>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B21FE3" w14:textId="54607149" w:rsidR="7DE95076" w:rsidRDefault="7DE95076" w:rsidP="7DE95076">
            <w:pPr>
              <w:spacing w:after="0" w:line="240" w:lineRule="auto"/>
              <w:rPr>
                <w:rFonts w:ascii="Calibri" w:eastAsia="Calibri" w:hAnsi="Calibri" w:cs="Calibri"/>
                <w:color w:val="000000" w:themeColor="text1"/>
                <w:sz w:val="20"/>
                <w:szCs w:val="20"/>
              </w:rPr>
            </w:pPr>
            <w:r w:rsidRPr="7DE95076">
              <w:rPr>
                <w:rFonts w:ascii="Calibri" w:eastAsia="Calibri" w:hAnsi="Calibri" w:cs="Calibri"/>
                <w:b/>
                <w:bCs/>
                <w:color w:val="000000" w:themeColor="text1"/>
                <w:sz w:val="20"/>
                <w:szCs w:val="20"/>
                <w:lang w:val="en-US"/>
              </w:rPr>
              <w:t>Date of Change</w:t>
            </w: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DB1A16" w14:textId="74822569" w:rsidR="7DE95076" w:rsidRDefault="7DE95076" w:rsidP="7DE95076">
            <w:pPr>
              <w:spacing w:after="0" w:line="240" w:lineRule="auto"/>
              <w:rPr>
                <w:rFonts w:ascii="Calibri" w:eastAsia="Calibri" w:hAnsi="Calibri" w:cs="Calibri"/>
                <w:color w:val="000000" w:themeColor="text1"/>
                <w:sz w:val="20"/>
                <w:szCs w:val="20"/>
              </w:rPr>
            </w:pPr>
            <w:r w:rsidRPr="7DE95076">
              <w:rPr>
                <w:rFonts w:ascii="Calibri" w:eastAsia="Calibri" w:hAnsi="Calibri" w:cs="Calibri"/>
                <w:b/>
                <w:bCs/>
                <w:color w:val="000000" w:themeColor="text1"/>
                <w:sz w:val="20"/>
                <w:szCs w:val="20"/>
                <w:lang w:val="en-US"/>
              </w:rPr>
              <w:t>Responsible</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A08C92" w14:textId="05EA3853" w:rsidR="7DE95076" w:rsidRDefault="7DE95076" w:rsidP="7DE95076">
            <w:pPr>
              <w:spacing w:after="0" w:line="240" w:lineRule="auto"/>
              <w:rPr>
                <w:rFonts w:ascii="Calibri" w:eastAsia="Calibri" w:hAnsi="Calibri" w:cs="Calibri"/>
                <w:color w:val="000000" w:themeColor="text1"/>
                <w:sz w:val="20"/>
                <w:szCs w:val="20"/>
              </w:rPr>
            </w:pPr>
            <w:r w:rsidRPr="7DE95076">
              <w:rPr>
                <w:rFonts w:ascii="Calibri" w:eastAsia="Calibri" w:hAnsi="Calibri" w:cs="Calibri"/>
                <w:b/>
                <w:bCs/>
                <w:color w:val="000000" w:themeColor="text1"/>
                <w:sz w:val="20"/>
                <w:szCs w:val="20"/>
                <w:lang w:val="en-US"/>
              </w:rPr>
              <w:t>Summary of Change</w:t>
            </w:r>
          </w:p>
        </w:tc>
      </w:tr>
      <w:tr w:rsidR="00B431C1" w14:paraId="4844FBBB" w14:textId="77777777" w:rsidTr="7DE95076">
        <w:trPr>
          <w:trHeight w:val="300"/>
        </w:trPr>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AF726F" w14:textId="77777777" w:rsidR="00B431C1" w:rsidRDefault="00B431C1" w:rsidP="7DE95076">
            <w:pPr>
              <w:spacing w:after="0" w:line="240" w:lineRule="auto"/>
              <w:rPr>
                <w:rFonts w:ascii="Calibri" w:eastAsia="Calibri" w:hAnsi="Calibri" w:cs="Calibri"/>
                <w:color w:val="000000" w:themeColor="text1"/>
                <w:sz w:val="20"/>
                <w:szCs w:val="20"/>
              </w:rPr>
            </w:pPr>
          </w:p>
          <w:p w14:paraId="18BE6CA6" w14:textId="4D90A83F" w:rsidR="00B431C1" w:rsidRDefault="00B431C1" w:rsidP="7DE95076">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November 2022</w:t>
            </w: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5AE941" w14:textId="1B65B42D" w:rsidR="00B431C1" w:rsidRDefault="00B431C1" w:rsidP="7DE95076">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Managing Director</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B3515C" w14:textId="4E452CC2" w:rsidR="00B431C1" w:rsidRDefault="00B431C1" w:rsidP="7DE95076">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Updated to comply with latest law and legislation</w:t>
            </w:r>
          </w:p>
        </w:tc>
      </w:tr>
      <w:tr w:rsidR="7DE95076" w14:paraId="7662839A" w14:textId="77777777" w:rsidTr="7DE95076">
        <w:trPr>
          <w:trHeight w:val="300"/>
        </w:trPr>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301A83" w14:textId="5B69847B" w:rsidR="7DE95076" w:rsidRDefault="7DE95076" w:rsidP="7DE95076">
            <w:pPr>
              <w:spacing w:after="0" w:line="240" w:lineRule="auto"/>
              <w:rPr>
                <w:rFonts w:ascii="Calibri" w:eastAsia="Calibri" w:hAnsi="Calibri" w:cs="Calibri"/>
                <w:color w:val="000000" w:themeColor="text1"/>
                <w:sz w:val="20"/>
                <w:szCs w:val="20"/>
              </w:rPr>
            </w:pPr>
          </w:p>
          <w:p w14:paraId="0B5F2B65" w14:textId="69AC300C" w:rsidR="7DE95076" w:rsidRDefault="7DE95076" w:rsidP="7DE95076">
            <w:pPr>
              <w:spacing w:after="0" w:line="240" w:lineRule="auto"/>
              <w:rPr>
                <w:rFonts w:ascii="Calibri" w:eastAsia="Calibri" w:hAnsi="Calibri" w:cs="Calibri"/>
                <w:color w:val="000000" w:themeColor="text1"/>
                <w:sz w:val="20"/>
                <w:szCs w:val="20"/>
              </w:rPr>
            </w:pPr>
            <w:r w:rsidRPr="7DE95076">
              <w:rPr>
                <w:rFonts w:ascii="Calibri" w:eastAsia="Calibri" w:hAnsi="Calibri" w:cs="Calibri"/>
                <w:color w:val="000000" w:themeColor="text1"/>
                <w:sz w:val="20"/>
                <w:szCs w:val="20"/>
                <w:lang w:val="en-US"/>
              </w:rPr>
              <w:t>August 2023</w:t>
            </w:r>
          </w:p>
          <w:p w14:paraId="179F3992" w14:textId="694DAFA6" w:rsidR="7DE95076" w:rsidRDefault="7DE95076" w:rsidP="7DE95076">
            <w:pPr>
              <w:spacing w:after="0" w:line="240" w:lineRule="auto"/>
              <w:rPr>
                <w:rFonts w:ascii="Calibri" w:eastAsia="Calibri" w:hAnsi="Calibri" w:cs="Calibri"/>
                <w:color w:val="000000" w:themeColor="text1"/>
                <w:sz w:val="20"/>
                <w:szCs w:val="20"/>
              </w:rPr>
            </w:pP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BB1ABA" w14:textId="2487FA97" w:rsidR="7DE95076" w:rsidRDefault="7DE95076" w:rsidP="7DE95076">
            <w:pPr>
              <w:spacing w:after="0" w:line="240" w:lineRule="auto"/>
              <w:rPr>
                <w:rFonts w:ascii="Calibri" w:eastAsia="Calibri" w:hAnsi="Calibri" w:cs="Calibri"/>
                <w:color w:val="000000" w:themeColor="text1"/>
                <w:sz w:val="20"/>
                <w:szCs w:val="20"/>
              </w:rPr>
            </w:pPr>
          </w:p>
          <w:p w14:paraId="50D0117A" w14:textId="63123787" w:rsidR="7DE95076" w:rsidRDefault="7DE95076" w:rsidP="7DE95076">
            <w:pPr>
              <w:spacing w:after="0" w:line="240" w:lineRule="auto"/>
              <w:rPr>
                <w:rFonts w:ascii="Calibri" w:eastAsia="Calibri" w:hAnsi="Calibri" w:cs="Calibri"/>
                <w:color w:val="000000" w:themeColor="text1"/>
                <w:sz w:val="20"/>
                <w:szCs w:val="20"/>
              </w:rPr>
            </w:pPr>
            <w:r w:rsidRPr="7DE95076">
              <w:rPr>
                <w:rFonts w:ascii="Calibri" w:eastAsia="Calibri" w:hAnsi="Calibri" w:cs="Calibri"/>
                <w:color w:val="000000" w:themeColor="text1"/>
                <w:sz w:val="20"/>
                <w:szCs w:val="20"/>
                <w:lang w:val="en-US"/>
              </w:rPr>
              <w:t>Operations</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DF3026" w14:textId="3B1E654D" w:rsidR="7DE95076" w:rsidRDefault="7DE95076" w:rsidP="7DE95076">
            <w:pPr>
              <w:spacing w:after="0" w:line="240" w:lineRule="auto"/>
              <w:rPr>
                <w:rFonts w:ascii="Calibri" w:eastAsia="Calibri" w:hAnsi="Calibri" w:cs="Calibri"/>
                <w:color w:val="000000" w:themeColor="text1"/>
                <w:sz w:val="20"/>
                <w:szCs w:val="20"/>
              </w:rPr>
            </w:pPr>
          </w:p>
          <w:p w14:paraId="36012313" w14:textId="495C98B1" w:rsidR="111B33C1" w:rsidRDefault="111B33C1" w:rsidP="7DE95076">
            <w:pPr>
              <w:spacing w:after="0" w:line="240" w:lineRule="auto"/>
              <w:rPr>
                <w:rFonts w:ascii="Calibri" w:eastAsia="Calibri" w:hAnsi="Calibri" w:cs="Calibri"/>
                <w:color w:val="000000" w:themeColor="text1"/>
                <w:sz w:val="20"/>
                <w:szCs w:val="20"/>
              </w:rPr>
            </w:pPr>
            <w:r w:rsidRPr="7DE95076">
              <w:rPr>
                <w:rFonts w:ascii="Calibri" w:eastAsia="Calibri" w:hAnsi="Calibri" w:cs="Calibri"/>
                <w:color w:val="000000" w:themeColor="text1"/>
                <w:sz w:val="20"/>
                <w:szCs w:val="20"/>
                <w:lang w:val="en-US"/>
              </w:rPr>
              <w:t>Updated and converted to new format.</w:t>
            </w:r>
          </w:p>
          <w:p w14:paraId="165BB057" w14:textId="7AEE79A5" w:rsidR="7DE95076" w:rsidRDefault="7DE95076" w:rsidP="7DE95076">
            <w:pPr>
              <w:spacing w:after="0" w:line="240" w:lineRule="auto"/>
              <w:rPr>
                <w:rFonts w:ascii="Calibri" w:eastAsia="Calibri" w:hAnsi="Calibri" w:cs="Calibri"/>
                <w:color w:val="000000" w:themeColor="text1"/>
                <w:sz w:val="20"/>
                <w:szCs w:val="20"/>
                <w:lang w:val="en-US"/>
              </w:rPr>
            </w:pPr>
          </w:p>
          <w:p w14:paraId="5FED3E89" w14:textId="44312C27" w:rsidR="7DE95076" w:rsidRDefault="7DE95076" w:rsidP="7DE95076">
            <w:pPr>
              <w:spacing w:after="0" w:line="240" w:lineRule="auto"/>
              <w:rPr>
                <w:rFonts w:ascii="Calibri" w:eastAsia="Calibri" w:hAnsi="Calibri" w:cs="Calibri"/>
                <w:color w:val="000000" w:themeColor="text1"/>
                <w:sz w:val="20"/>
                <w:szCs w:val="20"/>
              </w:rPr>
            </w:pPr>
          </w:p>
        </w:tc>
      </w:tr>
      <w:tr w:rsidR="7DE95076" w14:paraId="03E0F23E" w14:textId="77777777" w:rsidTr="7DE95076">
        <w:trPr>
          <w:trHeight w:val="300"/>
        </w:trPr>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E4F888" w14:textId="22102C88" w:rsidR="7DE95076" w:rsidRDefault="7DE95076" w:rsidP="7DE95076">
            <w:pPr>
              <w:spacing w:after="200" w:line="240" w:lineRule="auto"/>
              <w:rPr>
                <w:rFonts w:ascii="Calibri" w:eastAsia="Calibri" w:hAnsi="Calibri" w:cs="Calibri"/>
                <w:color w:val="000000" w:themeColor="text1"/>
                <w:sz w:val="20"/>
                <w:szCs w:val="20"/>
              </w:rPr>
            </w:pPr>
            <w:r w:rsidRPr="7DE95076">
              <w:rPr>
                <w:rFonts w:ascii="Calibri" w:eastAsia="Calibri" w:hAnsi="Calibri" w:cs="Calibri"/>
                <w:color w:val="000000" w:themeColor="text1"/>
                <w:sz w:val="20"/>
                <w:szCs w:val="20"/>
                <w:lang w:val="en-US"/>
              </w:rPr>
              <w:lastRenderedPageBreak/>
              <w:t>July 2024</w:t>
            </w: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39BE89" w14:textId="5927D190" w:rsidR="7DE95076" w:rsidRDefault="00B431C1" w:rsidP="7DE95076">
            <w:pPr>
              <w:spacing w:after="20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lang w:val="en-US"/>
              </w:rPr>
              <w:t>Commercial Manager</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562027" w14:textId="262EDDC3" w:rsidR="7DE95076" w:rsidRDefault="7DE95076" w:rsidP="7DE95076">
            <w:pPr>
              <w:spacing w:after="200" w:line="240" w:lineRule="auto"/>
              <w:rPr>
                <w:rFonts w:ascii="Calibri" w:eastAsia="Calibri" w:hAnsi="Calibri" w:cs="Calibri"/>
                <w:color w:val="000000" w:themeColor="text1"/>
                <w:sz w:val="20"/>
                <w:szCs w:val="20"/>
                <w:lang w:val="en-US"/>
              </w:rPr>
            </w:pPr>
            <w:r w:rsidRPr="7DE95076">
              <w:rPr>
                <w:rFonts w:ascii="Calibri" w:eastAsia="Calibri" w:hAnsi="Calibri" w:cs="Calibri"/>
                <w:color w:val="000000" w:themeColor="text1"/>
                <w:sz w:val="20"/>
                <w:szCs w:val="20"/>
                <w:lang w:val="en-US"/>
              </w:rPr>
              <w:t xml:space="preserve">Reviewed and add sections on </w:t>
            </w:r>
            <w:r w:rsidR="08D1C35C" w:rsidRPr="7DE95076">
              <w:rPr>
                <w:rFonts w:ascii="Calibri" w:eastAsia="Calibri" w:hAnsi="Calibri" w:cs="Calibri"/>
                <w:color w:val="000000" w:themeColor="text1"/>
                <w:sz w:val="20"/>
                <w:szCs w:val="20"/>
                <w:lang w:val="en-US"/>
              </w:rPr>
              <w:t>reporting &amp; monitoring, legal compliance and employee engagement and training</w:t>
            </w:r>
          </w:p>
        </w:tc>
      </w:tr>
      <w:tr w:rsidR="00B431C1" w14:paraId="56C5A69C" w14:textId="77777777" w:rsidTr="7DE95076">
        <w:trPr>
          <w:trHeight w:val="300"/>
        </w:trPr>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2C467" w14:textId="1DBF4557" w:rsidR="00B431C1" w:rsidRPr="7DE95076" w:rsidRDefault="00B431C1" w:rsidP="7DE95076">
            <w:pPr>
              <w:spacing w:after="200" w:line="240" w:lineRule="auto"/>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September 2024</w:t>
            </w: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C59131" w14:textId="4065463F" w:rsidR="00B431C1" w:rsidRPr="7DE95076" w:rsidRDefault="00B431C1" w:rsidP="7DE95076">
            <w:pPr>
              <w:spacing w:after="200" w:line="240" w:lineRule="auto"/>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Operations</w:t>
            </w: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5FBC40" w14:textId="78708C49" w:rsidR="00B431C1" w:rsidRPr="7DE95076" w:rsidRDefault="00B431C1" w:rsidP="7DE95076">
            <w:pPr>
              <w:spacing w:after="200" w:line="240" w:lineRule="auto"/>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Logo and formatting changes</w:t>
            </w:r>
          </w:p>
        </w:tc>
      </w:tr>
      <w:tr w:rsidR="00B431C1" w14:paraId="595E9F91" w14:textId="77777777" w:rsidTr="7DE95076">
        <w:trPr>
          <w:trHeight w:val="300"/>
        </w:trPr>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C5EE80" w14:textId="77777777" w:rsidR="00B431C1" w:rsidRDefault="00B431C1" w:rsidP="7DE95076">
            <w:pPr>
              <w:spacing w:after="200" w:line="240" w:lineRule="auto"/>
              <w:rPr>
                <w:rFonts w:ascii="Calibri" w:eastAsia="Calibri" w:hAnsi="Calibri" w:cs="Calibri"/>
                <w:color w:val="000000" w:themeColor="text1"/>
                <w:sz w:val="20"/>
                <w:szCs w:val="20"/>
                <w:lang w:val="en-US"/>
              </w:rPr>
            </w:pP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5B5188" w14:textId="77777777" w:rsidR="00B431C1" w:rsidRDefault="00B431C1" w:rsidP="7DE95076">
            <w:pPr>
              <w:spacing w:after="200" w:line="240" w:lineRule="auto"/>
              <w:rPr>
                <w:rFonts w:ascii="Calibri" w:eastAsia="Calibri" w:hAnsi="Calibri" w:cs="Calibri"/>
                <w:color w:val="000000" w:themeColor="text1"/>
                <w:sz w:val="20"/>
                <w:szCs w:val="20"/>
                <w:lang w:val="en-US"/>
              </w:rPr>
            </w:pPr>
          </w:p>
        </w:tc>
        <w:tc>
          <w:tcPr>
            <w:tcW w:w="4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53AE9D" w14:textId="77777777" w:rsidR="00B431C1" w:rsidRPr="7DE95076" w:rsidRDefault="00B431C1" w:rsidP="7DE95076">
            <w:pPr>
              <w:spacing w:after="200" w:line="240" w:lineRule="auto"/>
              <w:rPr>
                <w:rFonts w:ascii="Calibri" w:eastAsia="Calibri" w:hAnsi="Calibri" w:cs="Calibri"/>
                <w:color w:val="000000" w:themeColor="text1"/>
                <w:sz w:val="20"/>
                <w:szCs w:val="20"/>
                <w:lang w:val="en-US"/>
              </w:rPr>
            </w:pPr>
          </w:p>
        </w:tc>
      </w:tr>
    </w:tbl>
    <w:p w14:paraId="37FCC520" w14:textId="403B6BED" w:rsidR="00B278FF" w:rsidRPr="00B278FF" w:rsidRDefault="00B278FF" w:rsidP="38DA2A23">
      <w:pPr>
        <w:tabs>
          <w:tab w:val="left" w:pos="9615"/>
        </w:tabs>
        <w:rPr>
          <w:b/>
          <w:bCs/>
        </w:rPr>
      </w:pPr>
    </w:p>
    <w:sectPr w:rsidR="00B278FF" w:rsidRPr="00B278FF" w:rsidSect="00752915">
      <w:headerReference w:type="default" r:id="rId10"/>
      <w:footerReference w:type="default" r:id="rId11"/>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96A8" w14:textId="77777777" w:rsidR="000C40A9" w:rsidRDefault="000C40A9" w:rsidP="0026490D">
      <w:pPr>
        <w:spacing w:after="0" w:line="240" w:lineRule="auto"/>
      </w:pPr>
      <w:r>
        <w:separator/>
      </w:r>
    </w:p>
  </w:endnote>
  <w:endnote w:type="continuationSeparator" w:id="0">
    <w:p w14:paraId="65916572" w14:textId="77777777" w:rsidR="000C40A9" w:rsidRDefault="000C40A9" w:rsidP="0026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4BAD" w14:textId="2A20833B" w:rsidR="0026490D" w:rsidRDefault="7C1B0F51" w:rsidP="006F6B63">
    <w:pPr>
      <w:pStyle w:val="Footer"/>
      <w:jc w:val="center"/>
    </w:pPr>
    <w:r>
      <w:t>H&amp;S Environmental Policy v1.4_July2024</w:t>
    </w:r>
  </w:p>
  <w:p w14:paraId="00ABE4F1" w14:textId="0E8584DC" w:rsidR="0026490D" w:rsidRDefault="0026490D" w:rsidP="006F6B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CB91" w14:textId="77777777" w:rsidR="000C40A9" w:rsidRDefault="000C40A9" w:rsidP="0026490D">
      <w:pPr>
        <w:spacing w:after="0" w:line="240" w:lineRule="auto"/>
      </w:pPr>
      <w:r>
        <w:separator/>
      </w:r>
    </w:p>
  </w:footnote>
  <w:footnote w:type="continuationSeparator" w:id="0">
    <w:p w14:paraId="2AD231AE" w14:textId="77777777" w:rsidR="000C40A9" w:rsidRDefault="000C40A9" w:rsidP="00264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9E02" w14:textId="4A730F44" w:rsidR="00752915" w:rsidRDefault="00752915">
    <w:pPr>
      <w:pStyle w:val="Header"/>
    </w:pPr>
    <w:r>
      <w:rPr>
        <w:noProof/>
      </w:rPr>
      <w:drawing>
        <wp:inline distT="0" distB="0" distL="0" distR="0" wp14:anchorId="180A574B" wp14:editId="5FC3A51F">
          <wp:extent cx="2109429" cy="727390"/>
          <wp:effectExtent l="0" t="0" r="0" b="0"/>
          <wp:docPr id="2136248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48150" name="Picture 2136248150"/>
                  <pic:cNvPicPr/>
                </pic:nvPicPr>
                <pic:blipFill>
                  <a:blip r:embed="rId1">
                    <a:extLst>
                      <a:ext uri="{28A0092B-C50C-407E-A947-70E740481C1C}">
                        <a14:useLocalDpi xmlns:a14="http://schemas.microsoft.com/office/drawing/2010/main" val="0"/>
                      </a:ext>
                    </a:extLst>
                  </a:blip>
                  <a:stretch>
                    <a:fillRect/>
                  </a:stretch>
                </pic:blipFill>
                <pic:spPr>
                  <a:xfrm>
                    <a:off x="0" y="0"/>
                    <a:ext cx="2227278" cy="768028"/>
                  </a:xfrm>
                  <a:prstGeom prst="rect">
                    <a:avLst/>
                  </a:prstGeom>
                </pic:spPr>
              </pic:pic>
            </a:graphicData>
          </a:graphic>
        </wp:inline>
      </w:drawing>
    </w:r>
  </w:p>
  <w:p w14:paraId="74195455" w14:textId="4A5DD0FF" w:rsidR="0026490D" w:rsidRDefault="0026490D">
    <w:pPr>
      <w:pStyle w:val="Header"/>
    </w:pPr>
    <w:r>
      <w:rPr>
        <w:noProof/>
      </w:rPr>
      <mc:AlternateContent>
        <mc:Choice Requires="wps">
          <w:drawing>
            <wp:anchor distT="0" distB="0" distL="114300" distR="114300" simplePos="0" relativeHeight="251660288" behindDoc="0" locked="0" layoutInCell="1" allowOverlap="1" wp14:anchorId="05191A81" wp14:editId="371BDEF5">
              <wp:simplePos x="0" y="0"/>
              <wp:positionH relativeFrom="column">
                <wp:posOffset>-9526</wp:posOffset>
              </wp:positionH>
              <wp:positionV relativeFrom="paragraph">
                <wp:posOffset>15240</wp:posOffset>
              </wp:positionV>
              <wp:extent cx="6715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1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6507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2pt" to="528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&#13;&#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107722"/>
    <w:lvl w:ilvl="0">
      <w:numFmt w:val="bullet"/>
      <w:lvlText w:val="*"/>
      <w:lvlJc w:val="left"/>
    </w:lvl>
  </w:abstractNum>
  <w:abstractNum w:abstractNumId="1" w15:restartNumberingAfterBreak="0">
    <w:nsid w:val="319B3420"/>
    <w:multiLevelType w:val="hybridMultilevel"/>
    <w:tmpl w:val="31027B02"/>
    <w:lvl w:ilvl="0" w:tplc="5B8A4B40">
      <w:start w:val="1"/>
      <w:numFmt w:val="bullet"/>
      <w:lvlText w:val=""/>
      <w:lvlJc w:val="left"/>
      <w:pPr>
        <w:ind w:left="360" w:hanging="360"/>
      </w:pPr>
      <w:rPr>
        <w:rFonts w:ascii="Symbol" w:hAnsi="Symbol" w:hint="default"/>
      </w:rPr>
    </w:lvl>
    <w:lvl w:ilvl="1" w:tplc="2F18F660" w:tentative="1">
      <w:start w:val="1"/>
      <w:numFmt w:val="bullet"/>
      <w:lvlText w:val="o"/>
      <w:lvlJc w:val="left"/>
      <w:pPr>
        <w:ind w:left="1080" w:hanging="360"/>
      </w:pPr>
      <w:rPr>
        <w:rFonts w:ascii="Courier New" w:hAnsi="Courier New" w:hint="default"/>
      </w:rPr>
    </w:lvl>
    <w:lvl w:ilvl="2" w:tplc="7F16DB5A" w:tentative="1">
      <w:start w:val="1"/>
      <w:numFmt w:val="bullet"/>
      <w:lvlText w:val=""/>
      <w:lvlJc w:val="left"/>
      <w:pPr>
        <w:ind w:left="1800" w:hanging="360"/>
      </w:pPr>
      <w:rPr>
        <w:rFonts w:ascii="Wingdings" w:hAnsi="Wingdings" w:hint="default"/>
      </w:rPr>
    </w:lvl>
    <w:lvl w:ilvl="3" w:tplc="8CBC82A4" w:tentative="1">
      <w:start w:val="1"/>
      <w:numFmt w:val="bullet"/>
      <w:lvlText w:val=""/>
      <w:lvlJc w:val="left"/>
      <w:pPr>
        <w:ind w:left="2520" w:hanging="360"/>
      </w:pPr>
      <w:rPr>
        <w:rFonts w:ascii="Symbol" w:hAnsi="Symbol" w:hint="default"/>
      </w:rPr>
    </w:lvl>
    <w:lvl w:ilvl="4" w:tplc="4CFCED76" w:tentative="1">
      <w:start w:val="1"/>
      <w:numFmt w:val="bullet"/>
      <w:lvlText w:val="o"/>
      <w:lvlJc w:val="left"/>
      <w:pPr>
        <w:ind w:left="3240" w:hanging="360"/>
      </w:pPr>
      <w:rPr>
        <w:rFonts w:ascii="Courier New" w:hAnsi="Courier New" w:hint="default"/>
      </w:rPr>
    </w:lvl>
    <w:lvl w:ilvl="5" w:tplc="4A8EBBF0" w:tentative="1">
      <w:start w:val="1"/>
      <w:numFmt w:val="bullet"/>
      <w:lvlText w:val=""/>
      <w:lvlJc w:val="left"/>
      <w:pPr>
        <w:ind w:left="3960" w:hanging="360"/>
      </w:pPr>
      <w:rPr>
        <w:rFonts w:ascii="Wingdings" w:hAnsi="Wingdings" w:hint="default"/>
      </w:rPr>
    </w:lvl>
    <w:lvl w:ilvl="6" w:tplc="A10A984A" w:tentative="1">
      <w:start w:val="1"/>
      <w:numFmt w:val="bullet"/>
      <w:lvlText w:val=""/>
      <w:lvlJc w:val="left"/>
      <w:pPr>
        <w:ind w:left="4680" w:hanging="360"/>
      </w:pPr>
      <w:rPr>
        <w:rFonts w:ascii="Symbol" w:hAnsi="Symbol" w:hint="default"/>
      </w:rPr>
    </w:lvl>
    <w:lvl w:ilvl="7" w:tplc="D8AA9C40" w:tentative="1">
      <w:start w:val="1"/>
      <w:numFmt w:val="bullet"/>
      <w:lvlText w:val="o"/>
      <w:lvlJc w:val="left"/>
      <w:pPr>
        <w:ind w:left="5400" w:hanging="360"/>
      </w:pPr>
      <w:rPr>
        <w:rFonts w:ascii="Courier New" w:hAnsi="Courier New" w:hint="default"/>
      </w:rPr>
    </w:lvl>
    <w:lvl w:ilvl="8" w:tplc="EB2C7400" w:tentative="1">
      <w:start w:val="1"/>
      <w:numFmt w:val="bullet"/>
      <w:lvlText w:val=""/>
      <w:lvlJc w:val="left"/>
      <w:pPr>
        <w:ind w:left="6120" w:hanging="360"/>
      </w:pPr>
      <w:rPr>
        <w:rFonts w:ascii="Wingdings" w:hAnsi="Wingdings" w:hint="default"/>
      </w:rPr>
    </w:lvl>
  </w:abstractNum>
  <w:abstractNum w:abstractNumId="2" w15:restartNumberingAfterBreak="0">
    <w:nsid w:val="5C3ABD05"/>
    <w:multiLevelType w:val="hybridMultilevel"/>
    <w:tmpl w:val="922E78CA"/>
    <w:lvl w:ilvl="0" w:tplc="3EFEEBDC">
      <w:start w:val="1"/>
      <w:numFmt w:val="bullet"/>
      <w:lvlText w:val=""/>
      <w:lvlJc w:val="left"/>
      <w:pPr>
        <w:ind w:left="360" w:hanging="360"/>
      </w:pPr>
      <w:rPr>
        <w:rFonts w:ascii="Symbol" w:hAnsi="Symbol" w:hint="default"/>
      </w:rPr>
    </w:lvl>
    <w:lvl w:ilvl="1" w:tplc="D6CAA820">
      <w:start w:val="1"/>
      <w:numFmt w:val="bullet"/>
      <w:lvlText w:val="o"/>
      <w:lvlJc w:val="left"/>
      <w:pPr>
        <w:ind w:left="1080" w:hanging="360"/>
      </w:pPr>
      <w:rPr>
        <w:rFonts w:ascii="Courier New" w:hAnsi="Courier New" w:hint="default"/>
      </w:rPr>
    </w:lvl>
    <w:lvl w:ilvl="2" w:tplc="620855EE">
      <w:start w:val="1"/>
      <w:numFmt w:val="bullet"/>
      <w:lvlText w:val=""/>
      <w:lvlJc w:val="left"/>
      <w:pPr>
        <w:ind w:left="1800" w:hanging="360"/>
      </w:pPr>
      <w:rPr>
        <w:rFonts w:ascii="Wingdings" w:hAnsi="Wingdings" w:hint="default"/>
      </w:rPr>
    </w:lvl>
    <w:lvl w:ilvl="3" w:tplc="2702E6B4">
      <w:start w:val="1"/>
      <w:numFmt w:val="bullet"/>
      <w:lvlText w:val=""/>
      <w:lvlJc w:val="left"/>
      <w:pPr>
        <w:ind w:left="2520" w:hanging="360"/>
      </w:pPr>
      <w:rPr>
        <w:rFonts w:ascii="Symbol" w:hAnsi="Symbol" w:hint="default"/>
      </w:rPr>
    </w:lvl>
    <w:lvl w:ilvl="4" w:tplc="33301C22">
      <w:start w:val="1"/>
      <w:numFmt w:val="bullet"/>
      <w:lvlText w:val="o"/>
      <w:lvlJc w:val="left"/>
      <w:pPr>
        <w:ind w:left="3240" w:hanging="360"/>
      </w:pPr>
      <w:rPr>
        <w:rFonts w:ascii="Courier New" w:hAnsi="Courier New" w:hint="default"/>
      </w:rPr>
    </w:lvl>
    <w:lvl w:ilvl="5" w:tplc="9E5A83EE">
      <w:start w:val="1"/>
      <w:numFmt w:val="bullet"/>
      <w:lvlText w:val=""/>
      <w:lvlJc w:val="left"/>
      <w:pPr>
        <w:ind w:left="3960" w:hanging="360"/>
      </w:pPr>
      <w:rPr>
        <w:rFonts w:ascii="Wingdings" w:hAnsi="Wingdings" w:hint="default"/>
      </w:rPr>
    </w:lvl>
    <w:lvl w:ilvl="6" w:tplc="E1609BB0">
      <w:start w:val="1"/>
      <w:numFmt w:val="bullet"/>
      <w:lvlText w:val=""/>
      <w:lvlJc w:val="left"/>
      <w:pPr>
        <w:ind w:left="4680" w:hanging="360"/>
      </w:pPr>
      <w:rPr>
        <w:rFonts w:ascii="Symbol" w:hAnsi="Symbol" w:hint="default"/>
      </w:rPr>
    </w:lvl>
    <w:lvl w:ilvl="7" w:tplc="34C01A72">
      <w:start w:val="1"/>
      <w:numFmt w:val="bullet"/>
      <w:lvlText w:val="o"/>
      <w:lvlJc w:val="left"/>
      <w:pPr>
        <w:ind w:left="5400" w:hanging="360"/>
      </w:pPr>
      <w:rPr>
        <w:rFonts w:ascii="Courier New" w:hAnsi="Courier New" w:hint="default"/>
      </w:rPr>
    </w:lvl>
    <w:lvl w:ilvl="8" w:tplc="E126EF6A">
      <w:start w:val="1"/>
      <w:numFmt w:val="bullet"/>
      <w:lvlText w:val=""/>
      <w:lvlJc w:val="left"/>
      <w:pPr>
        <w:ind w:left="6120" w:hanging="360"/>
      </w:pPr>
      <w:rPr>
        <w:rFonts w:ascii="Wingdings" w:hAnsi="Wingdings" w:hint="default"/>
      </w:rPr>
    </w:lvl>
  </w:abstractNum>
  <w:abstractNum w:abstractNumId="3" w15:restartNumberingAfterBreak="0">
    <w:nsid w:val="61B18ED4"/>
    <w:multiLevelType w:val="hybridMultilevel"/>
    <w:tmpl w:val="0F4E7018"/>
    <w:lvl w:ilvl="0" w:tplc="B8CA9A3E">
      <w:start w:val="1"/>
      <w:numFmt w:val="bullet"/>
      <w:lvlText w:val=""/>
      <w:lvlJc w:val="left"/>
      <w:pPr>
        <w:ind w:left="360" w:hanging="360"/>
      </w:pPr>
      <w:rPr>
        <w:rFonts w:ascii="Symbol" w:hAnsi="Symbol" w:hint="default"/>
      </w:rPr>
    </w:lvl>
    <w:lvl w:ilvl="1" w:tplc="ACFEF8DA">
      <w:start w:val="1"/>
      <w:numFmt w:val="bullet"/>
      <w:lvlText w:val="o"/>
      <w:lvlJc w:val="left"/>
      <w:pPr>
        <w:ind w:left="1080" w:hanging="360"/>
      </w:pPr>
      <w:rPr>
        <w:rFonts w:ascii="Courier New" w:hAnsi="Courier New" w:hint="default"/>
      </w:rPr>
    </w:lvl>
    <w:lvl w:ilvl="2" w:tplc="8752B548">
      <w:start w:val="1"/>
      <w:numFmt w:val="bullet"/>
      <w:lvlText w:val=""/>
      <w:lvlJc w:val="left"/>
      <w:pPr>
        <w:ind w:left="1800" w:hanging="360"/>
      </w:pPr>
      <w:rPr>
        <w:rFonts w:ascii="Wingdings" w:hAnsi="Wingdings" w:hint="default"/>
      </w:rPr>
    </w:lvl>
    <w:lvl w:ilvl="3" w:tplc="077C58A4">
      <w:start w:val="1"/>
      <w:numFmt w:val="bullet"/>
      <w:lvlText w:val=""/>
      <w:lvlJc w:val="left"/>
      <w:pPr>
        <w:ind w:left="2520" w:hanging="360"/>
      </w:pPr>
      <w:rPr>
        <w:rFonts w:ascii="Symbol" w:hAnsi="Symbol" w:hint="default"/>
      </w:rPr>
    </w:lvl>
    <w:lvl w:ilvl="4" w:tplc="E4F4F8DA">
      <w:start w:val="1"/>
      <w:numFmt w:val="bullet"/>
      <w:lvlText w:val="o"/>
      <w:lvlJc w:val="left"/>
      <w:pPr>
        <w:ind w:left="3240" w:hanging="360"/>
      </w:pPr>
      <w:rPr>
        <w:rFonts w:ascii="Courier New" w:hAnsi="Courier New" w:hint="default"/>
      </w:rPr>
    </w:lvl>
    <w:lvl w:ilvl="5" w:tplc="5956B08E">
      <w:start w:val="1"/>
      <w:numFmt w:val="bullet"/>
      <w:lvlText w:val=""/>
      <w:lvlJc w:val="left"/>
      <w:pPr>
        <w:ind w:left="3960" w:hanging="360"/>
      </w:pPr>
      <w:rPr>
        <w:rFonts w:ascii="Wingdings" w:hAnsi="Wingdings" w:hint="default"/>
      </w:rPr>
    </w:lvl>
    <w:lvl w:ilvl="6" w:tplc="A466788E">
      <w:start w:val="1"/>
      <w:numFmt w:val="bullet"/>
      <w:lvlText w:val=""/>
      <w:lvlJc w:val="left"/>
      <w:pPr>
        <w:ind w:left="4680" w:hanging="360"/>
      </w:pPr>
      <w:rPr>
        <w:rFonts w:ascii="Symbol" w:hAnsi="Symbol" w:hint="default"/>
      </w:rPr>
    </w:lvl>
    <w:lvl w:ilvl="7" w:tplc="40C64494">
      <w:start w:val="1"/>
      <w:numFmt w:val="bullet"/>
      <w:lvlText w:val="o"/>
      <w:lvlJc w:val="left"/>
      <w:pPr>
        <w:ind w:left="5400" w:hanging="360"/>
      </w:pPr>
      <w:rPr>
        <w:rFonts w:ascii="Courier New" w:hAnsi="Courier New" w:hint="default"/>
      </w:rPr>
    </w:lvl>
    <w:lvl w:ilvl="8" w:tplc="6BFC0828">
      <w:start w:val="1"/>
      <w:numFmt w:val="bullet"/>
      <w:lvlText w:val=""/>
      <w:lvlJc w:val="left"/>
      <w:pPr>
        <w:ind w:left="6120" w:hanging="360"/>
      </w:pPr>
      <w:rPr>
        <w:rFonts w:ascii="Wingdings" w:hAnsi="Wingdings" w:hint="default"/>
      </w:rPr>
    </w:lvl>
  </w:abstractNum>
  <w:num w:numId="1" w16cid:durableId="203517781">
    <w:abstractNumId w:val="3"/>
  </w:num>
  <w:num w:numId="2" w16cid:durableId="1544169541">
    <w:abstractNumId w:val="2"/>
  </w:num>
  <w:num w:numId="3" w16cid:durableId="718674523">
    <w:abstractNumId w:val="0"/>
    <w:lvlOverride w:ilvl="0">
      <w:lvl w:ilvl="0">
        <w:numFmt w:val="bullet"/>
        <w:lvlText w:val=""/>
        <w:legacy w:legacy="1" w:legacySpace="0" w:legacyIndent="0"/>
        <w:lvlJc w:val="left"/>
        <w:rPr>
          <w:rFonts w:ascii="Symbol" w:hAnsi="Symbol" w:hint="default"/>
          <w:sz w:val="60"/>
        </w:rPr>
      </w:lvl>
    </w:lvlOverride>
  </w:num>
  <w:num w:numId="4" w16cid:durableId="736509853">
    <w:abstractNumId w:val="0"/>
    <w:lvlOverride w:ilvl="0">
      <w:lvl w:ilvl="0">
        <w:numFmt w:val="bullet"/>
        <w:lvlText w:val=""/>
        <w:legacy w:legacy="1" w:legacySpace="0" w:legacyIndent="0"/>
        <w:lvlJc w:val="left"/>
        <w:rPr>
          <w:rFonts w:ascii="Symbol" w:hAnsi="Symbol" w:hint="default"/>
          <w:sz w:val="48"/>
        </w:rPr>
      </w:lvl>
    </w:lvlOverride>
  </w:num>
  <w:num w:numId="5" w16cid:durableId="148835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6E"/>
    <w:rsid w:val="000C40A9"/>
    <w:rsid w:val="0026490D"/>
    <w:rsid w:val="003C3212"/>
    <w:rsid w:val="003F4202"/>
    <w:rsid w:val="005D27DC"/>
    <w:rsid w:val="006D4764"/>
    <w:rsid w:val="006F6B63"/>
    <w:rsid w:val="00752915"/>
    <w:rsid w:val="0084016E"/>
    <w:rsid w:val="009660FA"/>
    <w:rsid w:val="00A56462"/>
    <w:rsid w:val="00A814BE"/>
    <w:rsid w:val="00B278FF"/>
    <w:rsid w:val="00B431C1"/>
    <w:rsid w:val="00E01EAA"/>
    <w:rsid w:val="00F1173E"/>
    <w:rsid w:val="00F65517"/>
    <w:rsid w:val="00FD64E5"/>
    <w:rsid w:val="0349805E"/>
    <w:rsid w:val="038D426A"/>
    <w:rsid w:val="04D4E1E3"/>
    <w:rsid w:val="08D1C35C"/>
    <w:rsid w:val="0A9846FF"/>
    <w:rsid w:val="0EDD53C8"/>
    <w:rsid w:val="10ECAA77"/>
    <w:rsid w:val="10F734CB"/>
    <w:rsid w:val="111B33C1"/>
    <w:rsid w:val="1450498D"/>
    <w:rsid w:val="15920E96"/>
    <w:rsid w:val="2512B671"/>
    <w:rsid w:val="36741DD0"/>
    <w:rsid w:val="374DC285"/>
    <w:rsid w:val="38DA2A23"/>
    <w:rsid w:val="3AB4CEFA"/>
    <w:rsid w:val="3BD7D75C"/>
    <w:rsid w:val="3E59F556"/>
    <w:rsid w:val="3EA6461B"/>
    <w:rsid w:val="44213907"/>
    <w:rsid w:val="46E45C21"/>
    <w:rsid w:val="4827D9DC"/>
    <w:rsid w:val="48569CAD"/>
    <w:rsid w:val="53CF5F8F"/>
    <w:rsid w:val="58A8F4D8"/>
    <w:rsid w:val="65D4BADE"/>
    <w:rsid w:val="67F0780B"/>
    <w:rsid w:val="6ABD5F58"/>
    <w:rsid w:val="7357624E"/>
    <w:rsid w:val="78511349"/>
    <w:rsid w:val="79CDC944"/>
    <w:rsid w:val="7A9F9876"/>
    <w:rsid w:val="7C1B0F51"/>
    <w:rsid w:val="7DE9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655F"/>
  <w15:chartTrackingRefBased/>
  <w15:docId w15:val="{E94E7A02-3C7C-4142-B712-1DDCAE96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90D"/>
  </w:style>
  <w:style w:type="paragraph" w:styleId="Footer">
    <w:name w:val="footer"/>
    <w:basedOn w:val="Normal"/>
    <w:link w:val="FooterChar"/>
    <w:uiPriority w:val="99"/>
    <w:unhideWhenUsed/>
    <w:rsid w:val="00264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90D"/>
  </w:style>
  <w:style w:type="character" w:styleId="Hyperlink">
    <w:name w:val="Hyperlink"/>
    <w:basedOn w:val="DefaultParagraphFont"/>
    <w:uiPriority w:val="99"/>
    <w:unhideWhenUsed/>
    <w:rsid w:val="006F6B63"/>
    <w:rPr>
      <w:color w:val="0563C1" w:themeColor="hyperlink"/>
      <w:u w:val="single"/>
    </w:rPr>
  </w:style>
  <w:style w:type="character" w:styleId="UnresolvedMention">
    <w:name w:val="Unresolved Mention"/>
    <w:basedOn w:val="DefaultParagraphFont"/>
    <w:uiPriority w:val="99"/>
    <w:semiHidden/>
    <w:unhideWhenUsed/>
    <w:rsid w:val="006F6B63"/>
    <w:rPr>
      <w:color w:val="605E5C"/>
      <w:shd w:val="clear" w:color="auto" w:fill="E1DFDD"/>
    </w:rPr>
  </w:style>
  <w:style w:type="paragraph" w:styleId="ListParagraph">
    <w:name w:val="List Paragraph"/>
    <w:basedOn w:val="Normal"/>
    <w:uiPriority w:val="34"/>
    <w:qFormat/>
    <w:rsid w:val="00B278F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28c64c-0223-4fdb-b246-5cb48e10bab4" xsi:nil="true"/>
    <lcf76f155ced4ddcb4097134ff3c332f xmlns="aba7724c-a1a7-458a-8c38-d4d2763ead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53BBE2CE759D48BBB97EF92C2F9BF1" ma:contentTypeVersion="16" ma:contentTypeDescription="Create a new document." ma:contentTypeScope="" ma:versionID="f7e61857e4638742c2849ba1955197e5">
  <xsd:schema xmlns:xsd="http://www.w3.org/2001/XMLSchema" xmlns:xs="http://www.w3.org/2001/XMLSchema" xmlns:p="http://schemas.microsoft.com/office/2006/metadata/properties" xmlns:ns2="c828c64c-0223-4fdb-b246-5cb48e10bab4" xmlns:ns3="aba7724c-a1a7-458a-8c38-d4d2763eadc6" targetNamespace="http://schemas.microsoft.com/office/2006/metadata/properties" ma:root="true" ma:fieldsID="023d9b4ac2e837fcbd1f5a51b37e3e5f" ns2:_="" ns3:_="">
    <xsd:import namespace="c828c64c-0223-4fdb-b246-5cb48e10bab4"/>
    <xsd:import namespace="aba7724c-a1a7-458a-8c38-d4d2763ead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c64c-0223-4fdb-b246-5cb48e10ba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a1d0e9-648e-4ddb-aa12-eb2538d80dd3}" ma:internalName="TaxCatchAll" ma:showField="CatchAllData" ma:web="c828c64c-0223-4fdb-b246-5cb48e10ba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7724c-a1a7-458a-8c38-d4d2763ead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5cd4d8-5c2f-4024-a383-34cf5636910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D4D07-7491-4E8C-AB43-113070FA873F}">
  <ds:schemaRefs>
    <ds:schemaRef ds:uri="http://schemas.microsoft.com/sharepoint/v3/contenttype/forms"/>
  </ds:schemaRefs>
</ds:datastoreItem>
</file>

<file path=customXml/itemProps2.xml><?xml version="1.0" encoding="utf-8"?>
<ds:datastoreItem xmlns:ds="http://schemas.openxmlformats.org/officeDocument/2006/customXml" ds:itemID="{188E3104-C4A7-46BA-B1FA-5E08A0ED1042}">
  <ds:schemaRefs>
    <ds:schemaRef ds:uri="http://schemas.microsoft.com/office/2006/metadata/properties"/>
    <ds:schemaRef ds:uri="http://schemas.microsoft.com/office/infopath/2007/PartnerControls"/>
    <ds:schemaRef ds:uri="c828c64c-0223-4fdb-b246-5cb48e10bab4"/>
    <ds:schemaRef ds:uri="aba7724c-a1a7-458a-8c38-d4d2763eadc6"/>
  </ds:schemaRefs>
</ds:datastoreItem>
</file>

<file path=customXml/itemProps3.xml><?xml version="1.0" encoding="utf-8"?>
<ds:datastoreItem xmlns:ds="http://schemas.openxmlformats.org/officeDocument/2006/customXml" ds:itemID="{707AA78F-98A4-4537-884C-ADCC0C90C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c64c-0223-4fdb-b246-5cb48e10bab4"/>
    <ds:schemaRef ds:uri="aba7724c-a1a7-458a-8c38-d4d2763e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Portman</dc:creator>
  <cp:keywords/>
  <dc:description/>
  <cp:lastModifiedBy>EmmaB</cp:lastModifiedBy>
  <cp:revision>3</cp:revision>
  <dcterms:created xsi:type="dcterms:W3CDTF">2024-09-07T13:10:00Z</dcterms:created>
  <dcterms:modified xsi:type="dcterms:W3CDTF">2024-09-07T13:13:00Z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0x010100A753BBE2CE759D48BBB97EF92C2F9BF1</vt:lpwstr>
  </property>
  <property fmtid="{D5CDD505-2E9C-101B-9397-08002B2CF9AE}" pid="3" name="MediaServiceImageTags">
    <vt:lpwstr/>
  </property>
</Properties>
</file>