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numbering.xml" ContentType="application/vnd.openxmlformats-officedocument.wordprocessingml.numbering+xml"/>
  <Override PartName="/word/people.xml" ContentType="application/vnd.openxmlformats-officedocument.wordprocessingml.peop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sdt>
      <w:sdtPr>
        <w:rPr>
          <w:rFonts w:eastAsia="Muli" w:cs="Muli" w:asciiTheme="majorHAnsi" w:hAnsiTheme="majorHAnsi"/>
          <w:sz w:val="20"/>
          <w:szCs w:val="20"/>
        </w:rPr>
        <w:id w:val="560755673"/>
        <w:docPartObj>
          <w:docPartGallery w:val="autotext"/>
        </w:docPartObj>
      </w:sdtPr>
      <w:sdtEndPr>
        <w:rPr>
          <w:rFonts w:eastAsia="Muli" w:cs="Muli" w:asciiTheme="majorHAnsi" w:hAnsiTheme="majorHAnsi"/>
          <w:sz w:val="20"/>
          <w:szCs w:val="20"/>
        </w:rPr>
      </w:sdtEndPr>
      <w:sdtContent>
        <w:p w14:paraId="2F3D8A69">
          <w:pPr>
            <w:rPr>
              <w:rFonts w:eastAsia="Muli" w:cs="Muli" w:asciiTheme="majorHAnsi" w:hAnsiTheme="majorHAnsi"/>
              <w:sz w:val="20"/>
            </w:rPr>
          </w:pPr>
          <w:r>
            <w:rPr>
              <w:rFonts w:eastAsia="Muli" w:cs="Muli" w:asciiTheme="majorHAnsi" w:hAnsiTheme="majorHAnsi"/>
              <w:sz w:val="20"/>
              <w:szCs w:val="20"/>
            </w:rPr>
            <w:drawing>
              <wp:anchor distT="0" distB="0" distL="114300" distR="114300" simplePos="0" relativeHeight="251659264" behindDoc="0" locked="0" layoutInCell="1" allowOverlap="1">
                <wp:simplePos x="0" y="0"/>
                <wp:positionH relativeFrom="page">
                  <wp:align>left</wp:align>
                </wp:positionH>
                <wp:positionV relativeFrom="page">
                  <wp:posOffset>-7620</wp:posOffset>
                </wp:positionV>
                <wp:extent cx="7560945" cy="10726420"/>
                <wp:effectExtent l="0" t="0" r="1905" b="0"/>
                <wp:wrapNone/>
                <wp:docPr id="119334620" name="Picture 1193346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9334620" name="Picture 119334620"/>
                        <pic:cNvPicPr>
                          <a:picLocks noChangeAspect="1"/>
                        </pic:cNvPicPr>
                      </pic:nvPicPr>
                      <pic:blipFill>
                        <a:blip r:embed="rId7">
                          <a:extLst>
                            <a:ext uri="{28A0092B-C50C-407E-A947-70E740481C1C}">
                              <a14:useLocalDpi xmlns:a14="http://schemas.microsoft.com/office/drawing/2010/main" val="0"/>
                            </a:ext>
                          </a:extLst>
                        </a:blip>
                        <a:stretch>
                          <a:fillRect/>
                        </a:stretch>
                      </pic:blipFill>
                      <pic:spPr>
                        <a:xfrm>
                          <a:off x="0" y="0"/>
                          <a:ext cx="7560945" cy="10726151"/>
                        </a:xfrm>
                        <a:prstGeom prst="rect">
                          <a:avLst/>
                        </a:prstGeom>
                      </pic:spPr>
                    </pic:pic>
                  </a:graphicData>
                </a:graphic>
              </wp:anchor>
            </w:drawing>
          </w:r>
          <w:r>
            <mc:AlternateContent>
              <mc:Choice Requires="wps">
                <w:drawing>
                  <wp:anchor distT="0" distB="0" distL="114300" distR="114300" simplePos="0" relativeHeight="251659264" behindDoc="0" locked="0" layoutInCell="1" allowOverlap="1">
                    <wp:simplePos x="0" y="0"/>
                    <wp:positionH relativeFrom="column">
                      <wp:posOffset>-86360</wp:posOffset>
                    </wp:positionH>
                    <wp:positionV relativeFrom="page">
                      <wp:posOffset>851535</wp:posOffset>
                    </wp:positionV>
                    <wp:extent cx="5859145" cy="814070"/>
                    <wp:effectExtent l="38100" t="38100" r="103505" b="95885"/>
                    <wp:wrapNone/>
                    <wp:docPr id="901" name="Text Box 901"/>
                    <wp:cNvGraphicFramePr/>
                    <a:graphic xmlns:a="http://schemas.openxmlformats.org/drawingml/2006/main">
                      <a:graphicData uri="http://schemas.microsoft.com/office/word/2010/wordprocessingShape">
                        <wps:wsp>
                          <wps:cNvSpPr txBox="1">
                            <a:spLocks noChangeArrowheads="1"/>
                          </wps:cNvSpPr>
                          <wps:spPr bwMode="auto">
                            <a:xfrm>
                              <a:off x="0" y="0"/>
                              <a:ext cx="5859145" cy="814070"/>
                            </a:xfrm>
                            <a:prstGeom prst="rect">
                              <a:avLst/>
                            </a:prstGeom>
                            <a:solidFill>
                              <a:srgbClr val="000000"/>
                            </a:solidFill>
                            <a:ln w="9525">
                              <a:solidFill>
                                <a:srgbClr val="000000"/>
                              </a:solidFill>
                            </a:ln>
                          </wps:spPr>
                          <wps:txbx>
                            <w:txbxContent>
                              <w:p w14:paraId="56374CDE">
                                <w:pPr>
                                  <w:jc w:val="center"/>
                                </w:pPr>
                                <w:r>
                                  <w:rPr>
                                    <w:rFonts w:asciiTheme="majorBidi" w:hAnsiTheme="majorBidi" w:cstheme="majorBidi"/>
                                    <w:b/>
                                    <w:bCs/>
                                    <w:color w:val="FFFFFF"/>
                                    <w:sz w:val="56"/>
                                    <w:szCs w:val="56"/>
                                  </w:rPr>
                                  <w:t>Terms of Service</w:t>
                                </w:r>
                              </w:p>
                            </w:txbxContent>
                          </wps:txbx>
                          <wps:bodyPr rot="0" vert="horz" wrap="square" lIns="91440" tIns="45720" rIns="91440" bIns="45720" anchor="t" anchorCtr="0">
                            <a:noAutofit/>
                          </wps:bodyPr>
                        </wps:wsp>
                      </a:graphicData>
                    </a:graphic>
                  </wp:anchor>
                </w:drawing>
              </mc:Choice>
              <mc:Fallback>
                <w:pict>
                  <v:shape id="_x0000_s1026" o:spid="_x0000_s1026" o:spt="202" type="#_x0000_t202" style="position:absolute;left:0pt;margin-left:-6.8pt;margin-top:67.05pt;height:64.1pt;width:461.35pt;mso-position-vertical-relative:page;z-index:251659264;mso-width-relative:page;mso-height-relative:page;" fillcolor="#000000" filled="t" stroked="t" coordsize="21600,21600" o:gfxdata="UEsDBAoAAAAAAIdO4kAAAAAAAAAAAAAAAAAEAAAAZHJzL1BLAwQUAAAACACHTuJA+hQeFtwAAAAL AQAADwAAAGRycy9kb3ducmV2LnhtbE2PwU7DMAyG70i8Q2QkblvSFlVbaTpNSCAuFWxs2o5ZY9pC k1RNuhWeHnOCm63/0+/P+WoyHTvj4FtnJURzAQxt5XRrawm7t8fZApgPymrVOYsSvtDDqri+ylWm 3cVu8LwNNaMS6zMloQmhzzj3VYNG+bnr0VL27gajAq1DzfWgLlRuOh4LkXKjWksXGtXjQ4PV53Y0 El72r4vncT25sP441oen73JX7kspb28icQ8s4BT+YPjVJ3UoyOnkRqs96yTMoiQllILkLgJGxFIs aThJiNM4AV7k/P8PxQ9QSwMEFAAAAAgAh07iQGtRLjcfAgAAZwQAAA4AAABkcnMvZTJvRG9jLnht bK2UUW/TMBDH35H4DpbfadKqZV3UdBqthpAGQ9r4AI7jNBaOz5zdJuXTc3a6UsbLkOhD5POd/777 3bmrm6Ez7KDQa7Aln05yzpSVUGu7K/m3p7t3S858ELYWBqwq+VF5frN++2bVu0LNoAVTK2QkYn3R u5K3Ibgiy7xsVSf8BJyy5GwAOxHIxF1Wo+hJvTPZLM/fZz1g7RCk8p52t6OTnxTxNYLQNFqqLch9 p2wYVVEZEagk32rn+Tpl2zRKhoem8SowU3KqNKQvXULrKn6z9UoUOxSu1fKUgnhNCi9q6oS2dOlZ aiuCYHvUf0l1WiJ4aMJEQpeNhSQiVMU0f8HmsRVOpVoItXdn6P7/ycovh6/IdF3y63zKmRUdtfxJ DYF9gIHFPSLUO19Q4KOj0DCQg+YmVevdPcjvnlnYtMLu1C0i9K0SNWWYTmYXR0cdH0Wq/jPUdJHY B0hCQ4NdxEdAGKlTd47n7sRkJG0ulovr6XzBmSTfcjrPr1L7MlE8n3bow0cFHYuLkiN1P6mLw70P VAeFPofEyzwYXd9pY5KBu2pjkB1EnJT0i6XTkT/CjGU9sVrMFiOAf5YgQWNJN4KJLEYqYaiGE+gK 6iMhQhhnlV4qLVrAn5z1NKcl9z/2AhVn5pMlzIRkHgc7GfPF1YwMvPRUlx5hJUmVPHA2LjchPYZI wMIttaPRiVRMb8zklCvNX6JxeitxwC/tFPX7/2H9C1BLAwQKAAAAAACHTuJAAAAAAAAAAAAAAAAA BgAAAF9yZWxzL1BLAwQUAAAACACHTuJAihRmPNEAAACUAQAACwAAAF9yZWxzLy5yZWxzpZDBasMw DIbvg72D0X1xmsMYo04vo9Br6R7A2IpjGltGMtn69vMOg2X0tqN+oe8T//7wmRa1IkukbGDX9aAw O/IxBwPvl+PTCyipNnu7UEYDNxQ4jI8P+zMutrYjmWMR1ShZDMy1lletxc2YrHRUMLfNRJxsbSMH Xay72oB66Ptnzb8ZMG6Y6uQN8MkPoC630sx/2Ck6JqGpdo6SpmmK7h5VB7Zlju7INuEbuUazHLAa 8CwaB2pZ134EfV+/+6fe00c+47rVfoeM649Xb7ocvwBQSwMEFAAAAAgAh07iQH7m5SD3AAAA4QEA ABMAAABbQ29udGVudF9UeXBlc10ueG1slZFBTsMwEEX3SNzB8hYlTrtACCXpgrRLQKgcYGRPEotk bHlMaG+Pk7YbRJFY2jP/vye73BzGQUwY2Dqq5CovpEDSzljqKvm+32UPUnAEMjA4wkoekeWmvr0p 90ePLFKauJJ9jP5RKdY9jsC580hp0rowQkzH0CkP+gM6VOuiuFfaUUSKWZw7ZF022MLnEMX2kK5P JgEHluLptDizKgneD1ZDTKZqIvODkp0JeUouO9xbz3dJQ6pfCfPkOuCce0lPE6xB8QohPsOYNJQJ rIz7ooBT/nfJbDly5trWasybwE2KveF0sbrWjmvXOP3f8u2SunSr5YPqb1BLAQIUABQAAAAIAIdO 4kB+5uUg9wAAAOEBAAATAAAAAAAAAAEAIAAAAJQEAABbQ29udGVudF9UeXBlc10ueG1sUEsBAhQA CgAAAAAAh07iQAAAAAAAAAAAAAAAAAYAAAAAAAAAAAAQAAAAdgMAAF9yZWxzL1BLAQIUABQAAAAI AIdO4kCKFGY80QAAAJQBAAALAAAAAAAAAAEAIAAAAJoDAABfcmVscy8ucmVsc1BLAQIUAAoAAAAA AIdO4kAAAAAAAAAAAAAAAAAEAAAAAAAAAAAAEAAAAAAAAABkcnMvUEsBAhQAFAAAAAgAh07iQPoU HhbcAAAACwEAAA8AAAAAAAAAAQAgAAAAIgAAAGRycy9kb3ducmV2LnhtbFBLAQIUABQAAAAIAIdO 4kBrUS43HwIAAGcEAAAOAAAAAAAAAAEAIAAAACsBAABkcnMvZTJvRG9jLnhtbFBLBQYAAAAABgAG AFkBAAC8BQAAAAA= ">
                    <v:fill on="t" focussize="0,0"/>
                    <v:stroke color="#000000" joinstyle="round"/>
                    <v:imagedata o:title=""/>
                    <o:lock v:ext="edit" aspectratio="f"/>
                    <v:textbox>
                      <w:txbxContent>
                        <w:p w14:paraId="56374CDE">
                          <w:pPr>
                            <w:jc w:val="center"/>
                          </w:pPr>
                          <w:r>
                            <w:rPr>
                              <w:rFonts w:asciiTheme="majorBidi" w:hAnsiTheme="majorBidi" w:cstheme="majorBidi"/>
                              <w:b/>
                              <w:bCs/>
                              <w:color w:val="FFFFFF"/>
                              <w:sz w:val="56"/>
                              <w:szCs w:val="56"/>
                            </w:rPr>
                            <w:t>Terms of Service</w:t>
                          </w:r>
                        </w:p>
                      </w:txbxContent>
                    </v:textbox>
                  </v:shape>
                </w:pict>
              </mc:Fallback>
            </mc:AlternateContent>
            <mc:AlternateContent>
              <mc:Choice Requires="wps">
                <w:drawing>
                  <wp:anchor distT="0" distB="0" distL="114300" distR="114300" simplePos="0" relativeHeight="251659264" behindDoc="0" locked="0" layoutInCell="1" allowOverlap="1">
                    <wp:simplePos x="0" y="0"/>
                    <wp:positionH relativeFrom="column">
                      <wp:posOffset>-86360</wp:posOffset>
                    </wp:positionH>
                    <wp:positionV relativeFrom="page">
                      <wp:posOffset>2188210</wp:posOffset>
                    </wp:positionV>
                    <wp:extent cx="5859145" cy="1750060"/>
                    <wp:effectExtent l="38100" t="38100" r="103505" b="95885"/>
                    <wp:wrapNone/>
                    <wp:docPr id="902" name="Text Box 902"/>
                    <wp:cNvGraphicFramePr/>
                    <a:graphic xmlns:a="http://schemas.openxmlformats.org/drawingml/2006/main">
                      <a:graphicData uri="http://schemas.microsoft.com/office/word/2010/wordprocessingShape">
                        <wps:wsp>
                          <wps:cNvSpPr txBox="1">
                            <a:spLocks noChangeArrowheads="1"/>
                          </wps:cNvSpPr>
                          <wps:spPr bwMode="auto">
                            <a:xfrm>
                              <a:off x="0" y="0"/>
                              <a:ext cx="5859145" cy="1750000"/>
                            </a:xfrm>
                            <a:prstGeom prst="rect">
                              <a:avLst/>
                            </a:prstGeom>
                            <a:solidFill>
                              <a:srgbClr val="F2F2F2"/>
                            </a:solidFill>
                            <a:ln w="9525">
                              <a:solidFill>
                                <a:srgbClr val="000000"/>
                              </a:solidFill>
                            </a:ln>
                          </wps:spPr>
                          <wps:txbx>
                            <w:txbxContent>
                              <w:p w14:paraId="1783C77E">
                                <w:pPr>
                                  <w:spacing w:before="80" w:after="80"/>
                                  <w:jc w:val="left"/>
                                </w:pPr>
                                <w:r>
                                  <w:rPr>
                                    <w:rFonts w:ascii="Arial" w:hAnsi="Arial" w:eastAsia="Arial" w:cs="Arial"/>
                                    <w:b/>
                                    <w:bCs/>
                                    <w:i/>
                                    <w:iCs/>
                                    <w:color w:val="000000"/>
                                    <w:sz w:val="19"/>
                                    <w:szCs w:val="19"/>
                                  </w:rPr>
                                  <w:t>Please read before you accept</w:t>
                                </w:r>
                              </w:p>
                              <w:p w14:paraId="11574DB3">
                                <w:pPr>
                                  <w:spacing w:before="80" w:after="80"/>
                                  <w:jc w:val="both"/>
                                </w:pPr>
                                <w:r>
                                  <w:rPr>
                                    <w:rFonts w:ascii="Arial" w:hAnsi="Arial" w:eastAsia="Arial" w:cs="Arial"/>
                                    <w:color w:val="000000"/>
                                    <w:sz w:val="19"/>
                                    <w:szCs w:val="19"/>
                                  </w:rPr>
                                  <w:t>These Terms of Service are the legal agreement between you and TWCW Pty Ltd (trading as 1Stop) for your use of the 1Stop Platform. They cover Consumers, Businesses, payments, advertising, your data and how we keep it secure. Please read them before you tick the Acceptance Box. If you do not agree, do not tick the box and do not use the Platform.</w:t>
                                </w:r>
                              </w:p>
                            </w:txbxContent>
                          </wps:txbx>
                          <wps:bodyPr rot="0" vert="horz" wrap="square" lIns="91440" tIns="45720" rIns="91440" bIns="45720" anchor="t" anchorCtr="0">
                            <a:noAutofit/>
                          </wps:bodyPr>
                        </wps:wsp>
                      </a:graphicData>
                    </a:graphic>
                  </wp:anchor>
                </w:drawing>
              </mc:Choice>
              <mc:Fallback>
                <w:pict>
                  <v:shape id="_x0000_s1026" o:spid="_x0000_s1026" o:spt="202" type="#_x0000_t202" style="position:absolute;left:0pt;margin-left:-6.8pt;margin-top:172.3pt;height:137.8pt;width:461.35pt;mso-position-vertical-relative:page;z-index:251659264;mso-width-relative:page;mso-height-relative:page;" fillcolor="#F2F2F2" filled="t" stroked="t" coordsize="21600,21600" o:gfxdata="UEsDBAoAAAAAAIdO4kAAAAAAAAAAAAAAAAAEAAAAZHJzL1BLAwQUAAAACACHTuJAZChnLtgAAAAL AQAADwAAAGRycy9kb3ducmV2LnhtbE2PwU7DMAyG70i8Q2QkLmhL2lWFlaY7gCaOsI3ds8a0FY1T NelW3h5zYjdb/vz7c7mZXS/OOIbOk4ZkqUAg1d521Gj4PGwXTyBCNGRN7wk1/GCATXV7U5rC+gvt 8LyPjeAQCoXR0MY4FFKGukVnwtIPSDz78qMzkduxkXY0Fw53vUyVyqUzHfGF1gz40mL9vZ8caxyO QypVFh/fHj5e33fzcZjyrdb3d4l6BhFxjv8w/OnzDlTsdPIT2SB6DYtklTOqYZVlXDCxVusExElD nqoUZFXK6x+qX1BLAwQUAAAACACHTuJAIJxNFSQCAABoBAAADgAAAGRycy9lMm9Eb2MueG1srVRR b9MwEH5H4j9YfqdJo4ZtUdNptCpCGgxp4we4jtNEOD5zdpuUX8/ZyUoZQtoDiRT5fOfvvvvunOXt 0Gl2VOhaMCWfz1LOlJFQtWZf8m9P23fXnDkvTCU0GFXyk3L8dvX2zbK3hcqgAV0pZARiXNHbkjfe 2yJJnGxUJ9wMrDLkrAE74cnEfVKh6Am900mWpu+THrCyCFI5R7ub0cknRHwNINR1K9UG5KFTxo+o qLTwVJJrWuv4KrKtayX9Q1075ZkuOVXq45eS0HoXvslqKYo9Ctu0cqIgXkPhRU2daA0lPUNthBfs gO1fUF0rERzUfiahS8ZCoiJUxTx9oc1jI6yKtZDUzp5Fd/8PVn45fkXWViW/STPOjOio5U9q8OwD DCzskUK9dQUFPloK9QM5aG5itc7eg/zumIF1I8xe3SFC3yhREcN5OJlcHB1xXADZ9Z+hokTi4CEC DTV2QT4ShBE6ded07k4gI2kzv85v5oucM0m++VWe0hNziOL5uEXnPyroWFiUHKn9EV4c750PdETx HBKyOdBttW21jgbud2uN7ChoVLZZeCf0P8K0YT2JlWf5qMA/IQK9M8ELCOKgzaRMEGOUxQ+7YVJ6 B9WJNEIYh5WuKi0awJ+c9TSoJXc/DgIVZ/qTIZ1Jk0WY7Ggs8quMDLz07C49wkiCKrnnbFyufbwN QQEDd9SPuo1KhcaNTCauNIBRwOmyhAm/tGPU7x/E6hdQSwMECgAAAAAAh07iQAAAAAAAAAAAAAAA AAYAAABfcmVscy9QSwMEFAAAAAgAh07iQIoUZjzRAAAAlAEAAAsAAABfcmVscy8ucmVsc6WQwWrD MAyG74O9g9F9cZrDGKNOL6PQa+kewNiKYxpbRjLZ+vbzDoNl9LajfqHvE//+8JkWtSJLpGxg1/Wg MDvyMQcD75fj0wsoqTZ7u1BGAzcUOIyPD/szLra2I5ljEdUoWQzMtZZXrcXNmKx0VDC3zUScbG0j B12su9qAeuj7Z82/GTBumOrkDfDJD6Aut9LMf9gpOiahqXaOkqZpiu4eVQe2ZY7uyDbhG7lGsxyw GvAsGgdqWdd+BH1fv/un3tNHPuO61X6HjOuPV2+6HL8AUEsDBBQAAAAIAIdO4kB+5uUg9wAAAOEB AAATAAAAW0NvbnRlbnRfVHlwZXNdLnhtbJWRQU7DMBBF90jcwfIWJU67QAgl6YK0S0CoHGBkTxKL ZGx5TGhvj5O2G0SRWNoz/78nu9wcxkFMGNg6quQqL6RA0s5Y6ir5vt9lD1JwBDIwOMJKHpHlpr69 KfdHjyxSmriSfYz+USnWPY7AufNIadK6MEJMx9ApD/oDOlTrorhX2lFEilmcO2RdNtjC5xDF9pCu TyYBB5bi6bQ4syoJ3g9WQ0ymaiLzg5KdCXlKLjvcW893SUOqXwnz5DrgnHtJTxOsQfEKIT7DmDSU CayM+6KAU/53yWw5cuba1mrMm8BNir3hdLG61o5r1zj93/Ltkrp0q+WD6m9QSwECFAAUAAAACACH TuJAfublIPcAAADhAQAAEwAAAAAAAAABACAAAACVBAAAW0NvbnRlbnRfVHlwZXNdLnhtbFBLAQIU AAoAAAAAAIdO4kAAAAAAAAAAAAAAAAAGAAAAAAAAAAAAEAAAAHcDAABfcmVscy9QSwECFAAUAAAA CACHTuJAihRmPNEAAACUAQAACwAAAAAAAAABACAAAACbAwAAX3JlbHMvLnJlbHNQSwECFAAKAAAA AACHTuJAAAAAAAAAAAAAAAAABAAAAAAAAAAAABAAAAAAAAAAZHJzL1BLAQIUABQAAAAIAIdO4kBk KGcu2AAAAAsBAAAPAAAAAAAAAAEAIAAAACIAAABkcnMvZG93bnJldi54bWxQSwECFAAUAAAACACH TuJAIJxNFSQCAABoBAAADgAAAAAAAAABACAAAAAnAQAAZHJzL2Uyb0RvYy54bWxQSwUGAAAAAAYA BgBZAQAAvQUAAAAA ">
                    <v:fill on="t" focussize="0,0"/>
                    <v:stroke color="#000000" joinstyle="round"/>
                    <v:imagedata o:title=""/>
                    <o:lock v:ext="edit" aspectratio="f"/>
                    <v:textbox>
                      <w:txbxContent>
                        <w:p w14:paraId="1783C77E">
                          <w:pPr>
                            <w:spacing w:before="80" w:after="80"/>
                            <w:jc w:val="left"/>
                          </w:pPr>
                          <w:r>
                            <w:rPr>
                              <w:rFonts w:ascii="Arial" w:hAnsi="Arial" w:eastAsia="Arial" w:cs="Arial"/>
                              <w:b/>
                              <w:bCs/>
                              <w:i/>
                              <w:iCs/>
                              <w:color w:val="000000"/>
                              <w:sz w:val="19"/>
                              <w:szCs w:val="19"/>
                            </w:rPr>
                            <w:t>Please read before you accept</w:t>
                          </w:r>
                        </w:p>
                        <w:p w14:paraId="11574DB3">
                          <w:pPr>
                            <w:spacing w:before="80" w:after="80"/>
                            <w:jc w:val="both"/>
                          </w:pPr>
                          <w:r>
                            <w:rPr>
                              <w:rFonts w:ascii="Arial" w:hAnsi="Arial" w:eastAsia="Arial" w:cs="Arial"/>
                              <w:color w:val="000000"/>
                              <w:sz w:val="19"/>
                              <w:szCs w:val="19"/>
                            </w:rPr>
                            <w:t>These Terms of Service are the legal agreement between you and TWCW Pty Ltd (trading as 1Stop) for your use of the 1Stop Platform. They cover Consumers, Businesses, payments, advertising, your data and how we keep it secure. Please read them before you tick the Acceptance Box. If you do not agree, do not tick the box and do not use the Platform.</w:t>
                          </w:r>
                        </w:p>
                      </w:txbxContent>
                    </v:textbox>
                  </v:shape>
                </w:pict>
              </mc:Fallback>
            </mc:AlternateContent>
            <mc:AlternateContent>
              <mc:Choice Requires="wps">
                <w:drawing>
                  <wp:anchor distT="0" distB="0" distL="114300" distR="114300" simplePos="0" relativeHeight="251659264" behindDoc="0" locked="0" layoutInCell="1" allowOverlap="1">
                    <wp:simplePos x="0" y="0"/>
                    <wp:positionH relativeFrom="column">
                      <wp:posOffset>-86360</wp:posOffset>
                    </wp:positionH>
                    <wp:positionV relativeFrom="page">
                      <wp:posOffset>4149725</wp:posOffset>
                    </wp:positionV>
                    <wp:extent cx="5859145" cy="1649730"/>
                    <wp:effectExtent l="38100" t="38100" r="103505" b="95885"/>
                    <wp:wrapNone/>
                    <wp:docPr id="903" name="Text Box 903"/>
                    <wp:cNvGraphicFramePr/>
                    <a:graphic xmlns:a="http://schemas.openxmlformats.org/drawingml/2006/main">
                      <a:graphicData uri="http://schemas.microsoft.com/office/word/2010/wordprocessingShape">
                        <wps:wsp>
                          <wps:cNvSpPr txBox="1">
                            <a:spLocks noChangeArrowheads="1"/>
                          </wps:cNvSpPr>
                          <wps:spPr bwMode="auto">
                            <a:xfrm>
                              <a:off x="0" y="0"/>
                              <a:ext cx="5859145" cy="1650000"/>
                            </a:xfrm>
                            <a:prstGeom prst="rect">
                              <a:avLst/>
                            </a:prstGeom>
                            <a:solidFill>
                              <a:srgbClr val="F2F2F2"/>
                            </a:solidFill>
                            <a:ln w="9525">
                              <a:solidFill>
                                <a:srgbClr val="000000"/>
                              </a:solidFill>
                            </a:ln>
                          </wps:spPr>
                          <wps:txbx>
                            <w:txbxContent>
                              <w:p w14:paraId="1A0F8441">
                                <w:pPr>
                                  <w:spacing w:before="80" w:after="80"/>
                                  <w:jc w:val="left"/>
                                </w:pPr>
                                <w:r>
                                  <w:rPr>
                                    <w:rFonts w:ascii="Arial" w:hAnsi="Arial" w:eastAsia="Arial" w:cs="Arial"/>
                                    <w:b/>
                                    <w:bCs/>
                                    <w:i/>
                                    <w:iCs/>
                                    <w:color w:val="000000"/>
                                    <w:sz w:val="19"/>
                                    <w:szCs w:val="19"/>
                                  </w:rPr>
                                  <w:t>Document details</w:t>
                                </w:r>
                              </w:p>
                              <w:p w14:paraId="1AC86F23">
                                <w:pPr>
                                  <w:spacing w:before="80" w:after="80"/>
                                  <w:jc w:val="left"/>
                                </w:pPr>
                                <w:r>
                                  <w:rPr>
                                    <w:rFonts w:ascii="Arial" w:hAnsi="Arial" w:eastAsia="Arial" w:cs="Arial"/>
                                    <w:b/>
                                    <w:bCs/>
                                    <w:color w:val="000000"/>
                                    <w:sz w:val="19"/>
                                    <w:szCs w:val="19"/>
                                  </w:rPr>
                                  <w:t>1Stop Platform</w:t>
                                </w:r>
                                <w:r>
                                  <w:rPr>
                                    <w:rFonts w:ascii="Arial" w:hAnsi="Arial" w:eastAsia="Arial" w:cs="Arial"/>
                                    <w:color w:val="000000"/>
                                    <w:sz w:val="19"/>
                                    <w:szCs w:val="19"/>
                                  </w:rPr>
                                  <w:t xml:space="preserve"> (marketplace terms for Consumers and Businesses)</w:t>
                                </w:r>
                              </w:p>
                              <w:p w14:paraId="2587EBBE">
                                <w:pPr>
                                  <w:spacing w:before="80" w:after="80"/>
                                  <w:jc w:val="left"/>
                                </w:pPr>
                                <w:r>
                                  <w:rPr>
                                    <w:rFonts w:ascii="Arial" w:hAnsi="Arial" w:eastAsia="Arial" w:cs="Arial"/>
                                    <w:b/>
                                    <w:bCs/>
                                    <w:color w:val="000000"/>
                                    <w:sz w:val="19"/>
                                    <w:szCs w:val="19"/>
                                  </w:rPr>
                                  <w:t>TWCW Pty Ltd</w:t>
                                </w:r>
                                <w:r>
                                  <w:rPr>
                                    <w:rFonts w:ascii="Arial" w:hAnsi="Arial" w:eastAsia="Arial" w:cs="Arial"/>
                                    <w:color w:val="000000"/>
                                    <w:sz w:val="19"/>
                                    <w:szCs w:val="19"/>
                                  </w:rPr>
                                  <w:t xml:space="preserve"> (trading as 1Stop), ACN 665 682 324, ABN </w:t>
                                </w:r>
                                <w:r>
                                  <w:rPr>
                                    <w:rFonts w:hint="default" w:ascii="Arial" w:hAnsi="Arial" w:eastAsia="Arial" w:cs="Arial"/>
                                    <w:color w:val="000000"/>
                                    <w:sz w:val="19"/>
                                    <w:szCs w:val="19"/>
                                    <w:lang w:val="en-US"/>
                                  </w:rPr>
                                  <w:t xml:space="preserve">49 </w:t>
                                </w:r>
                                <w:r>
                                  <w:rPr>
                                    <w:rFonts w:ascii="Calibri Light" w:hAnsi="Calibri Light" w:eastAsia="Calibri" w:cs="Calibri Light"/>
                                    <w:color w:val="363636"/>
                                    <w:sz w:val="19"/>
                                    <w:szCs w:val="19"/>
                                  </w:rPr>
                                  <w:t>665</w:t>
                                </w:r>
                                <w:r>
                                  <w:rPr>
                                    <w:rFonts w:hint="default" w:ascii="Calibri Light" w:hAnsi="Calibri Light" w:eastAsia="Calibri" w:cs="Calibri Light"/>
                                    <w:color w:val="363636"/>
                                    <w:sz w:val="19"/>
                                    <w:szCs w:val="19"/>
                                    <w:lang w:val="en-US"/>
                                  </w:rPr>
                                  <w:t xml:space="preserve"> </w:t>
                                </w:r>
                                <w:r>
                                  <w:rPr>
                                    <w:rFonts w:ascii="Calibri Light" w:hAnsi="Calibri Light" w:eastAsia="Calibri" w:cs="Calibri Light"/>
                                    <w:color w:val="363636"/>
                                    <w:sz w:val="19"/>
                                    <w:szCs w:val="19"/>
                                  </w:rPr>
                                  <w:t>682</w:t>
                                </w:r>
                                <w:r>
                                  <w:rPr>
                                    <w:rFonts w:hint="default" w:ascii="Calibri Light" w:hAnsi="Calibri Light" w:eastAsia="Calibri" w:cs="Calibri Light"/>
                                    <w:color w:val="363636"/>
                                    <w:sz w:val="19"/>
                                    <w:szCs w:val="19"/>
                                    <w:lang w:val="en-US"/>
                                  </w:rPr>
                                  <w:t xml:space="preserve"> </w:t>
                                </w:r>
                                <w:r>
                                  <w:rPr>
                                    <w:rFonts w:ascii="Calibri Light" w:hAnsi="Calibri Light" w:eastAsia="Calibri" w:cs="Calibri Light"/>
                                    <w:color w:val="363636"/>
                                    <w:sz w:val="19"/>
                                    <w:szCs w:val="19"/>
                                  </w:rPr>
                                  <w:t>324</w:t>
                                </w:r>
                              </w:p>
                              <w:p w14:paraId="6A07AF2B">
                                <w:pPr>
                                  <w:spacing w:before="80" w:after="80"/>
                                  <w:jc w:val="left"/>
                                </w:pPr>
                                <w:r>
                                  <w:rPr>
                                    <w:rFonts w:ascii="Arial" w:hAnsi="Arial" w:eastAsia="Arial" w:cs="Arial"/>
                                    <w:color w:val="000000"/>
                                    <w:sz w:val="19"/>
                                    <w:szCs w:val="19"/>
                                  </w:rPr>
                                  <w:t>Platform: https://www.theonenetwork.org   |   Contact: team@1stopapp.com</w:t>
                                </w:r>
                              </w:p>
                              <w:p w14:paraId="4CF4E9A5">
                                <w:pPr>
                                  <w:spacing w:before="80" w:after="80"/>
                                  <w:jc w:val="left"/>
                                </w:pPr>
                                <w:r>
                                  <w:rPr>
                                    <w:rFonts w:ascii="Arial" w:hAnsi="Arial" w:eastAsia="Arial" w:cs="Arial"/>
                                    <w:b/>
                                    <w:bCs/>
                                    <w:color w:val="000000"/>
                                    <w:sz w:val="19"/>
                                    <w:szCs w:val="19"/>
                                  </w:rPr>
                                  <w:t>Effective date:</w:t>
                                </w:r>
                                <w:r>
                                  <w:rPr>
                                    <w:rFonts w:hint="default" w:ascii="Arial" w:hAnsi="Arial" w:eastAsia="Arial" w:cs="Arial"/>
                                    <w:b/>
                                    <w:bCs/>
                                    <w:color w:val="000000"/>
                                    <w:sz w:val="19"/>
                                    <w:szCs w:val="19"/>
                                    <w:lang w:val="en-US"/>
                                  </w:rPr>
                                  <w:t xml:space="preserve"> 27 October 2026</w:t>
                                </w:r>
                                <w:r>
                                  <w:rPr>
                                    <w:rFonts w:ascii="Arial" w:hAnsi="Arial" w:eastAsia="Arial" w:cs="Arial"/>
                                    <w:color w:val="000000"/>
                                    <w:sz w:val="19"/>
                                    <w:szCs w:val="19"/>
                                  </w:rPr>
                                  <w:t xml:space="preserve">  |   </w:t>
                                </w:r>
                                <w:r>
                                  <w:rPr>
                                    <w:rFonts w:ascii="Arial" w:hAnsi="Arial" w:eastAsia="Arial" w:cs="Arial"/>
                                    <w:b/>
                                    <w:bCs/>
                                    <w:color w:val="000000"/>
                                    <w:sz w:val="19"/>
                                    <w:szCs w:val="19"/>
                                  </w:rPr>
                                  <w:t>Version:</w:t>
                                </w:r>
                                <w:r>
                                  <w:rPr>
                                    <w:rFonts w:ascii="Arial" w:hAnsi="Arial" w:eastAsia="Arial" w:cs="Arial"/>
                                    <w:color w:val="000000"/>
                                    <w:sz w:val="19"/>
                                    <w:szCs w:val="19"/>
                                  </w:rPr>
                                  <w:t xml:space="preserve"> </w:t>
                                </w:r>
                                <w:r>
                                  <w:rPr>
                                    <w:rFonts w:hint="default" w:ascii="Arial" w:hAnsi="Arial" w:eastAsia="Arial" w:cs="Arial"/>
                                    <w:color w:val="000000"/>
                                    <w:sz w:val="19"/>
                                    <w:szCs w:val="19"/>
                                    <w:lang w:val="en-US"/>
                                  </w:rPr>
                                  <w:t>1</w:t>
                                </w:r>
                                <w:r>
                                  <w:rPr>
                                    <w:rFonts w:ascii="Arial" w:hAnsi="Arial" w:eastAsia="Arial" w:cs="Arial"/>
                                    <w:color w:val="000000"/>
                                    <w:sz w:val="19"/>
                                    <w:szCs w:val="19"/>
                                  </w:rPr>
                                  <w:t xml:space="preserve">.0 </w:t>
                                </w:r>
                              </w:p>
                            </w:txbxContent>
                          </wps:txbx>
                          <wps:bodyPr rot="0" vert="horz" wrap="square" lIns="91440" tIns="45720" rIns="91440" bIns="45720" anchor="t" anchorCtr="0">
                            <a:noAutofit/>
                          </wps:bodyPr>
                        </wps:wsp>
                      </a:graphicData>
                    </a:graphic>
                  </wp:anchor>
                </w:drawing>
              </mc:Choice>
              <mc:Fallback>
                <w:pict>
                  <v:shape id="_x0000_s1026" o:spid="_x0000_s1026" o:spt="202" type="#_x0000_t202" style="position:absolute;left:0pt;margin-left:-6.8pt;margin-top:326.75pt;height:129.9pt;width:461.35pt;mso-position-vertical-relative:page;z-index:251659264;mso-width-relative:page;mso-height-relative:page;" fillcolor="#F2F2F2" filled="t" stroked="t" coordsize="21600,21600" o:gfxdata="UEsDBAoAAAAAAIdO4kAAAAAAAAAAAAAAAAAEAAAAZHJzL1BLAwQUAAAACACHTuJAKGfdjNkAAAAL AQAADwAAAGRycy9kb3ducmV2LnhtbE2PwU7DMAyG70i8Q2QkLmhLsrJuK013AE0cYRu7Z01oKxon atKtvD3mBDdb/vz7c7mdXM8udoidRwVyLoBZrL3psFHwcdzN1sBi0mh079Eq+LYRttXtTakL46+4 t5dDahiFYCy0gjalUHAe69Y6Hec+WKTZpx+cTtQODTeDvlK46/lCiJw73SFdaHWwz62tvw6jI43j KSy4eEyr14f3l7f9dApjvlPq/k6KJ2DJTukPhl992oGKnM5+RBNZr2Ams5xQBfkyWwIjYiM2EtiZ CpllwKuS//+h+gFQSwMEFAAAAAgAh07iQNLp/rYlAgAAaAQAAA4AAABkcnMvZTJvRG9jLnhtbK1U 227bMAx9H7B/EPS+2MnirjXiFF2CDAO6C9DuA2RZjo3JokYpsbOvHyW7WdZhQB9mA4YoUoeHh5RX t0On2VGha8EUfD5LOVNGQtWafcG/Pe7eXHPmvDCV0GBUwU/K8dv161er3uZqAQ3oSiEjEOPy3ha8 8d7mSeJkozrhZmCVIWcN2AlPJu6TCkVP6J1OFml6lfSAlUWQyjna3Y5OPiHiSwChrluptiAPnTJ+ REWlhaeSXNNax9eRbV0r6b/UtVOe6YJTpT5+KQmty/BN1iuR71HYppUTBfESCs9q6kRrKOkZaiu8 YAds/4LqWongoPYzCV0yFhIVoSrm6TNtHhphVayFpHb2LLr7f7Dy8/ErsrYq+E36ljMjOmr5oxo8 ew8DC3ukUG9dToEPlkL9QA6am1its/cgvztmYNMIs1d3iNA3SlTEcB5OJhdHRxwXQMr+E1SUSBw8 RKChxi7IR4IwQqfunM7dCWQkbWbX2c18mXEmyTe/ylJ6Yg6RPx236PwHBR0Li4IjtT/Ci+O984GO yJ9CQjYHuq12rdbRwH250ciOgkZltwjvhP5HmDasJ7GyRTYq8E+IQO9M8AKCOGgzKRPEGGXxQzlM SpdQnUgjhHFY6arSogH8yVlPg1pw9+MgUHGmPxrSmTRZhsmOxjJ7tyADLz3lpUcYSVAF95yNy42P tyEoYOCO+lG3UanQuJHJxJUGMAo4XZYw4Zd2jPr9g1j/AlBLAwQKAAAAAACHTuJAAAAAAAAAAAAA AAAABgAAAF9yZWxzL1BLAwQUAAAACACHTuJAihRmPNEAAACUAQAACwAAAF9yZWxzLy5yZWxzpZDB asMwDIbvg72D0X1xmsMYo04vo9Br6R7A2IpjGltGMtn69vMOg2X0tqN+oe8T//7wmRa1IkukbGDX 9aAwO/IxBwPvl+PTCyipNnu7UEYDNxQ4jI8P+zMutrYjmWMR1ShZDMy1lletxc2YrHRUMLfNRJxs bSMHXay72oB66Ptnzb8ZMG6Y6uQN8MkPoC630sx/2Ck6JqGpdo6SpmmK7h5VB7Zlju7INuEbuUaz HLAa8CwaB2pZ134EfV+/+6fe00c+47rVfoeM649Xb7ocvwBQSwMEFAAAAAgAh07iQH7m5SD3AAAA 4QEAABMAAABbQ29udGVudF9UeXBlc10ueG1slZFBTsMwEEX3SNzB8hYlTrtACCXpgrRLQKgcYGRP EotkbHlMaG+Pk7YbRJFY2jP/vye73BzGQUwY2Dqq5CovpEDSzljqKvm+32UPUnAEMjA4wkoekeWm vr0p90ePLFKauJJ9jP5RKdY9jsC580hp0rowQkzH0CkP+gM6VOuiuFfaUUSKWZw7ZF022MLnEMX2 kK5PJgEHluLptDizKgneD1ZDTKZqIvODkp0JeUouO9xbz3dJQ6pfCfPkOuCce0lPE6xB8QohPsOY NJQJrIz7ooBT/nfJbDly5trWasybwE2KveF0sbrWjmvXOP3f8u2SunSr5YPqb1BLAQIUABQAAAAI AIdO4kB+5uUg9wAAAOEBAAATAAAAAAAAAAEAIAAAAJcEAABbQ29udGVudF9UeXBlc10ueG1sUEsB AhQACgAAAAAAh07iQAAAAAAAAAAAAAAAAAYAAAAAAAAAAAAQAAAAeQMAAF9yZWxzL1BLAQIUABQA AAAIAIdO4kCKFGY80QAAAJQBAAALAAAAAAAAAAEAIAAAAJ0DAABfcmVscy8ucmVsc1BLAQIUAAoA AAAAAIdO4kAAAAAAAAAAAAAAAAAEAAAAAAAAAAAAEAAAAAAAAABkcnMvUEsBAhQAFAAAAAgAh07i QChn3YzZAAAACwEAAA8AAAAAAAAAAQAgAAAAIgAAAGRycy9kb3ducmV2LnhtbFBLAQIUABQAAAAI AIdO4kDS6f62JQIAAGgEAAAOAAAAAAAAAAEAIAAAACgBAABkcnMvZTJvRG9jLnhtbFBLBQYAAAAA BgAGAFkBAAC/BQAAAAA= ">
                    <v:fill on="t" focussize="0,0"/>
                    <v:stroke color="#000000" joinstyle="round"/>
                    <v:imagedata o:title=""/>
                    <o:lock v:ext="edit" aspectratio="f"/>
                    <v:textbox>
                      <w:txbxContent>
                        <w:p w14:paraId="1A0F8441">
                          <w:pPr>
                            <w:spacing w:before="80" w:after="80"/>
                            <w:jc w:val="left"/>
                          </w:pPr>
                          <w:r>
                            <w:rPr>
                              <w:rFonts w:ascii="Arial" w:hAnsi="Arial" w:eastAsia="Arial" w:cs="Arial"/>
                              <w:b/>
                              <w:bCs/>
                              <w:i/>
                              <w:iCs/>
                              <w:color w:val="000000"/>
                              <w:sz w:val="19"/>
                              <w:szCs w:val="19"/>
                            </w:rPr>
                            <w:t>Document details</w:t>
                          </w:r>
                        </w:p>
                        <w:p w14:paraId="1AC86F23">
                          <w:pPr>
                            <w:spacing w:before="80" w:after="80"/>
                            <w:jc w:val="left"/>
                          </w:pPr>
                          <w:r>
                            <w:rPr>
                              <w:rFonts w:ascii="Arial" w:hAnsi="Arial" w:eastAsia="Arial" w:cs="Arial"/>
                              <w:b/>
                              <w:bCs/>
                              <w:color w:val="000000"/>
                              <w:sz w:val="19"/>
                              <w:szCs w:val="19"/>
                            </w:rPr>
                            <w:t>1Stop Platform</w:t>
                          </w:r>
                          <w:r>
                            <w:rPr>
                              <w:rFonts w:ascii="Arial" w:hAnsi="Arial" w:eastAsia="Arial" w:cs="Arial"/>
                              <w:color w:val="000000"/>
                              <w:sz w:val="19"/>
                              <w:szCs w:val="19"/>
                            </w:rPr>
                            <w:t xml:space="preserve"> (marketplace terms for Consumers and Businesses)</w:t>
                          </w:r>
                        </w:p>
                        <w:p w14:paraId="2587EBBE">
                          <w:pPr>
                            <w:spacing w:before="80" w:after="80"/>
                            <w:jc w:val="left"/>
                          </w:pPr>
                          <w:r>
                            <w:rPr>
                              <w:rFonts w:ascii="Arial" w:hAnsi="Arial" w:eastAsia="Arial" w:cs="Arial"/>
                              <w:b/>
                              <w:bCs/>
                              <w:color w:val="000000"/>
                              <w:sz w:val="19"/>
                              <w:szCs w:val="19"/>
                            </w:rPr>
                            <w:t>TWCW Pty Ltd</w:t>
                          </w:r>
                          <w:r>
                            <w:rPr>
                              <w:rFonts w:ascii="Arial" w:hAnsi="Arial" w:eastAsia="Arial" w:cs="Arial"/>
                              <w:color w:val="000000"/>
                              <w:sz w:val="19"/>
                              <w:szCs w:val="19"/>
                            </w:rPr>
                            <w:t xml:space="preserve"> (trading as 1Stop), ACN 665 682 324, ABN </w:t>
                          </w:r>
                          <w:r>
                            <w:rPr>
                              <w:rFonts w:hint="default" w:ascii="Arial" w:hAnsi="Arial" w:eastAsia="Arial" w:cs="Arial"/>
                              <w:color w:val="000000"/>
                              <w:sz w:val="19"/>
                              <w:szCs w:val="19"/>
                              <w:lang w:val="en-US"/>
                            </w:rPr>
                            <w:t xml:space="preserve">49 </w:t>
                          </w:r>
                          <w:r>
                            <w:rPr>
                              <w:rFonts w:ascii="Calibri Light" w:hAnsi="Calibri Light" w:eastAsia="Calibri" w:cs="Calibri Light"/>
                              <w:color w:val="363636"/>
                              <w:sz w:val="19"/>
                              <w:szCs w:val="19"/>
                            </w:rPr>
                            <w:t>665</w:t>
                          </w:r>
                          <w:r>
                            <w:rPr>
                              <w:rFonts w:hint="default" w:ascii="Calibri Light" w:hAnsi="Calibri Light" w:eastAsia="Calibri" w:cs="Calibri Light"/>
                              <w:color w:val="363636"/>
                              <w:sz w:val="19"/>
                              <w:szCs w:val="19"/>
                              <w:lang w:val="en-US"/>
                            </w:rPr>
                            <w:t xml:space="preserve"> </w:t>
                          </w:r>
                          <w:r>
                            <w:rPr>
                              <w:rFonts w:ascii="Calibri Light" w:hAnsi="Calibri Light" w:eastAsia="Calibri" w:cs="Calibri Light"/>
                              <w:color w:val="363636"/>
                              <w:sz w:val="19"/>
                              <w:szCs w:val="19"/>
                            </w:rPr>
                            <w:t>682</w:t>
                          </w:r>
                          <w:r>
                            <w:rPr>
                              <w:rFonts w:hint="default" w:ascii="Calibri Light" w:hAnsi="Calibri Light" w:eastAsia="Calibri" w:cs="Calibri Light"/>
                              <w:color w:val="363636"/>
                              <w:sz w:val="19"/>
                              <w:szCs w:val="19"/>
                              <w:lang w:val="en-US"/>
                            </w:rPr>
                            <w:t xml:space="preserve"> </w:t>
                          </w:r>
                          <w:r>
                            <w:rPr>
                              <w:rFonts w:ascii="Calibri Light" w:hAnsi="Calibri Light" w:eastAsia="Calibri" w:cs="Calibri Light"/>
                              <w:color w:val="363636"/>
                              <w:sz w:val="19"/>
                              <w:szCs w:val="19"/>
                            </w:rPr>
                            <w:t>324</w:t>
                          </w:r>
                        </w:p>
                        <w:p w14:paraId="6A07AF2B">
                          <w:pPr>
                            <w:spacing w:before="80" w:after="80"/>
                            <w:jc w:val="left"/>
                          </w:pPr>
                          <w:r>
                            <w:rPr>
                              <w:rFonts w:ascii="Arial" w:hAnsi="Arial" w:eastAsia="Arial" w:cs="Arial"/>
                              <w:color w:val="000000"/>
                              <w:sz w:val="19"/>
                              <w:szCs w:val="19"/>
                            </w:rPr>
                            <w:t>Platform: https://www.theonenetwork.org   |   Contact: team@1stopapp.com</w:t>
                          </w:r>
                        </w:p>
                        <w:p w14:paraId="4CF4E9A5">
                          <w:pPr>
                            <w:spacing w:before="80" w:after="80"/>
                            <w:jc w:val="left"/>
                          </w:pPr>
                          <w:r>
                            <w:rPr>
                              <w:rFonts w:ascii="Arial" w:hAnsi="Arial" w:eastAsia="Arial" w:cs="Arial"/>
                              <w:b/>
                              <w:bCs/>
                              <w:color w:val="000000"/>
                              <w:sz w:val="19"/>
                              <w:szCs w:val="19"/>
                            </w:rPr>
                            <w:t>Effective date:</w:t>
                          </w:r>
                          <w:r>
                            <w:rPr>
                              <w:rFonts w:hint="default" w:ascii="Arial" w:hAnsi="Arial" w:eastAsia="Arial" w:cs="Arial"/>
                              <w:b/>
                              <w:bCs/>
                              <w:color w:val="000000"/>
                              <w:sz w:val="19"/>
                              <w:szCs w:val="19"/>
                              <w:lang w:val="en-US"/>
                            </w:rPr>
                            <w:t xml:space="preserve"> 27 October 2026</w:t>
                          </w:r>
                          <w:r>
                            <w:rPr>
                              <w:rFonts w:ascii="Arial" w:hAnsi="Arial" w:eastAsia="Arial" w:cs="Arial"/>
                              <w:color w:val="000000"/>
                              <w:sz w:val="19"/>
                              <w:szCs w:val="19"/>
                            </w:rPr>
                            <w:t xml:space="preserve">  |   </w:t>
                          </w:r>
                          <w:r>
                            <w:rPr>
                              <w:rFonts w:ascii="Arial" w:hAnsi="Arial" w:eastAsia="Arial" w:cs="Arial"/>
                              <w:b/>
                              <w:bCs/>
                              <w:color w:val="000000"/>
                              <w:sz w:val="19"/>
                              <w:szCs w:val="19"/>
                            </w:rPr>
                            <w:t>Version:</w:t>
                          </w:r>
                          <w:r>
                            <w:rPr>
                              <w:rFonts w:ascii="Arial" w:hAnsi="Arial" w:eastAsia="Arial" w:cs="Arial"/>
                              <w:color w:val="000000"/>
                              <w:sz w:val="19"/>
                              <w:szCs w:val="19"/>
                            </w:rPr>
                            <w:t xml:space="preserve"> </w:t>
                          </w:r>
                          <w:r>
                            <w:rPr>
                              <w:rFonts w:hint="default" w:ascii="Arial" w:hAnsi="Arial" w:eastAsia="Arial" w:cs="Arial"/>
                              <w:color w:val="000000"/>
                              <w:sz w:val="19"/>
                              <w:szCs w:val="19"/>
                              <w:lang w:val="en-US"/>
                            </w:rPr>
                            <w:t>1</w:t>
                          </w:r>
                          <w:r>
                            <w:rPr>
                              <w:rFonts w:ascii="Arial" w:hAnsi="Arial" w:eastAsia="Arial" w:cs="Arial"/>
                              <w:color w:val="000000"/>
                              <w:sz w:val="19"/>
                              <w:szCs w:val="19"/>
                            </w:rPr>
                            <w:t xml:space="preserve">.0 </w:t>
                          </w:r>
                        </w:p>
                      </w:txbxContent>
                    </v:textbox>
                  </v:shape>
                </w:pict>
              </mc:Fallback>
            </mc:AlternateContent>
            <mc:AlternateContent>
              <mc:Choice Requires="wps">
                <w:drawing>
                  <wp:anchor distT="0" distB="0" distL="114300" distR="114300" simplePos="0" relativeHeight="251659264" behindDoc="0" locked="0" layoutInCell="1" allowOverlap="1">
                    <wp:simplePos x="0" y="0"/>
                    <wp:positionH relativeFrom="column">
                      <wp:posOffset>-86360</wp:posOffset>
                    </wp:positionH>
                    <wp:positionV relativeFrom="page">
                      <wp:posOffset>5999480</wp:posOffset>
                    </wp:positionV>
                    <wp:extent cx="5859145" cy="1149985"/>
                    <wp:effectExtent l="38100" t="38100" r="103505" b="95885"/>
                    <wp:wrapNone/>
                    <wp:docPr id="904" name="Text Box 904"/>
                    <wp:cNvGraphicFramePr/>
                    <a:graphic xmlns:a="http://schemas.openxmlformats.org/drawingml/2006/main">
                      <a:graphicData uri="http://schemas.microsoft.com/office/word/2010/wordprocessingShape">
                        <wps:wsp>
                          <wps:cNvSpPr txBox="1">
                            <a:spLocks noChangeArrowheads="1"/>
                          </wps:cNvSpPr>
                          <wps:spPr bwMode="auto">
                            <a:xfrm>
                              <a:off x="0" y="0"/>
                              <a:ext cx="5859145" cy="1150000"/>
                            </a:xfrm>
                            <a:prstGeom prst="rect">
                              <a:avLst/>
                            </a:prstGeom>
                            <a:solidFill>
                              <a:srgbClr val="F2F2F2"/>
                            </a:solidFill>
                            <a:ln w="9525">
                              <a:solidFill>
                                <a:srgbClr val="000000"/>
                              </a:solidFill>
                            </a:ln>
                          </wps:spPr>
                          <wps:txbx>
                            <w:txbxContent>
                              <w:p w14:paraId="7646E213">
                                <w:pPr>
                                  <w:spacing w:before="80" w:after="80"/>
                                  <w:jc w:val="left"/>
                                </w:pPr>
                                <w:r>
                                  <w:rPr>
                                    <w:rFonts w:ascii="Arial" w:hAnsi="Arial" w:eastAsia="Arial" w:cs="Arial"/>
                                    <w:b/>
                                    <w:bCs/>
                                    <w:i/>
                                    <w:iCs/>
                                    <w:color w:val="000000"/>
                                    <w:sz w:val="19"/>
                                    <w:szCs w:val="19"/>
                                  </w:rPr>
                                  <w:t>How this document is organised</w:t>
                                </w:r>
                              </w:p>
                              <w:p w14:paraId="162276D8">
                                <w:pPr>
                                  <w:spacing w:before="80" w:after="80"/>
                                  <w:jc w:val="both"/>
                                </w:pPr>
                                <w:r>
                                  <w:rPr>
                                    <w:rFonts w:ascii="Arial" w:hAnsi="Arial" w:eastAsia="Arial" w:cs="Arial"/>
                                    <w:color w:val="000000"/>
                                    <w:sz w:val="19"/>
                                    <w:szCs w:val="19"/>
                                  </w:rPr>
                                  <w:t>Part A applies to everyone. Part B is for Consumers, Part C for Businesses, Part D covers content and intellectual property, and Part E contains the legal terms. The key points on the letter page are a summary only. The clauses apply.</w:t>
                                </w:r>
                              </w:p>
                            </w:txbxContent>
                          </wps:txbx>
                          <wps:bodyPr rot="0" vert="horz" wrap="square" lIns="91440" tIns="45720" rIns="91440" bIns="45720" anchor="t" anchorCtr="0">
                            <a:noAutofit/>
                          </wps:bodyPr>
                        </wps:wsp>
                      </a:graphicData>
                    </a:graphic>
                  </wp:anchor>
                </w:drawing>
              </mc:Choice>
              <mc:Fallback>
                <w:pict>
                  <v:shape id="_x0000_s1026" o:spid="_x0000_s1026" o:spt="202" type="#_x0000_t202" style="position:absolute;left:0pt;margin-left:-6.8pt;margin-top:472.4pt;height:90.55pt;width:461.35pt;mso-position-vertical-relative:page;z-index:251659264;mso-width-relative:page;mso-height-relative:page;" fillcolor="#F2F2F2" filled="t" stroked="t" coordsize="21600,21600" o:gfxdata="UEsDBAoAAAAAAIdO4kAAAAAAAAAAAAAAAAAEAAAAZHJzL1BLAwQUAAAACACHTuJAYX47zNkAAAAM AQAADwAAAGRycy9kb3ducmV2LnhtbE2PwU7DMAyG70i8Q2QkLmhLUkpZS9MdQBNH2MbuWZO1FY1T NelW3h5zYkfLn39/f7meXc/OdgydRwVyKYBZrL3psFHwtd8sVsBC1Gh079Eq+LEB1tXtTakL4y+4 teddbBiFYCi0gjbGoeA81K11Oiz9YJF2Jz86HWkcG25GfaFw1/NEiIw73SF9aPVgX1tbf+8mRxr7 w5Bwkcbn94fPt4/tfBimbKPU/Z0UL8CineM/DH/6dAMVOR39hCawXsFCPmaEKsjTlDoQkYtcAjsS KpOnHHhV8usS1S9QSwMEFAAAAAgAh07iQI6sBGokAgAAaAQAAA4AAABkcnMvZTJvRG9jLnhtbK1U 227bMAx9H7B/EPS+2A7irTXiFF2CDAO6C9DuA2RZjo3JokYpsbuvHyW7WdZhQB9mA4YoUoeHh5TX N2Ov2Umh68CUPFuknCkjoe7MoeTfHvZvrjhzXphaaDCq5I/K8ZvN61frwRZqCS3oWiEjEOOKwZa8 9d4WSeJkq3rhFmCVIWcD2AtPJh6SGsVA6L1Olmn6NhkAa4sglXO0u5ucfEbElwBC03RS7UAee2X8 hIpKC08lubazjm8i26ZR0n9pGqc80yWnSn38UhJaV+GbbNaiOKCwbSdnCuIlFJ7V1IvOUNIz1E54 wY7Y/QXVdxLBQeMXEvpkKiQqQlVk6TNt7lthVayFpHb2LLr7f7Dy8+krsq4u+XW64syInlr+oEbP 3sPIwh4pNFhXUOC9pVA/koPmJlbr7B3I744Z2LbCHNQtIgytEjUxzMLJ5OLohOMCSDV8gpoSiaOH CDQ22Af5SBBG6NSdx3N3AhlJm/lVfp2tcs4k+bIsT+mJOUTxdNyi8x8U9CwsSo7U/ggvTnfOBzqi eAoJ2Rzort53WkcDD9VWIzsJGpX9Mrwz+h9h2rCBxMqX+aTAPyECvTPBCwjioM2sTBBjksWP1Tgr XUH9SBohTMNKV5UWLeBPzgYa1JK7H0eBijP90ZDOpMkqTHY0Vvm7JRl46akuPcJIgiq552xabn28 DUEBA7fUj6aLSoXGTUxmrjSAUcD5soQJv7Rj1O8fxOYXUEsDBAoAAAAAAIdO4kAAAAAAAAAAAAAA AAAGAAAAX3JlbHMvUEsDBBQAAAAIAIdO4kCKFGY80QAAAJQBAAALAAAAX3JlbHMvLnJlbHOlkMFq wzAMhu+DvYPRfXGawxijTi+j0GvpHsDYimMaW0Yy2fr28w6DZfS2o36h7xP//vCZFrUiS6RsYNf1 oDA78jEHA++X49MLKKk2e7tQRgM3FDiMjw/7My62tiOZYxHVKFkMzLWWV63FzZisdFQwt81EnGxt IwddrLvagHro+2fNvxkwbpjq5A3wyQ+gLrfSzH/YKTomoal2jpKmaYruHlUHtmWO7sg24Ru5RrMc sBrwLBoHalnXfgR9X7/7p97TRz7jutV+h4zrj1dvuhy/AFBLAwQUAAAACACHTuJAfublIPcAAADh AQAAEwAAAFtDb250ZW50X1R5cGVzXS54bWyVkUFOwzAQRfdI3MHyFiVOu0AIJemCtEtAqBxgZE8S i2RseUxob4+TthtEkVjaM/+/J7vcHMZBTBjYOqrkKi+kQNLOWOoq+b7fZQ9ScAQyMDjCSh6R5aa+ vSn3R48sUpq4kn2M/lEp1j2OwLnzSGnSujBCTMfQKQ/6AzpU66K4V9pRRIpZnDtkXTbYwucQxfaQ rk8mAQeW4um0OLMqCd4PVkNMpmoi84OSnQl5Si473FvPd0lDql8J8+Q64Jx7SU8TrEHxCiE+w5g0 lAmsjPuigFP+d8lsOXLm2tZqzJvATYq94XSxutaOa9c4/d/y7ZK6dKvlg+pvUEsBAhQAFAAAAAgA h07iQH7m5SD3AAAA4QEAABMAAAAAAAAAAQAgAAAAlgQAAFtDb250ZW50X1R5cGVzXS54bWxQSwEC FAAKAAAAAACHTuJAAAAAAAAAAAAAAAAABgAAAAAAAAAAABAAAAB4AwAAX3JlbHMvUEsBAhQAFAAA AAgAh07iQIoUZjzRAAAAlAEAAAsAAAAAAAAAAQAgAAAAnAMAAF9yZWxzLy5yZWxzUEsBAhQACgAA AAAAh07iQAAAAAAAAAAAAAAAAAQAAAAAAAAAAAAQAAAAAAAAAGRycy9QSwECFAAUAAAACACHTuJA YX47zNkAAAAMAQAADwAAAAAAAAABACAAAAAiAAAAZHJzL2Rvd25yZXYueG1sUEsBAhQAFAAAAAgA h07iQI6sBGokAgAAaAQAAA4AAAAAAAAAAQAgAAAAKAEAAGRycy9lMm9Eb2MueG1sUEsFBgAAAAAG AAYAWQEAAL4FAAAAAA== ">
                    <v:fill on="t" focussize="0,0"/>
                    <v:stroke color="#000000" joinstyle="round"/>
                    <v:imagedata o:title=""/>
                    <o:lock v:ext="edit" aspectratio="f"/>
                    <v:textbox>
                      <w:txbxContent>
                        <w:p w14:paraId="7646E213">
                          <w:pPr>
                            <w:spacing w:before="80" w:after="80"/>
                            <w:jc w:val="left"/>
                          </w:pPr>
                          <w:r>
                            <w:rPr>
                              <w:rFonts w:ascii="Arial" w:hAnsi="Arial" w:eastAsia="Arial" w:cs="Arial"/>
                              <w:b/>
                              <w:bCs/>
                              <w:i/>
                              <w:iCs/>
                              <w:color w:val="000000"/>
                              <w:sz w:val="19"/>
                              <w:szCs w:val="19"/>
                            </w:rPr>
                            <w:t>How this document is organised</w:t>
                          </w:r>
                        </w:p>
                        <w:p w14:paraId="162276D8">
                          <w:pPr>
                            <w:spacing w:before="80" w:after="80"/>
                            <w:jc w:val="both"/>
                          </w:pPr>
                          <w:r>
                            <w:rPr>
                              <w:rFonts w:ascii="Arial" w:hAnsi="Arial" w:eastAsia="Arial" w:cs="Arial"/>
                              <w:color w:val="000000"/>
                              <w:sz w:val="19"/>
                              <w:szCs w:val="19"/>
                            </w:rPr>
                            <w:t>Part A applies to everyone. Part B is for Consumers, Part C for Businesses, Part D covers content and intellectual property, and Part E contains the legal terms. The key points on the letter page are a summary only. The clauses apply.</w:t>
                          </w:r>
                        </w:p>
                      </w:txbxContent>
                    </v:textbox>
                  </v:shape>
                </w:pict>
              </mc:Fallback>
            </mc:AlternateContent>
            <w:drawing>
              <wp:anchor distT="0" distB="0" distL="0" distR="0" simplePos="0" relativeHeight="251660288" behindDoc="0" locked="0" layoutInCell="1" allowOverlap="1">
                <wp:simplePos x="0" y="0"/>
                <wp:positionH relativeFrom="page">
                  <wp:posOffset>2239645</wp:posOffset>
                </wp:positionH>
                <wp:positionV relativeFrom="page">
                  <wp:posOffset>8999855</wp:posOffset>
                </wp:positionV>
                <wp:extent cx="1734185" cy="899795"/>
                <wp:effectExtent l="0" t="0" r="0" b="0"/>
                <wp:wrapNone/>
                <wp:docPr id="971" name="1Stop logo"/>
                <wp:cNvGraphicFramePr/>
                <a:graphic xmlns:a="http://schemas.openxmlformats.org/drawingml/2006/main">
                  <a:graphicData uri="http://schemas.openxmlformats.org/drawingml/2006/picture">
                    <pic:pic xmlns:pic="http://schemas.openxmlformats.org/drawingml/2006/picture">
                      <pic:nvPicPr>
                        <pic:cNvPr id="971" name="1Stop logo"/>
                        <pic:cNvPicPr/>
                      </pic:nvPicPr>
                      <pic:blipFill>
                        <a:blip r:embed="rId8"/>
                        <a:stretch>
                          <a:fillRect/>
                        </a:stretch>
                      </pic:blipFill>
                      <pic:spPr>
                        <a:xfrm>
                          <a:off x="0" y="0"/>
                          <a:ext cx="1734000" cy="900000"/>
                        </a:xfrm>
                        <a:prstGeom prst="rect">
                          <a:avLst/>
                        </a:prstGeom>
                      </pic:spPr>
                    </pic:pic>
                  </a:graphicData>
                </a:graphic>
              </wp:anchor>
            </w:drawing>
            <mc:AlternateContent>
              <mc:Choice Requires="wps">
                <w:drawing>
                  <wp:anchor distT="0" distB="0" distL="0" distR="0" simplePos="0" relativeHeight="251659264" behindDoc="0" locked="0" layoutInCell="1" allowOverlap="1">
                    <wp:simplePos x="0" y="0"/>
                    <wp:positionH relativeFrom="page">
                      <wp:posOffset>3973830</wp:posOffset>
                    </wp:positionH>
                    <wp:positionV relativeFrom="page">
                      <wp:posOffset>9249410</wp:posOffset>
                    </wp:positionV>
                    <wp:extent cx="450215" cy="419735"/>
                    <wp:effectExtent l="0" t="0" r="0" b="0"/>
                    <wp:wrapNone/>
                    <wp:docPr id="977" name="Times"/>
                    <wp:cNvGraphicFramePr/>
                    <a:graphic xmlns:a="http://schemas.openxmlformats.org/drawingml/2006/main">
                      <a:graphicData uri="http://schemas.microsoft.com/office/word/2010/wordprocessingShape">
                        <wps:wsp>
                          <wps:cNvSpPr txBox="1"/>
                          <wps:spPr>
                            <a:xfrm>
                              <a:off x="0" y="0"/>
                              <a:ext cx="450000" cy="420000"/>
                            </a:xfrm>
                            <a:prstGeom prst="rect">
                              <a:avLst/>
                            </a:prstGeom>
                            <a:noFill/>
                            <a:ln>
                              <a:noFill/>
                            </a:ln>
                          </wps:spPr>
                          <wps:txbx>
                            <w:txbxContent>
                              <w:p w14:paraId="7E59C0FA">
                                <w:pPr>
                                  <w:jc w:val="center"/>
                                </w:pPr>
                                <w:r>
                                  <w:rPr>
                                    <w:rFonts w:ascii="Arial" w:hAnsi="Arial" w:eastAsia="Arial" w:cs="Arial"/>
                                    <w:color w:val="000000"/>
                                    <w:sz w:val="40"/>
                                    <w:szCs w:val="40"/>
                                  </w:rPr>
                                  <w:t>×</w:t>
                                </w:r>
                              </w:p>
                            </w:txbxContent>
                          </wps:txbx>
                          <wps:bodyPr rot="0" vert="horz" wrap="square" lIns="0" tIns="0" rIns="0" bIns="0" anchor="ctr">
                            <a:noAutofit/>
                          </wps:bodyPr>
                        </wps:wsp>
                      </a:graphicData>
                    </a:graphic>
                  </wp:anchor>
                </w:drawing>
              </mc:Choice>
              <mc:Fallback>
                <w:pict>
                  <v:shape id="Times" o:spid="_x0000_s1026" o:spt="202" type="#_x0000_t202" style="position:absolute;left:0pt;margin-left:312.9pt;margin-top:728.3pt;height:33.05pt;width:35.45pt;mso-position-horizontal-relative:page;mso-position-vertical-relative:page;z-index:251659264;v-text-anchor:middle;mso-width-relative:page;mso-height-relative:page;" filled="f" stroked="f" coordsize="21600,21600" o:gfxdata="UEsDBAoAAAAAAIdO4kAAAAAAAAAAAAAAAAAEAAAAZHJzL1BLAwQUAAAACACHTuJAcRzJP9sAAAAN AQAADwAAAGRycy9kb3ducmV2LnhtbE2PzU7DMBCE70h9B2uRuKDWaURcCHGqUkQ59ZDCA7jxNoka r6PY/YGnZznBcXZGM98Wy6vrxRnH0HnSMJ8lIJBqbztqNHx+vE0fQYRoyJreE2r4wgDLcnJTmNz6 C1V43sVGcAmF3GhoYxxyKUPdojNh5gck9g5+dCayHBtpR3PhctfLNEmUdKYjXmjNgOsW6+Pu5DTg qvLf22PYuOrldb05dIT38l3ru9t58gwi4jX+heEXn9GhZKa9P5ENoteg0ozRIxsPmVIgOKKe1ALE nk9Zmi5AloX8/0X5A1BLAwQUAAAACACHTuJA3eFL1coBAACqAwAADgAAAGRycy9lMm9Eb2MueG1s rVPBbtswDL0P2D8Iui92i25djThFi6DDgGEb0O4DFFmKBUiiRimxs68fJdvp1l16mA8yRVGPfI/U +nZ0lh0VRgO+5RermjPlJXTG71v+4+nh3UfOYhK+Exa8avlJRX67eftmPYRGXUIPtlPICMTHZggt 71MKTVVF2Ssn4gqC8nSoAZ1ItMV91aEYCN3Z6rKuP1QDYBcQpIqRvNvpkM+I+BpA0NpItQV5cMqn CRWVFYkoxd6EyDelWq2VTN+0jiox23JimspKScje5bXarEWzRxF6I+cSxGtKeMHJCeMp6RlqK5Jg BzT/QDkjESLotJLgqolIUYRYXNQvtHnsRVCFC0kdw1n0+P9g5dfjd2Sma/nN9TVnXjhq+ZNx1HSS ZgixoYjHQDFpvIeRBmbxR3JmxqNGl//EhdE5CXs6C6vGxCQ5r97X9HEm6eiKhoBsQq+eLweM6ZMC x7LRcqS+FTnF8UtMU+gSknN5eDDWlt5Z/5eDMLOnypVPFWYrjbtxprOD7kRsEKZRoIdARg/4i7OB xqDl8edBoOLMfvakc56ZxcDF2C2G8JKutlwmLOV6uDsk0KaUnBNP2eZ6qIWF9DxueUb+3Jeo5ye2 +Q1QSwMECgAAAAAAh07iQAAAAAAAAAAAAAAAAAYAAABfcmVscy9QSwMEFAAAAAgAh07iQIoUZjzR AAAAlAEAAAsAAABfcmVscy8ucmVsc6WQwWrDMAyG74O9g9F9cZrDGKNOL6PQa+kewNiKYxpbRjLZ +vbzDoNl9LajfqHvE//+8JkWtSJLpGxg1/WgMDvyMQcD75fj0wsoqTZ7u1BGAzcUOIyPD/szLra2 I5ljEdUoWQzMtZZXrcXNmKx0VDC3zUScbG0jB12su9qAeuj7Z82/GTBumOrkDfDJD6Aut9LMf9gp OiahqXaOkqZpiu4eVQe2ZY7uyDbhG7lGsxywGvAsGgdqWdd+BH1fv/un3tNHPuO61X6HjOuPV2+6 HL8AUEsDBBQAAAAIAIdO4kB+5uUg9wAAAOEBAAATAAAAW0NvbnRlbnRfVHlwZXNdLnhtbJWRQU7D MBBF90jcwfIWJU67QAgl6YK0S0CoHGBkTxKLZGx5TGhvj5O2G0SRWNoz/78nu9wcxkFMGNg6quQq L6RA0s5Y6ir5vt9lD1JwBDIwOMJKHpHlpr69KfdHjyxSmriSfYz+USnWPY7AufNIadK6MEJMx9Ap D/oDOlTrorhX2lFEilmcO2RdNtjC5xDF9pCuTyYBB5bi6bQ4syoJ3g9WQ0ymaiLzg5KdCXlKLjvc W893SUOqXwnz5DrgnHtJTxOsQfEKIT7DmDSUCayM+6KAU/53yWw5cuba1mrMm8BNir3hdLG61o5r 1zj93/Ltkrp0q+WD6m9QSwECFAAUAAAACACHTuJAfublIPcAAADhAQAAEwAAAAAAAAABACAAAAA+ BAAAW0NvbnRlbnRfVHlwZXNdLnhtbFBLAQIUAAoAAAAAAIdO4kAAAAAAAAAAAAAAAAAGAAAAAAAA AAAAEAAAACADAABfcmVscy9QSwECFAAUAAAACACHTuJAihRmPNEAAACUAQAACwAAAAAAAAABACAA AABEAwAAX3JlbHMvLnJlbHNQSwECFAAKAAAAAACHTuJAAAAAAAAAAAAAAAAABAAAAAAAAAAAABAA AAAAAAAAZHJzL1BLAQIUABQAAAAIAIdO4kBxHMk/2wAAAA0BAAAPAAAAAAAAAAEAIAAAACIAAABk cnMvZG93bnJldi54bWxQSwECFAAUAAAACACHTuJA3eFL1coBAACqAwAADgAAAAAAAAABACAAAAAq AQAAZHJzL2Uyb0RvYy54bWxQSwUGAAAAAAYABgBZAQAAZgUAAAAA ">
                    <v:fill on="f" focussize="0,0"/>
                    <v:stroke on="f"/>
                    <v:imagedata o:title=""/>
                    <o:lock v:ext="edit" aspectratio="f"/>
                    <v:textbox inset="0mm,0mm,0mm,0mm">
                      <w:txbxContent>
                        <w:p w14:paraId="7E59C0FA">
                          <w:pPr>
                            <w:jc w:val="center"/>
                          </w:pPr>
                          <w:r>
                            <w:rPr>
                              <w:rFonts w:ascii="Arial" w:hAnsi="Arial" w:eastAsia="Arial" w:cs="Arial"/>
                              <w:color w:val="000000"/>
                              <w:sz w:val="40"/>
                              <w:szCs w:val="40"/>
                            </w:rPr>
                            <w:t>×</w:t>
                          </w:r>
                        </w:p>
                      </w:txbxContent>
                    </v:textbox>
                  </v:shape>
                </w:pict>
              </mc:Fallback>
            </mc:AlternateContent>
            <w:drawing>
              <wp:anchor distT="0" distB="0" distL="0" distR="0" simplePos="0" relativeHeight="251660288" behindDoc="0" locked="0" layoutInCell="1" allowOverlap="1">
                <wp:simplePos x="0" y="0"/>
                <wp:positionH relativeFrom="page">
                  <wp:posOffset>4423410</wp:posOffset>
                </wp:positionH>
                <wp:positionV relativeFrom="page">
                  <wp:posOffset>8999855</wp:posOffset>
                </wp:positionV>
                <wp:extent cx="899795" cy="899795"/>
                <wp:effectExtent l="0" t="0" r="0" b="0"/>
                <wp:wrapNone/>
                <wp:docPr id="972" name="TWCW logo"/>
                <wp:cNvGraphicFramePr/>
                <a:graphic xmlns:a="http://schemas.openxmlformats.org/drawingml/2006/main">
                  <a:graphicData uri="http://schemas.openxmlformats.org/drawingml/2006/picture">
                    <pic:pic xmlns:pic="http://schemas.openxmlformats.org/drawingml/2006/picture">
                      <pic:nvPicPr>
                        <pic:cNvPr id="972" name="TWCW logo"/>
                        <pic:cNvPicPr/>
                      </pic:nvPicPr>
                      <pic:blipFill>
                        <a:blip r:embed="rId9"/>
                        <a:stretch>
                          <a:fillRect/>
                        </a:stretch>
                      </pic:blipFill>
                      <pic:spPr>
                        <a:xfrm>
                          <a:off x="0" y="0"/>
                          <a:ext cx="900000" cy="900000"/>
                        </a:xfrm>
                        <a:prstGeom prst="rect">
                          <a:avLst/>
                        </a:prstGeom>
                      </pic:spPr>
                    </pic:pic>
                  </a:graphicData>
                </a:graphic>
              </wp:anchor>
            </w:drawing>
          </w:r>
          <w:r>
            <w:rPr>
              <w:rFonts w:eastAsia="Muli" w:cs="Muli" w:asciiTheme="majorHAnsi" w:hAnsiTheme="majorHAnsi"/>
              <w:sz w:val="20"/>
            </w:rPr>
            <w:br w:type="page"/>
          </w:r>
        </w:p>
      </w:sdtContent>
    </w:sdt>
    <w:p w14:paraId="21D15387">
      <w:pPr>
        <w:spacing w:before="0" w:after="200"/>
        <w:jc w:val="center"/>
      </w:pPr>
      <w:r>
        <w:rPr>
          <w:rFonts w:eastAsia="Muli" w:cs="Muli" w:asciiTheme="majorHAnsi" w:hAnsiTheme="majorHAnsi"/>
          <w:b/>
          <w:bCs/>
          <w:color w:val="000000"/>
          <w:sz w:val="24"/>
          <w:szCs w:val="24"/>
        </w:rPr>
        <w:t>WELCOME TO 1STOP</w:t>
      </w:r>
    </w:p>
    <w:p w14:paraId="5ECEDFF9">
      <w:pPr>
        <w:spacing w:before="0" w:after="160"/>
        <w:jc w:val="center"/>
      </w:pPr>
      <w:r>
        <w:rPr>
          <w:rFonts w:eastAsia="Muli" w:cs="Muli" w:asciiTheme="majorHAnsi" w:hAnsiTheme="majorHAnsi"/>
          <w:b/>
          <w:bCs/>
          <w:spacing w:val="20"/>
          <w:sz w:val="20"/>
          <w:szCs w:val="20"/>
        </w:rPr>
        <w:t>TERMS OF SERVICE</w:t>
      </w:r>
    </w:p>
    <w:p w14:paraId="5F353821">
      <w:pPr>
        <w:spacing w:before="0" w:after="100"/>
      </w:pPr>
      <w:r>
        <w:rPr>
          <w:rFonts w:eastAsia="Muli" w:cs="Muli" w:asciiTheme="majorHAnsi" w:hAnsiTheme="majorHAnsi"/>
          <w:sz w:val="20"/>
          <w:szCs w:val="20"/>
        </w:rPr>
        <w:t xml:space="preserve">These Terms of Service (the </w:t>
      </w:r>
      <w:r>
        <w:rPr>
          <w:rFonts w:eastAsia="Muli" w:cs="Muli" w:asciiTheme="majorHAnsi" w:hAnsiTheme="majorHAnsi"/>
          <w:b/>
          <w:bCs/>
          <w:sz w:val="20"/>
          <w:szCs w:val="20"/>
        </w:rPr>
        <w:t>Agreement</w:t>
      </w:r>
      <w:r>
        <w:rPr>
          <w:rFonts w:eastAsia="Muli" w:cs="Muli" w:asciiTheme="majorHAnsi" w:hAnsiTheme="majorHAnsi"/>
          <w:sz w:val="20"/>
          <w:szCs w:val="20"/>
        </w:rPr>
        <w:t xml:space="preserve">) are between you and </w:t>
      </w:r>
      <w:r>
        <w:rPr>
          <w:rFonts w:eastAsia="Muli" w:cs="Muli" w:asciiTheme="majorHAnsi" w:hAnsiTheme="majorHAnsi"/>
          <w:b/>
          <w:bCs/>
          <w:sz w:val="20"/>
          <w:szCs w:val="20"/>
        </w:rPr>
        <w:t>TWCW Pty Ltd</w:t>
      </w:r>
      <w:r>
        <w:rPr>
          <w:rFonts w:eastAsia="Muli" w:cs="Muli" w:asciiTheme="majorHAnsi" w:hAnsiTheme="majorHAnsi"/>
          <w:sz w:val="20"/>
          <w:szCs w:val="20"/>
        </w:rPr>
        <w:t xml:space="preserve"> (ACN 665 682 324, ABN </w:t>
      </w:r>
      <w:r>
        <w:rPr>
          <w:rFonts w:hint="default" w:eastAsia="Muli" w:cs="Muli" w:asciiTheme="majorHAnsi" w:hAnsiTheme="majorHAnsi"/>
          <w:sz w:val="20"/>
          <w:szCs w:val="20"/>
          <w:lang w:val="en-US"/>
        </w:rPr>
        <w:t xml:space="preserve">49 </w:t>
      </w:r>
      <w:r>
        <w:rPr>
          <w:rFonts w:ascii="Calibri Light" w:hAnsi="Calibri Light" w:eastAsia="Calibri" w:cs="Calibri Light"/>
          <w:color w:val="363636"/>
          <w:sz w:val="19"/>
          <w:szCs w:val="19"/>
        </w:rPr>
        <w:t>665 682 324</w:t>
      </w:r>
      <w:r>
        <w:rPr>
          <w:rFonts w:eastAsia="Muli" w:cs="Muli" w:asciiTheme="majorHAnsi" w:hAnsiTheme="majorHAnsi"/>
          <w:sz w:val="20"/>
          <w:szCs w:val="20"/>
        </w:rPr>
        <w:t>) (</w:t>
      </w:r>
      <w:r>
        <w:rPr>
          <w:rFonts w:eastAsia="Muli" w:cs="Muli" w:asciiTheme="majorHAnsi" w:hAnsiTheme="majorHAnsi"/>
          <w:b/>
          <w:bCs/>
          <w:sz w:val="20"/>
          <w:szCs w:val="20"/>
        </w:rPr>
        <w:t>TWCW</w:t>
      </w:r>
      <w:r>
        <w:rPr>
          <w:rFonts w:eastAsia="Muli" w:cs="Muli" w:asciiTheme="majorHAnsi" w:hAnsiTheme="majorHAnsi"/>
          <w:sz w:val="20"/>
          <w:szCs w:val="20"/>
        </w:rPr>
        <w:t xml:space="preserve">, </w:t>
      </w:r>
      <w:r>
        <w:rPr>
          <w:rFonts w:eastAsia="Muli" w:cs="Muli" w:asciiTheme="majorHAnsi" w:hAnsiTheme="majorHAnsi"/>
          <w:b/>
          <w:bCs/>
          <w:sz w:val="20"/>
          <w:szCs w:val="20"/>
        </w:rPr>
        <w:t>we</w:t>
      </w:r>
      <w:r>
        <w:rPr>
          <w:rFonts w:eastAsia="Muli" w:cs="Muli" w:asciiTheme="majorHAnsi" w:hAnsiTheme="majorHAnsi"/>
          <w:sz w:val="20"/>
          <w:szCs w:val="20"/>
        </w:rPr>
        <w:t xml:space="preserve">, </w:t>
      </w:r>
      <w:r>
        <w:rPr>
          <w:rFonts w:eastAsia="Muli" w:cs="Muli" w:asciiTheme="majorHAnsi" w:hAnsiTheme="majorHAnsi"/>
          <w:b/>
          <w:bCs/>
          <w:sz w:val="20"/>
          <w:szCs w:val="20"/>
        </w:rPr>
        <w:t>our</w:t>
      </w:r>
      <w:r>
        <w:rPr>
          <w:rFonts w:eastAsia="Muli" w:cs="Muli" w:asciiTheme="majorHAnsi" w:hAnsiTheme="majorHAnsi"/>
          <w:sz w:val="20"/>
          <w:szCs w:val="20"/>
        </w:rPr>
        <w:t xml:space="preserve">, </w:t>
      </w:r>
      <w:r>
        <w:rPr>
          <w:rFonts w:eastAsia="Muli" w:cs="Muli" w:asciiTheme="majorHAnsi" w:hAnsiTheme="majorHAnsi"/>
          <w:b/>
          <w:bCs/>
          <w:sz w:val="20"/>
          <w:szCs w:val="20"/>
        </w:rPr>
        <w:t>us</w:t>
      </w:r>
      <w:r>
        <w:rPr>
          <w:rFonts w:eastAsia="Muli" w:cs="Muli" w:asciiTheme="majorHAnsi" w:hAnsiTheme="majorHAnsi"/>
          <w:sz w:val="20"/>
          <w:szCs w:val="20"/>
        </w:rPr>
        <w:t>), trading as 1Stop. They apply to everyone who uses the 1Stop Platform, whether as a Consumer or as a Business.</w:t>
      </w:r>
    </w:p>
    <w:p w14:paraId="72E95382">
      <w:pPr>
        <w:spacing w:before="0" w:after="100"/>
      </w:pPr>
      <w:r>
        <w:rPr>
          <w:rFonts w:eastAsia="Muli" w:cs="Muli" w:asciiTheme="majorHAnsi" w:hAnsiTheme="majorHAnsi"/>
          <w:sz w:val="20"/>
          <w:szCs w:val="20"/>
        </w:rPr>
        <w:t>The Agreement is made up of the Terms and Conditions and the Schedules (Business plans and fees, Required Business disclosures and marketplace notices, and the Cookie and Tracking Policy). They explain how the Platform works, who is responsible for what, and how payments, advertising, your data and disputes are handled. The Privacy Policy and other Platform policies also apply, as clause 1.6 describes.</w:t>
      </w:r>
    </w:p>
    <w:p w14:paraId="3689CA80">
      <w:pPr>
        <w:spacing w:before="0" w:after="100"/>
      </w:pPr>
      <w:r>
        <w:rPr>
          <w:rFonts w:eastAsia="Muli" w:cs="Muli" w:asciiTheme="majorHAnsi" w:hAnsiTheme="majorHAnsi"/>
          <w:b/>
          <w:bCs/>
          <w:sz w:val="20"/>
          <w:szCs w:val="20"/>
        </w:rPr>
        <w:t>How you accept.</w:t>
      </w:r>
      <w:r>
        <w:rPr>
          <w:rFonts w:eastAsia="Muli" w:cs="Muli" w:asciiTheme="majorHAnsi" w:hAnsiTheme="majorHAnsi"/>
          <w:sz w:val="20"/>
          <w:szCs w:val="20"/>
        </w:rPr>
        <w:t xml:space="preserve"> You agree to this Agreement by ticking the Acceptance Box when you register and then continuing. The box is not pre-ticked, you cannot use the Platform without ticking it, and we keep a record of your acceptance (clause 1.5). Businesses are also asked to tick a box confirming that they are authorised to accept for the Business.</w:t>
      </w:r>
    </w:p>
    <w:p w14:paraId="5138F790">
      <w:pPr>
        <w:spacing w:before="0" w:after="100"/>
      </w:pPr>
      <w:r>
        <w:rPr>
          <w:rFonts w:eastAsia="Muli" w:cs="Muli" w:asciiTheme="majorHAnsi" w:hAnsiTheme="majorHAnsi"/>
          <w:sz w:val="20"/>
          <w:szCs w:val="20"/>
        </w:rPr>
        <w:t>Please read the Terms and Conditions and Schedules that follow before you tick the box. If you do not agree, do not tick the box and do not use the Platform.</w:t>
      </w:r>
    </w:p>
    <w:p w14:paraId="349DD788">
      <w:pPr>
        <w:spacing w:before="0" w:after="100"/>
      </w:pPr>
      <w:r>
        <w:rPr>
          <w:rFonts w:eastAsia="Muli" w:cs="Muli" w:asciiTheme="majorHAnsi" w:hAnsiTheme="majorHAnsi"/>
          <w:sz w:val="20"/>
          <w:szCs w:val="20"/>
        </w:rPr>
        <w:t>If you are unsure of the meaning of any term in this Agreement, please contact us at team@1stopapp.com to discuss, or engage a suitably qualified third party, such as a solicitor, to confirm your understanding and explain any specific obligations you are required to follow. If you are a Business, we encourage you to take advice before accepting, because you take on significant responsibilities as the seller of your goods and services.</w:t>
      </w:r>
    </w:p>
    <w:p w14:paraId="48EB6D00">
      <w:pPr>
        <w:keepNext/>
        <w:spacing w:before="100" w:after="40"/>
      </w:pPr>
      <w:r>
        <w:rPr>
          <w:rFonts w:eastAsia="Muli" w:cs="Muli" w:asciiTheme="majorHAnsi" w:hAnsiTheme="majorHAnsi"/>
          <w:b/>
          <w:bCs/>
          <w:spacing w:val="20"/>
          <w:sz w:val="20"/>
          <w:szCs w:val="20"/>
        </w:rPr>
        <w:t>Key points at a glance</w:t>
      </w:r>
    </w:p>
    <w:p w14:paraId="2BFE6AF3">
      <w:pPr>
        <w:spacing w:before="0" w:after="80"/>
      </w:pPr>
      <w:r>
        <w:rPr>
          <w:rFonts w:eastAsia="Muli" w:cs="Muli" w:asciiTheme="majorHAnsi" w:hAnsiTheme="majorHAnsi"/>
          <w:sz w:val="18"/>
          <w:szCs w:val="18"/>
        </w:rPr>
        <w:t>This summary is to help you navigate. It is not part of the legal terms. The clauses that follow apply.</w:t>
      </w:r>
    </w:p>
    <w:p w14:paraId="61FC3138">
      <w:pPr>
        <w:pStyle w:val="20"/>
        <w:numPr>
          <w:ilvl w:val="0"/>
          <w:numId w:val="2"/>
        </w:numPr>
        <w:spacing w:before="0" w:after="30"/>
        <w:contextualSpacing w:val="0"/>
      </w:pPr>
      <w:r>
        <w:rPr>
          <w:rFonts w:eastAsia="Muli" w:cs="Muli" w:asciiTheme="majorHAnsi" w:hAnsiTheme="majorHAnsi"/>
          <w:b/>
          <w:bCs/>
          <w:sz w:val="18"/>
          <w:szCs w:val="18"/>
        </w:rPr>
        <w:t>1Stop is a marketplace.</w:t>
      </w:r>
      <w:r>
        <w:rPr>
          <w:rFonts w:eastAsia="Muli" w:cs="Muli" w:asciiTheme="majorHAnsi" w:hAnsiTheme="majorHAnsi"/>
          <w:sz w:val="18"/>
          <w:szCs w:val="18"/>
        </w:rPr>
        <w:t xml:space="preserve"> TWCW provides the technology and connects Consumers with independent Businesses. The Business you buy from is the seller, and is responsible for its goods and services (clause 1.3).</w:t>
      </w:r>
    </w:p>
    <w:p w14:paraId="7932FCFC">
      <w:pPr>
        <w:pStyle w:val="20"/>
        <w:numPr>
          <w:ilvl w:val="0"/>
          <w:numId w:val="2"/>
        </w:numPr>
        <w:spacing w:before="0" w:after="30"/>
        <w:contextualSpacing w:val="0"/>
      </w:pPr>
      <w:r>
        <w:rPr>
          <w:rFonts w:eastAsia="Muli" w:cs="Muli" w:asciiTheme="majorHAnsi" w:hAnsiTheme="majorHAnsi"/>
          <w:b/>
          <w:bCs/>
          <w:sz w:val="18"/>
          <w:szCs w:val="18"/>
        </w:rPr>
        <w:t>Your Australian Consumer Law rights are protected.</w:t>
      </w:r>
      <w:r>
        <w:rPr>
          <w:rFonts w:eastAsia="Muli" w:cs="Muli" w:asciiTheme="majorHAnsi" w:hAnsiTheme="majorHAnsi"/>
          <w:sz w:val="18"/>
          <w:szCs w:val="18"/>
        </w:rPr>
        <w:t xml:space="preserve"> Nothing here removes them (clauses 10.1 and 33.2).</w:t>
      </w:r>
    </w:p>
    <w:p w14:paraId="5A49DD32">
      <w:pPr>
        <w:pStyle w:val="20"/>
        <w:numPr>
          <w:ilvl w:val="0"/>
          <w:numId w:val="2"/>
        </w:numPr>
        <w:spacing w:before="0" w:after="30"/>
        <w:contextualSpacing w:val="0"/>
      </w:pPr>
      <w:r>
        <w:rPr>
          <w:rFonts w:eastAsia="Muli" w:cs="Muli" w:asciiTheme="majorHAnsi" w:hAnsiTheme="majorHAnsi"/>
          <w:b/>
          <w:bCs/>
          <w:sz w:val="18"/>
          <w:szCs w:val="18"/>
        </w:rPr>
        <w:t>Consumers:</w:t>
      </w:r>
      <w:r>
        <w:rPr>
          <w:rFonts w:eastAsia="Muli" w:cs="Muli" w:asciiTheme="majorHAnsi" w:hAnsiTheme="majorHAnsi"/>
          <w:sz w:val="18"/>
          <w:szCs w:val="18"/>
        </w:rPr>
        <w:t xml:space="preserve"> your contract is with the Business. Payments run through Stripe, any Platform Fee is shown before you pay, and if a Business does not fix a problem you can ask us to review it (clauses 7 to 10).</w:t>
      </w:r>
    </w:p>
    <w:p w14:paraId="0BD44A91">
      <w:pPr>
        <w:pStyle w:val="20"/>
        <w:numPr>
          <w:ilvl w:val="0"/>
          <w:numId w:val="2"/>
        </w:numPr>
        <w:spacing w:before="0" w:after="30"/>
        <w:contextualSpacing w:val="0"/>
      </w:pPr>
      <w:r>
        <w:rPr>
          <w:rFonts w:eastAsia="Muli" w:cs="Muli" w:asciiTheme="majorHAnsi" w:hAnsiTheme="majorHAnsi"/>
          <w:b/>
          <w:bCs/>
          <w:sz w:val="18"/>
          <w:szCs w:val="18"/>
        </w:rPr>
        <w:t>Businesses:</w:t>
      </w:r>
      <w:r>
        <w:rPr>
          <w:rFonts w:eastAsia="Muli" w:cs="Muli" w:asciiTheme="majorHAnsi" w:hAnsiTheme="majorHAnsi"/>
          <w:sz w:val="18"/>
          <w:szCs w:val="18"/>
        </w:rPr>
        <w:t xml:space="preserve"> you pay a flat monthly Subscription through the App Store or Google Play (no cost-per-click), you may get a free trial, and you must be independent as the AMAPP requires (clauses 15 and 22).</w:t>
      </w:r>
    </w:p>
    <w:p w14:paraId="7054B5EB">
      <w:pPr>
        <w:pStyle w:val="20"/>
        <w:numPr>
          <w:ilvl w:val="0"/>
          <w:numId w:val="2"/>
        </w:numPr>
        <w:spacing w:before="0" w:after="30"/>
        <w:contextualSpacing w:val="0"/>
      </w:pPr>
      <w:r>
        <w:rPr>
          <w:rFonts w:eastAsia="Muli" w:cs="Muli" w:asciiTheme="majorHAnsi" w:hAnsiTheme="majorHAnsi"/>
          <w:b/>
          <w:bCs/>
          <w:sz w:val="18"/>
          <w:szCs w:val="18"/>
        </w:rPr>
        <w:t>Businesses must be accurate and deliver what they advertise,</w:t>
      </w:r>
      <w:r>
        <w:rPr>
          <w:rFonts w:eastAsia="Muli" w:cs="Muli" w:asciiTheme="majorHAnsi" w:hAnsiTheme="majorHAnsi"/>
          <w:sz w:val="18"/>
          <w:szCs w:val="18"/>
        </w:rPr>
        <w:t xml:space="preserve"> keep records, hold insurance, handle customer data properly and report safety and data incidents within 24 hours (clauses 13 to 21).</w:t>
      </w:r>
    </w:p>
    <w:p w14:paraId="128A67FE">
      <w:pPr>
        <w:pStyle w:val="20"/>
        <w:numPr>
          <w:ilvl w:val="0"/>
          <w:numId w:val="2"/>
        </w:numPr>
        <w:spacing w:before="0" w:after="30"/>
        <w:contextualSpacing w:val="0"/>
      </w:pPr>
      <w:r>
        <w:rPr>
          <w:rFonts w:eastAsia="Muli" w:cs="Muli" w:asciiTheme="majorHAnsi" w:hAnsiTheme="majorHAnsi"/>
          <w:b/>
          <w:bCs/>
          <w:sz w:val="18"/>
          <w:szCs w:val="18"/>
        </w:rPr>
        <w:t>Everyone:</w:t>
      </w:r>
      <w:r>
        <w:rPr>
          <w:rFonts w:eastAsia="Muli" w:cs="Muli" w:asciiTheme="majorHAnsi" w:hAnsiTheme="majorHAnsi"/>
          <w:sz w:val="18"/>
          <w:szCs w:val="18"/>
        </w:rPr>
        <w:t xml:space="preserve"> play fair, no prohibited content, no fake reviews, no manipulation (clauses 4, 6.4 and 17).</w:t>
      </w:r>
    </w:p>
    <w:p w14:paraId="3409FE0B">
      <w:pPr>
        <w:pStyle w:val="20"/>
        <w:numPr>
          <w:ilvl w:val="0"/>
          <w:numId w:val="2"/>
        </w:numPr>
        <w:spacing w:before="0" w:after="30"/>
        <w:contextualSpacing w:val="0"/>
      </w:pPr>
      <w:r>
        <w:rPr>
          <w:rFonts w:eastAsia="Muli" w:cs="Muli" w:asciiTheme="majorHAnsi" w:hAnsiTheme="majorHAnsi"/>
          <w:b/>
          <w:bCs/>
          <w:sz w:val="18"/>
          <w:szCs w:val="18"/>
        </w:rPr>
        <w:t>Disputes:</w:t>
      </w:r>
      <w:r>
        <w:rPr>
          <w:rFonts w:eastAsia="Muli" w:cs="Muli" w:asciiTheme="majorHAnsi" w:hAnsiTheme="majorHAnsi"/>
          <w:sz w:val="18"/>
          <w:szCs w:val="18"/>
        </w:rPr>
        <w:t xml:space="preserve"> talk to the Business first. TWCW can help, but it is not a court or regulator (clauses 10 and 35).</w:t>
      </w:r>
    </w:p>
    <w:p w14:paraId="6F3029CF">
      <w:pPr>
        <w:pStyle w:val="20"/>
        <w:numPr>
          <w:ilvl w:val="0"/>
          <w:numId w:val="2"/>
        </w:numPr>
        <w:spacing w:before="0" w:after="30"/>
        <w:contextualSpacing w:val="0"/>
      </w:pPr>
      <w:r>
        <w:rPr>
          <w:rFonts w:eastAsia="Muli" w:cs="Muli" w:asciiTheme="majorHAnsi" w:hAnsiTheme="majorHAnsi"/>
          <w:b/>
          <w:bCs/>
          <w:sz w:val="18"/>
          <w:szCs w:val="18"/>
        </w:rPr>
        <w:t>You accept by ticking a box:</w:t>
      </w:r>
      <w:r>
        <w:rPr>
          <w:rFonts w:eastAsia="Muli" w:cs="Muli" w:asciiTheme="majorHAnsi" w:hAnsiTheme="majorHAnsi"/>
          <w:sz w:val="18"/>
          <w:szCs w:val="18"/>
        </w:rPr>
        <w:t xml:space="preserve"> you agree to these Terms by ticking the Acceptance Box when you register (clause 1.5).</w:t>
      </w:r>
    </w:p>
    <w:p w14:paraId="441878A2">
      <w:pPr>
        <w:pStyle w:val="20"/>
        <w:numPr>
          <w:ilvl w:val="0"/>
          <w:numId w:val="2"/>
        </w:numPr>
        <w:spacing w:before="0" w:after="30"/>
        <w:contextualSpacing w:val="0"/>
      </w:pPr>
      <w:r>
        <w:rPr>
          <w:rFonts w:eastAsia="Muli" w:cs="Muli" w:asciiTheme="majorHAnsi" w:hAnsiTheme="majorHAnsi"/>
          <w:b/>
          <w:bCs/>
          <w:sz w:val="18"/>
          <w:szCs w:val="18"/>
        </w:rPr>
        <w:t>Cookies and tracking:</w:t>
      </w:r>
      <w:r>
        <w:rPr>
          <w:rFonts w:eastAsia="Muli" w:cs="Muli" w:asciiTheme="majorHAnsi" w:hAnsiTheme="majorHAnsi"/>
          <w:sz w:val="18"/>
          <w:szCs w:val="18"/>
        </w:rPr>
        <w:t xml:space="preserve"> the Platform uses only your preferences inside the app. It does not track you across other apps, sites or platforms (Schedule 3).</w:t>
      </w:r>
    </w:p>
    <w:p w14:paraId="3B6ED29C">
      <w:pPr>
        <w:pStyle w:val="20"/>
        <w:numPr>
          <w:ilvl w:val="0"/>
          <w:numId w:val="2"/>
        </w:numPr>
        <w:spacing w:before="0" w:after="30"/>
        <w:contextualSpacing w:val="0"/>
      </w:pPr>
      <w:r>
        <w:rPr>
          <w:rFonts w:eastAsia="Muli" w:cs="Muli" w:asciiTheme="majorHAnsi" w:hAnsiTheme="majorHAnsi"/>
          <w:b/>
          <w:bCs/>
          <w:sz w:val="18"/>
          <w:szCs w:val="18"/>
        </w:rPr>
        <w:t>Your data and security:</w:t>
      </w:r>
      <w:r>
        <w:rPr>
          <w:rFonts w:eastAsia="Muli" w:cs="Muli" w:asciiTheme="majorHAnsi" w:hAnsiTheme="majorHAnsi"/>
          <w:sz w:val="18"/>
          <w:szCs w:val="18"/>
        </w:rPr>
        <w:t xml:space="preserve"> we take reasonable steps to protect your information, we never receive or store your card or bank details, and you can delete your account in the app. No online service is completely secure (clauses 3.8 and 29).</w:t>
      </w:r>
    </w:p>
    <w:p w14:paraId="5ACF2E66">
      <w:pPr>
        <w:pStyle w:val="20"/>
        <w:numPr>
          <w:ilvl w:val="0"/>
          <w:numId w:val="2"/>
        </w:numPr>
        <w:spacing w:before="0" w:after="30"/>
        <w:contextualSpacing w:val="0"/>
      </w:pPr>
      <w:r>
        <w:rPr>
          <w:rFonts w:eastAsia="Muli" w:cs="Muli" w:asciiTheme="majorHAnsi" w:hAnsiTheme="majorHAnsi"/>
          <w:b/>
          <w:bCs/>
          <w:sz w:val="18"/>
          <w:szCs w:val="18"/>
        </w:rPr>
        <w:t>Business-to-business:</w:t>
      </w:r>
      <w:r>
        <w:rPr>
          <w:rFonts w:eastAsia="Muli" w:cs="Muli" w:asciiTheme="majorHAnsi" w:hAnsiTheme="majorHAnsi"/>
          <w:sz w:val="18"/>
          <w:szCs w:val="18"/>
        </w:rPr>
        <w:t xml:space="preserve"> Businesses can also buy from each other on the Platform. The seller is still responsible, and your legal rights still apply (clause 14).</w:t>
      </w:r>
    </w:p>
    <w:p w14:paraId="0FA9CDB4">
      <w:pPr>
        <w:pStyle w:val="20"/>
        <w:numPr>
          <w:ilvl w:val="0"/>
          <w:numId w:val="2"/>
        </w:numPr>
        <w:spacing w:before="0" w:after="30"/>
        <w:contextualSpacing w:val="0"/>
      </w:pPr>
      <w:r>
        <w:rPr>
          <w:rFonts w:eastAsia="Muli" w:cs="Muli" w:asciiTheme="majorHAnsi" w:hAnsiTheme="majorHAnsi"/>
          <w:b/>
          <w:bCs/>
          <w:sz w:val="18"/>
          <w:szCs w:val="18"/>
        </w:rPr>
        <w:t>Scams and payments:</w:t>
      </w:r>
      <w:r>
        <w:rPr>
          <w:rFonts w:eastAsia="Muli" w:cs="Muli" w:asciiTheme="majorHAnsi" w:hAnsiTheme="majorHAnsi"/>
          <w:sz w:val="18"/>
          <w:szCs w:val="18"/>
        </w:rPr>
        <w:t xml:space="preserve"> we may label, hold or remove suspected scams and related payments, and Stripe processes payments (clauses 5 and 16).</w:t>
      </w:r>
    </w:p>
    <w:p w14:paraId="24323300">
      <w:r>
        <w:br w:type="page"/>
      </w:r>
    </w:p>
    <w:p w14:paraId="3E4E8DC4">
      <w:pPr>
        <w:spacing w:before="0" w:after="200"/>
        <w:jc w:val="center"/>
      </w:pPr>
      <w:r>
        <w:rPr>
          <w:rFonts w:eastAsia="Muli" w:cs="Muli" w:asciiTheme="majorHAnsi" w:hAnsiTheme="majorHAnsi"/>
          <w:b/>
          <w:bCs/>
          <w:spacing w:val="20"/>
          <w:sz w:val="20"/>
          <w:szCs w:val="20"/>
          <w:u w:val="single"/>
        </w:rPr>
        <w:t>CONTENTS</w:t>
      </w:r>
    </w:p>
    <w:tbl>
      <w:tblPr>
        <w:tblStyle w:val="9"/>
        <w:tblW w:w="9026" w:type="dxa"/>
        <w:tblInd w:w="0" w:type="dxa"/>
        <w:tblLayout w:type="fixed"/>
        <w:tblCellMar>
          <w:top w:w="0" w:type="dxa"/>
          <w:left w:w="108" w:type="dxa"/>
          <w:bottom w:w="0" w:type="dxa"/>
          <w:right w:w="108" w:type="dxa"/>
        </w:tblCellMar>
      </w:tblPr>
      <w:tblGrid>
        <w:gridCol w:w="4513"/>
        <w:gridCol w:w="4513"/>
      </w:tblGrid>
      <w:tr w14:paraId="433C24E6">
        <w:trPr>
          <w:cantSplit/>
        </w:trPr>
        <w:tc>
          <w:tcPr>
            <w:tcW w:w="4513" w:type="dxa"/>
          </w:tcPr>
          <w:p w14:paraId="4C388629">
            <w:pPr>
              <w:keepNext/>
              <w:spacing w:before="100" w:after="40"/>
            </w:pPr>
            <w:r>
              <w:rPr>
                <w:rFonts w:eastAsia="Muli" w:cs="Muli" w:asciiTheme="majorHAnsi" w:hAnsiTheme="majorHAnsi"/>
                <w:b/>
                <w:bCs/>
                <w:sz w:val="18"/>
                <w:szCs w:val="18"/>
              </w:rPr>
              <w:t>PART A — GENERAL TERMS FOR EVERYONE</w:t>
            </w:r>
          </w:p>
          <w:p w14:paraId="142FF6AE">
            <w:pPr>
              <w:spacing w:before="0" w:after="40"/>
              <w:ind w:left="0"/>
            </w:pPr>
            <w:r>
              <w:rPr>
                <w:rFonts w:eastAsia="Muli" w:cs="Muli" w:asciiTheme="majorHAnsi" w:hAnsiTheme="majorHAnsi"/>
                <w:sz w:val="18"/>
                <w:szCs w:val="18"/>
              </w:rPr>
              <w:t>1.</w:t>
            </w:r>
            <w:r>
              <w:tab/>
            </w:r>
            <w:r>
              <w:rPr>
                <w:rFonts w:eastAsia="Muli" w:cs="Muli" w:asciiTheme="majorHAnsi" w:hAnsiTheme="majorHAnsi"/>
                <w:sz w:val="18"/>
                <w:szCs w:val="18"/>
              </w:rPr>
              <w:t>About these Terms and our role</w:t>
            </w:r>
          </w:p>
          <w:p w14:paraId="6E089B96">
            <w:pPr>
              <w:spacing w:before="0" w:after="40"/>
              <w:ind w:left="0"/>
            </w:pPr>
            <w:r>
              <w:rPr>
                <w:rFonts w:eastAsia="Muli" w:cs="Muli" w:asciiTheme="majorHAnsi" w:hAnsiTheme="majorHAnsi"/>
                <w:sz w:val="18"/>
                <w:szCs w:val="18"/>
              </w:rPr>
              <w:t>2.</w:t>
            </w:r>
            <w:r>
              <w:tab/>
            </w:r>
            <w:r>
              <w:rPr>
                <w:rFonts w:eastAsia="Muli" w:cs="Muli" w:asciiTheme="majorHAnsi" w:hAnsiTheme="majorHAnsi"/>
                <w:sz w:val="18"/>
                <w:szCs w:val="18"/>
              </w:rPr>
              <w:t>Definitions and interpretation</w:t>
            </w:r>
          </w:p>
          <w:p w14:paraId="3B120E83">
            <w:pPr>
              <w:spacing w:before="0" w:after="40"/>
              <w:ind w:left="0"/>
            </w:pPr>
            <w:r>
              <w:rPr>
                <w:rFonts w:eastAsia="Muli" w:cs="Muli" w:asciiTheme="majorHAnsi" w:hAnsiTheme="majorHAnsi"/>
                <w:sz w:val="18"/>
                <w:szCs w:val="18"/>
              </w:rPr>
              <w:t>3.</w:t>
            </w:r>
            <w:r>
              <w:tab/>
            </w:r>
            <w:r>
              <w:rPr>
                <w:rFonts w:eastAsia="Muli" w:cs="Muli" w:asciiTheme="majorHAnsi" w:hAnsiTheme="majorHAnsi"/>
                <w:sz w:val="18"/>
                <w:szCs w:val="18"/>
              </w:rPr>
              <w:t>Eligibility and accounts</w:t>
            </w:r>
          </w:p>
          <w:p w14:paraId="6683A873">
            <w:pPr>
              <w:spacing w:before="0" w:after="40"/>
              <w:ind w:left="0"/>
            </w:pPr>
            <w:r>
              <w:rPr>
                <w:rFonts w:eastAsia="Muli" w:cs="Muli" w:asciiTheme="majorHAnsi" w:hAnsiTheme="majorHAnsi"/>
                <w:sz w:val="18"/>
                <w:szCs w:val="18"/>
              </w:rPr>
              <w:t>4.</w:t>
            </w:r>
            <w:r>
              <w:tab/>
            </w:r>
            <w:r>
              <w:rPr>
                <w:rFonts w:eastAsia="Muli" w:cs="Muli" w:asciiTheme="majorHAnsi" w:hAnsiTheme="majorHAnsi"/>
                <w:sz w:val="18"/>
                <w:szCs w:val="18"/>
              </w:rPr>
              <w:t>Acceptable use</w:t>
            </w:r>
          </w:p>
          <w:p w14:paraId="3B0BD125">
            <w:pPr>
              <w:spacing w:before="0" w:after="40"/>
              <w:ind w:left="0"/>
            </w:pPr>
            <w:r>
              <w:rPr>
                <w:rFonts w:eastAsia="Muli" w:cs="Muli" w:asciiTheme="majorHAnsi" w:hAnsiTheme="majorHAnsi"/>
                <w:sz w:val="18"/>
                <w:szCs w:val="18"/>
              </w:rPr>
              <w:t>5.</w:t>
            </w:r>
            <w:r>
              <w:tab/>
            </w:r>
            <w:r>
              <w:rPr>
                <w:rFonts w:eastAsia="Muli" w:cs="Muli" w:asciiTheme="majorHAnsi" w:hAnsiTheme="majorHAnsi"/>
                <w:sz w:val="18"/>
                <w:szCs w:val="18"/>
              </w:rPr>
              <w:t>Scams, fraud and financial-crime prevention</w:t>
            </w:r>
          </w:p>
          <w:p w14:paraId="5A8C5817">
            <w:pPr>
              <w:keepNext/>
              <w:spacing w:before="100" w:after="40"/>
            </w:pPr>
            <w:r>
              <w:rPr>
                <w:rFonts w:eastAsia="Muli" w:cs="Muli" w:asciiTheme="majorHAnsi" w:hAnsiTheme="majorHAnsi"/>
                <w:b/>
                <w:bCs/>
                <w:sz w:val="18"/>
                <w:szCs w:val="18"/>
              </w:rPr>
              <w:t>PART B — TERMS FOR CONSUMERS</w:t>
            </w:r>
          </w:p>
          <w:p w14:paraId="7C3D1345">
            <w:pPr>
              <w:spacing w:before="0" w:after="40"/>
              <w:ind w:left="0"/>
            </w:pPr>
            <w:r>
              <w:rPr>
                <w:rFonts w:eastAsia="Muli" w:cs="Muli" w:asciiTheme="majorHAnsi" w:hAnsiTheme="majorHAnsi"/>
                <w:sz w:val="18"/>
                <w:szCs w:val="18"/>
              </w:rPr>
              <w:t>6.</w:t>
            </w:r>
            <w:r>
              <w:tab/>
            </w:r>
            <w:r>
              <w:rPr>
                <w:rFonts w:eastAsia="Muli" w:cs="Muli" w:asciiTheme="majorHAnsi" w:hAnsiTheme="majorHAnsi"/>
                <w:sz w:val="18"/>
                <w:szCs w:val="18"/>
              </w:rPr>
              <w:t>Browsing, listings, messages and reviews</w:t>
            </w:r>
          </w:p>
          <w:p w14:paraId="28D2B0F5">
            <w:pPr>
              <w:spacing w:before="0" w:after="40"/>
              <w:ind w:left="0"/>
            </w:pPr>
            <w:r>
              <w:rPr>
                <w:rFonts w:eastAsia="Muli" w:cs="Muli" w:asciiTheme="majorHAnsi" w:hAnsiTheme="majorHAnsi"/>
                <w:sz w:val="18"/>
                <w:szCs w:val="18"/>
              </w:rPr>
              <w:t>7.</w:t>
            </w:r>
            <w:r>
              <w:tab/>
            </w:r>
            <w:r>
              <w:rPr>
                <w:rFonts w:eastAsia="Muli" w:cs="Muli" w:asciiTheme="majorHAnsi" w:hAnsiTheme="majorHAnsi"/>
                <w:sz w:val="18"/>
                <w:szCs w:val="18"/>
              </w:rPr>
              <w:t>Orders and the contract of sale</w:t>
            </w:r>
          </w:p>
          <w:p w14:paraId="3B0F545D">
            <w:pPr>
              <w:spacing w:before="0" w:after="40"/>
              <w:ind w:left="0"/>
            </w:pPr>
            <w:r>
              <w:rPr>
                <w:rFonts w:eastAsia="Muli" w:cs="Muli" w:asciiTheme="majorHAnsi" w:hAnsiTheme="majorHAnsi"/>
                <w:sz w:val="18"/>
                <w:szCs w:val="18"/>
              </w:rPr>
              <w:t>8.</w:t>
            </w:r>
            <w:r>
              <w:tab/>
            </w:r>
            <w:r>
              <w:rPr>
                <w:rFonts w:eastAsia="Muli" w:cs="Muli" w:asciiTheme="majorHAnsi" w:hAnsiTheme="majorHAnsi"/>
                <w:sz w:val="18"/>
                <w:szCs w:val="18"/>
              </w:rPr>
              <w:t>Prices, fees and payments</w:t>
            </w:r>
          </w:p>
          <w:p w14:paraId="37BAA7B6">
            <w:pPr>
              <w:spacing w:before="0" w:after="40"/>
              <w:ind w:left="0"/>
            </w:pPr>
            <w:r>
              <w:rPr>
                <w:rFonts w:eastAsia="Muli" w:cs="Muli" w:asciiTheme="majorHAnsi" w:hAnsiTheme="majorHAnsi"/>
                <w:sz w:val="18"/>
                <w:szCs w:val="18"/>
              </w:rPr>
              <w:t>9.</w:t>
            </w:r>
            <w:r>
              <w:tab/>
            </w:r>
            <w:r>
              <w:rPr>
                <w:rFonts w:eastAsia="Muli" w:cs="Muli" w:asciiTheme="majorHAnsi" w:hAnsiTheme="majorHAnsi"/>
                <w:sz w:val="18"/>
                <w:szCs w:val="18"/>
              </w:rPr>
              <w:t>Delivery, collection and risk</w:t>
            </w:r>
          </w:p>
          <w:p w14:paraId="76682E03">
            <w:pPr>
              <w:spacing w:before="0" w:after="40"/>
              <w:ind w:left="0"/>
            </w:pPr>
            <w:r>
              <w:rPr>
                <w:rFonts w:eastAsia="Muli" w:cs="Muli" w:asciiTheme="majorHAnsi" w:hAnsiTheme="majorHAnsi"/>
                <w:sz w:val="18"/>
                <w:szCs w:val="18"/>
              </w:rPr>
              <w:t>10.</w:t>
            </w:r>
            <w:r>
              <w:tab/>
            </w:r>
            <w:r>
              <w:rPr>
                <w:rFonts w:eastAsia="Muli" w:cs="Muli" w:asciiTheme="majorHAnsi" w:hAnsiTheme="majorHAnsi"/>
                <w:sz w:val="18"/>
                <w:szCs w:val="18"/>
              </w:rPr>
              <w:t>Refunds, returns and consumer guarantees</w:t>
            </w:r>
          </w:p>
          <w:p w14:paraId="143AA715">
            <w:pPr>
              <w:spacing w:before="0" w:after="40"/>
              <w:ind w:left="0"/>
            </w:pPr>
            <w:r>
              <w:rPr>
                <w:rFonts w:eastAsia="Muli" w:cs="Muli" w:asciiTheme="majorHAnsi" w:hAnsiTheme="majorHAnsi"/>
                <w:sz w:val="18"/>
                <w:szCs w:val="18"/>
              </w:rPr>
              <w:t>11.</w:t>
            </w:r>
            <w:r>
              <w:tab/>
            </w:r>
            <w:r>
              <w:rPr>
                <w:rFonts w:eastAsia="Muli" w:cs="Muli" w:asciiTheme="majorHAnsi" w:hAnsiTheme="majorHAnsi"/>
                <w:sz w:val="18"/>
                <w:szCs w:val="18"/>
              </w:rPr>
              <w:t>Your safety and your own decisions</w:t>
            </w:r>
          </w:p>
          <w:p w14:paraId="3CEF5F91">
            <w:pPr>
              <w:keepNext/>
              <w:spacing w:before="100" w:after="40"/>
            </w:pPr>
            <w:r>
              <w:rPr>
                <w:rFonts w:eastAsia="Muli" w:cs="Muli" w:asciiTheme="majorHAnsi" w:hAnsiTheme="majorHAnsi"/>
                <w:b/>
                <w:bCs/>
                <w:sz w:val="18"/>
                <w:szCs w:val="18"/>
              </w:rPr>
              <w:t>PART C — TERMS FOR BUSINESSES</w:t>
            </w:r>
          </w:p>
          <w:p w14:paraId="5B0F590A">
            <w:pPr>
              <w:spacing w:before="0" w:after="40"/>
              <w:ind w:left="0"/>
            </w:pPr>
            <w:r>
              <w:rPr>
                <w:rFonts w:eastAsia="Muli" w:cs="Muli" w:asciiTheme="majorHAnsi" w:hAnsiTheme="majorHAnsi"/>
                <w:sz w:val="18"/>
                <w:szCs w:val="18"/>
              </w:rPr>
              <w:t>12.</w:t>
            </w:r>
            <w:r>
              <w:tab/>
            </w:r>
            <w:r>
              <w:rPr>
                <w:rFonts w:eastAsia="Muli" w:cs="Muli" w:asciiTheme="majorHAnsi" w:hAnsiTheme="majorHAnsi"/>
                <w:sz w:val="18"/>
                <w:szCs w:val="18"/>
              </w:rPr>
              <w:t>Business eligibility and warranties</w:t>
            </w:r>
          </w:p>
          <w:p w14:paraId="232B75CC">
            <w:pPr>
              <w:spacing w:before="0" w:after="40"/>
              <w:ind w:left="0"/>
            </w:pPr>
            <w:r>
              <w:rPr>
                <w:rFonts w:eastAsia="Muli" w:cs="Muli" w:asciiTheme="majorHAnsi" w:hAnsiTheme="majorHAnsi"/>
                <w:sz w:val="18"/>
                <w:szCs w:val="18"/>
              </w:rPr>
              <w:t>13.</w:t>
            </w:r>
            <w:r>
              <w:tab/>
            </w:r>
            <w:r>
              <w:rPr>
                <w:rFonts w:eastAsia="Muli" w:cs="Muli" w:asciiTheme="majorHAnsi" w:hAnsiTheme="majorHAnsi"/>
                <w:sz w:val="18"/>
                <w:szCs w:val="18"/>
              </w:rPr>
              <w:t>Business responsibilities as seller</w:t>
            </w:r>
          </w:p>
          <w:p w14:paraId="0B8FA2A3">
            <w:pPr>
              <w:spacing w:before="0" w:after="40"/>
              <w:ind w:left="0"/>
            </w:pPr>
            <w:r>
              <w:rPr>
                <w:rFonts w:eastAsia="Muli" w:cs="Muli" w:asciiTheme="majorHAnsi" w:hAnsiTheme="majorHAnsi"/>
                <w:sz w:val="18"/>
                <w:szCs w:val="18"/>
              </w:rPr>
              <w:t>14.</w:t>
            </w:r>
            <w:r>
              <w:tab/>
            </w:r>
            <w:r>
              <w:rPr>
                <w:rFonts w:eastAsia="Muli" w:cs="Muli" w:asciiTheme="majorHAnsi" w:hAnsiTheme="majorHAnsi"/>
                <w:sz w:val="18"/>
                <w:szCs w:val="18"/>
              </w:rPr>
              <w:t>Business-to-business transactions</w:t>
            </w:r>
          </w:p>
          <w:p w14:paraId="5B0F52F7">
            <w:pPr>
              <w:spacing w:before="0" w:after="40"/>
              <w:ind w:left="0"/>
            </w:pPr>
            <w:r>
              <w:rPr>
                <w:rFonts w:eastAsia="Muli" w:cs="Muli" w:asciiTheme="majorHAnsi" w:hAnsiTheme="majorHAnsi"/>
                <w:sz w:val="18"/>
                <w:szCs w:val="18"/>
              </w:rPr>
              <w:t>15.</w:t>
            </w:r>
            <w:r>
              <w:tab/>
            </w:r>
            <w:r>
              <w:rPr>
                <w:rFonts w:eastAsia="Muli" w:cs="Muli" w:asciiTheme="majorHAnsi" w:hAnsiTheme="majorHAnsi"/>
                <w:sz w:val="18"/>
                <w:szCs w:val="18"/>
              </w:rPr>
              <w:t>Subscriptions, free trials and billing</w:t>
            </w:r>
          </w:p>
          <w:p w14:paraId="0AFC7D53">
            <w:pPr>
              <w:spacing w:before="0" w:after="40"/>
              <w:ind w:left="0"/>
            </w:pPr>
            <w:r>
              <w:rPr>
                <w:rFonts w:eastAsia="Muli" w:cs="Muli" w:asciiTheme="majorHAnsi" w:hAnsiTheme="majorHAnsi"/>
                <w:sz w:val="18"/>
                <w:szCs w:val="18"/>
              </w:rPr>
              <w:t>16.</w:t>
            </w:r>
            <w:r>
              <w:tab/>
            </w:r>
            <w:r>
              <w:rPr>
                <w:rFonts w:eastAsia="Muli" w:cs="Muli" w:asciiTheme="majorHAnsi" w:hAnsiTheme="majorHAnsi"/>
                <w:sz w:val="18"/>
                <w:szCs w:val="18"/>
              </w:rPr>
              <w:t>Payments, payouts, refunds and chargebacks</w:t>
            </w:r>
          </w:p>
          <w:p w14:paraId="3EF2B8FB">
            <w:pPr>
              <w:spacing w:before="0" w:after="40"/>
              <w:ind w:left="0"/>
            </w:pPr>
            <w:r>
              <w:rPr>
                <w:rFonts w:eastAsia="Muli" w:cs="Muli" w:asciiTheme="majorHAnsi" w:hAnsiTheme="majorHAnsi"/>
                <w:sz w:val="18"/>
                <w:szCs w:val="18"/>
              </w:rPr>
              <w:t>17.</w:t>
            </w:r>
            <w:r>
              <w:tab/>
            </w:r>
            <w:r>
              <w:rPr>
                <w:rFonts w:eastAsia="Muli" w:cs="Muli" w:asciiTheme="majorHAnsi" w:hAnsiTheme="majorHAnsi"/>
                <w:sz w:val="18"/>
                <w:szCs w:val="18"/>
              </w:rPr>
              <w:t>Listings and Advertising Content</w:t>
            </w:r>
          </w:p>
          <w:p w14:paraId="2D7E65E0">
            <w:pPr>
              <w:spacing w:before="0" w:after="40"/>
              <w:ind w:left="0"/>
            </w:pPr>
            <w:r>
              <w:rPr>
                <w:rFonts w:eastAsia="Muli" w:cs="Muli" w:asciiTheme="majorHAnsi" w:hAnsiTheme="majorHAnsi"/>
                <w:sz w:val="18"/>
                <w:szCs w:val="18"/>
              </w:rPr>
              <w:t>18.</w:t>
            </w:r>
            <w:r>
              <w:tab/>
            </w:r>
            <w:r>
              <w:rPr>
                <w:rFonts w:eastAsia="Muli" w:cs="Muli" w:asciiTheme="majorHAnsi" w:hAnsiTheme="majorHAnsi"/>
                <w:sz w:val="18"/>
                <w:szCs w:val="18"/>
              </w:rPr>
              <w:t>Product safety, recalls and regulated goods</w:t>
            </w:r>
          </w:p>
          <w:p w14:paraId="76DF8C07">
            <w:pPr>
              <w:spacing w:before="0" w:after="40"/>
              <w:ind w:left="0"/>
            </w:pPr>
            <w:r>
              <w:rPr>
                <w:rFonts w:eastAsia="Muli" w:cs="Muli" w:asciiTheme="majorHAnsi" w:hAnsiTheme="majorHAnsi"/>
                <w:sz w:val="18"/>
                <w:szCs w:val="18"/>
              </w:rPr>
              <w:t>19.</w:t>
            </w:r>
            <w:r>
              <w:tab/>
            </w:r>
            <w:r>
              <w:rPr>
                <w:rFonts w:eastAsia="Muli" w:cs="Muli" w:asciiTheme="majorHAnsi" w:hAnsiTheme="majorHAnsi"/>
                <w:sz w:val="18"/>
                <w:szCs w:val="18"/>
              </w:rPr>
              <w:t>Consumer data and privacy obligations</w:t>
            </w:r>
          </w:p>
          <w:p w14:paraId="4A6FE005">
            <w:pPr>
              <w:spacing w:before="0" w:after="40"/>
              <w:ind w:left="0"/>
            </w:pPr>
            <w:r>
              <w:rPr>
                <w:rFonts w:eastAsia="Muli" w:cs="Muli" w:asciiTheme="majorHAnsi" w:hAnsiTheme="majorHAnsi"/>
                <w:sz w:val="18"/>
                <w:szCs w:val="18"/>
              </w:rPr>
              <w:t>20.</w:t>
            </w:r>
            <w:r>
              <w:tab/>
            </w:r>
            <w:r>
              <w:rPr>
                <w:rFonts w:eastAsia="Muli" w:cs="Muli" w:asciiTheme="majorHAnsi" w:hAnsiTheme="majorHAnsi"/>
                <w:sz w:val="18"/>
                <w:szCs w:val="18"/>
              </w:rPr>
              <w:t>Fair dealing, competition and anti-circumvention</w:t>
            </w:r>
          </w:p>
          <w:p w14:paraId="3DC10EA3">
            <w:pPr>
              <w:spacing w:before="0" w:after="40"/>
              <w:ind w:left="0"/>
            </w:pPr>
            <w:r>
              <w:rPr>
                <w:rFonts w:eastAsia="Muli" w:cs="Muli" w:asciiTheme="majorHAnsi" w:hAnsiTheme="majorHAnsi"/>
                <w:sz w:val="18"/>
                <w:szCs w:val="18"/>
              </w:rPr>
              <w:t>21.</w:t>
            </w:r>
            <w:r>
              <w:tab/>
            </w:r>
            <w:r>
              <w:rPr>
                <w:rFonts w:eastAsia="Muli" w:cs="Muli" w:asciiTheme="majorHAnsi" w:hAnsiTheme="majorHAnsi"/>
                <w:sz w:val="18"/>
                <w:szCs w:val="18"/>
              </w:rPr>
              <w:t>Insurance and records</w:t>
            </w:r>
          </w:p>
          <w:p w14:paraId="6DD8B91A">
            <w:pPr>
              <w:spacing w:before="0" w:after="40"/>
              <w:ind w:left="0"/>
            </w:pPr>
            <w:r>
              <w:rPr>
                <w:rFonts w:eastAsia="Muli" w:cs="Muli" w:asciiTheme="majorHAnsi" w:hAnsiTheme="majorHAnsi"/>
                <w:sz w:val="18"/>
                <w:szCs w:val="18"/>
              </w:rPr>
              <w:t>22.</w:t>
            </w:r>
            <w:r>
              <w:tab/>
            </w:r>
            <w:r>
              <w:rPr>
                <w:rFonts w:eastAsia="Muli" w:cs="Muli" w:asciiTheme="majorHAnsi" w:hAnsiTheme="majorHAnsi"/>
                <w:sz w:val="18"/>
                <w:szCs w:val="18"/>
              </w:rPr>
              <w:t>AMAPP — independent-business participation</w:t>
            </w:r>
          </w:p>
        </w:tc>
        <w:tc>
          <w:tcPr>
            <w:tcW w:w="4513" w:type="dxa"/>
          </w:tcPr>
          <w:p w14:paraId="7CC71C4C">
            <w:pPr>
              <w:keepNext/>
              <w:spacing w:before="100" w:after="40"/>
            </w:pPr>
            <w:r>
              <w:rPr>
                <w:rFonts w:eastAsia="Muli" w:cs="Muli" w:asciiTheme="majorHAnsi" w:hAnsiTheme="majorHAnsi"/>
                <w:b/>
                <w:bCs/>
                <w:sz w:val="18"/>
                <w:szCs w:val="18"/>
              </w:rPr>
              <w:t>PART D — CONTENT AND INTELLECTUAL PROPERTY</w:t>
            </w:r>
          </w:p>
          <w:p w14:paraId="173DEDFC">
            <w:pPr>
              <w:spacing w:before="0" w:after="40"/>
              <w:ind w:left="0"/>
            </w:pPr>
            <w:r>
              <w:rPr>
                <w:rFonts w:eastAsia="Muli" w:cs="Muli" w:asciiTheme="majorHAnsi" w:hAnsiTheme="majorHAnsi"/>
                <w:sz w:val="18"/>
                <w:szCs w:val="18"/>
              </w:rPr>
              <w:t>23.</w:t>
            </w:r>
            <w:r>
              <w:tab/>
            </w:r>
            <w:r>
              <w:rPr>
                <w:rFonts w:eastAsia="Muli" w:cs="Muli" w:asciiTheme="majorHAnsi" w:hAnsiTheme="majorHAnsi"/>
                <w:sz w:val="18"/>
                <w:szCs w:val="18"/>
              </w:rPr>
              <w:t>TWCW’s intellectual property</w:t>
            </w:r>
          </w:p>
          <w:p w14:paraId="4E74C9BA">
            <w:pPr>
              <w:spacing w:before="0" w:after="40"/>
              <w:ind w:left="0"/>
            </w:pPr>
            <w:r>
              <w:rPr>
                <w:rFonts w:eastAsia="Muli" w:cs="Muli" w:asciiTheme="majorHAnsi" w:hAnsiTheme="majorHAnsi"/>
                <w:sz w:val="18"/>
                <w:szCs w:val="18"/>
              </w:rPr>
              <w:t>24.</w:t>
            </w:r>
            <w:r>
              <w:tab/>
            </w:r>
            <w:r>
              <w:rPr>
                <w:rFonts w:eastAsia="Muli" w:cs="Muli" w:asciiTheme="majorHAnsi" w:hAnsiTheme="majorHAnsi"/>
                <w:sz w:val="18"/>
                <w:szCs w:val="18"/>
              </w:rPr>
              <w:t>Your content and the licence you give us</w:t>
            </w:r>
          </w:p>
          <w:p w14:paraId="3B81F277">
            <w:pPr>
              <w:spacing w:before="0" w:after="40"/>
              <w:ind w:left="0"/>
            </w:pPr>
            <w:r>
              <w:rPr>
                <w:rFonts w:eastAsia="Muli" w:cs="Muli" w:asciiTheme="majorHAnsi" w:hAnsiTheme="majorHAnsi"/>
                <w:sz w:val="18"/>
                <w:szCs w:val="18"/>
              </w:rPr>
              <w:t>25.</w:t>
            </w:r>
            <w:r>
              <w:tab/>
            </w:r>
            <w:r>
              <w:rPr>
                <w:rFonts w:eastAsia="Muli" w:cs="Muli" w:asciiTheme="majorHAnsi" w:hAnsiTheme="majorHAnsi"/>
                <w:sz w:val="18"/>
                <w:szCs w:val="18"/>
              </w:rPr>
              <w:t>Intellectual property complaints and takedowns</w:t>
            </w:r>
          </w:p>
          <w:p w14:paraId="4B5358DD">
            <w:pPr>
              <w:spacing w:before="0" w:after="40"/>
              <w:ind w:left="0"/>
            </w:pPr>
            <w:r>
              <w:rPr>
                <w:rFonts w:eastAsia="Muli" w:cs="Muli" w:asciiTheme="majorHAnsi" w:hAnsiTheme="majorHAnsi"/>
                <w:sz w:val="18"/>
                <w:szCs w:val="18"/>
              </w:rPr>
              <w:t>26.</w:t>
            </w:r>
            <w:r>
              <w:tab/>
            </w:r>
            <w:r>
              <w:rPr>
                <w:rFonts w:eastAsia="Muli" w:cs="Muli" w:asciiTheme="majorHAnsi" w:hAnsiTheme="majorHAnsi"/>
                <w:sz w:val="18"/>
                <w:szCs w:val="18"/>
              </w:rPr>
              <w:t>Reporting, moderation and online safety</w:t>
            </w:r>
          </w:p>
          <w:p w14:paraId="324B2BEF">
            <w:pPr>
              <w:spacing w:before="0" w:after="40"/>
              <w:ind w:left="0"/>
            </w:pPr>
            <w:r>
              <w:rPr>
                <w:rFonts w:eastAsia="Muli" w:cs="Muli" w:asciiTheme="majorHAnsi" w:hAnsiTheme="majorHAnsi"/>
                <w:sz w:val="18"/>
                <w:szCs w:val="18"/>
              </w:rPr>
              <w:t>27.</w:t>
            </w:r>
            <w:r>
              <w:tab/>
            </w:r>
            <w:r>
              <w:rPr>
                <w:rFonts w:eastAsia="Muli" w:cs="Muli" w:asciiTheme="majorHAnsi" w:hAnsiTheme="majorHAnsi"/>
                <w:sz w:val="18"/>
                <w:szCs w:val="18"/>
              </w:rPr>
              <w:t>Feedback</w:t>
            </w:r>
          </w:p>
          <w:p w14:paraId="34DD61A9">
            <w:pPr>
              <w:keepNext/>
              <w:spacing w:before="100" w:after="40"/>
            </w:pPr>
            <w:r>
              <w:rPr>
                <w:rFonts w:eastAsia="Muli" w:cs="Muli" w:asciiTheme="majorHAnsi" w:hAnsiTheme="majorHAnsi"/>
                <w:b/>
                <w:bCs/>
                <w:sz w:val="18"/>
                <w:szCs w:val="18"/>
              </w:rPr>
              <w:t>PART E — LEGAL TERMS</w:t>
            </w:r>
          </w:p>
          <w:p w14:paraId="423156DE">
            <w:pPr>
              <w:spacing w:before="0" w:after="40"/>
              <w:ind w:left="0"/>
            </w:pPr>
            <w:r>
              <w:rPr>
                <w:rFonts w:eastAsia="Muli" w:cs="Muli" w:asciiTheme="majorHAnsi" w:hAnsiTheme="majorHAnsi"/>
                <w:sz w:val="18"/>
                <w:szCs w:val="18"/>
              </w:rPr>
              <w:t>28.</w:t>
            </w:r>
            <w:r>
              <w:tab/>
            </w:r>
            <w:r>
              <w:rPr>
                <w:rFonts w:eastAsia="Muli" w:cs="Muli" w:asciiTheme="majorHAnsi" w:hAnsiTheme="majorHAnsi"/>
                <w:sz w:val="18"/>
                <w:szCs w:val="18"/>
              </w:rPr>
              <w:t>Confidentiality</w:t>
            </w:r>
          </w:p>
          <w:p w14:paraId="207684CD">
            <w:pPr>
              <w:spacing w:before="0" w:after="40"/>
              <w:ind w:left="0"/>
            </w:pPr>
            <w:r>
              <w:rPr>
                <w:rFonts w:eastAsia="Muli" w:cs="Muli" w:asciiTheme="majorHAnsi" w:hAnsiTheme="majorHAnsi"/>
                <w:sz w:val="18"/>
                <w:szCs w:val="18"/>
              </w:rPr>
              <w:t>29.</w:t>
            </w:r>
            <w:r>
              <w:tab/>
            </w:r>
            <w:r>
              <w:rPr>
                <w:rFonts w:eastAsia="Muli" w:cs="Muli" w:asciiTheme="majorHAnsi" w:hAnsiTheme="majorHAnsi"/>
                <w:sz w:val="18"/>
                <w:szCs w:val="18"/>
              </w:rPr>
              <w:t>Privacy, data and security</w:t>
            </w:r>
          </w:p>
          <w:p w14:paraId="1B047B6B">
            <w:pPr>
              <w:spacing w:before="0" w:after="40"/>
              <w:ind w:left="0"/>
            </w:pPr>
            <w:r>
              <w:rPr>
                <w:rFonts w:eastAsia="Muli" w:cs="Muli" w:asciiTheme="majorHAnsi" w:hAnsiTheme="majorHAnsi"/>
                <w:sz w:val="18"/>
                <w:szCs w:val="18"/>
              </w:rPr>
              <w:t>30.</w:t>
            </w:r>
            <w:r>
              <w:tab/>
            </w:r>
            <w:r>
              <w:rPr>
                <w:rFonts w:eastAsia="Muli" w:cs="Muli" w:asciiTheme="majorHAnsi" w:hAnsiTheme="majorHAnsi"/>
                <w:sz w:val="18"/>
                <w:szCs w:val="18"/>
              </w:rPr>
              <w:t>Third parties, availability and future features</w:t>
            </w:r>
          </w:p>
          <w:p w14:paraId="13A3D111">
            <w:pPr>
              <w:spacing w:before="0" w:after="40"/>
              <w:ind w:left="0"/>
            </w:pPr>
            <w:r>
              <w:rPr>
                <w:rFonts w:eastAsia="Muli" w:cs="Muli" w:asciiTheme="majorHAnsi" w:hAnsiTheme="majorHAnsi"/>
                <w:sz w:val="18"/>
                <w:szCs w:val="18"/>
              </w:rPr>
              <w:t>31.</w:t>
            </w:r>
            <w:r>
              <w:tab/>
            </w:r>
            <w:r>
              <w:rPr>
                <w:rFonts w:eastAsia="Muli" w:cs="Muli" w:asciiTheme="majorHAnsi" w:hAnsiTheme="majorHAnsi"/>
                <w:sz w:val="18"/>
                <w:szCs w:val="18"/>
              </w:rPr>
              <w:t>Mobile apps</w:t>
            </w:r>
          </w:p>
          <w:p w14:paraId="77FBBD2A">
            <w:pPr>
              <w:spacing w:before="0" w:after="40"/>
              <w:ind w:left="0"/>
            </w:pPr>
            <w:r>
              <w:rPr>
                <w:rFonts w:eastAsia="Muli" w:cs="Muli" w:asciiTheme="majorHAnsi" w:hAnsiTheme="majorHAnsi"/>
                <w:sz w:val="18"/>
                <w:szCs w:val="18"/>
              </w:rPr>
              <w:t>32.</w:t>
            </w:r>
            <w:r>
              <w:tab/>
            </w:r>
            <w:r>
              <w:rPr>
                <w:rFonts w:eastAsia="Muli" w:cs="Muli" w:asciiTheme="majorHAnsi" w:hAnsiTheme="majorHAnsi"/>
                <w:sz w:val="18"/>
                <w:szCs w:val="18"/>
              </w:rPr>
              <w:t>Suspension, termination and what survives</w:t>
            </w:r>
          </w:p>
          <w:p w14:paraId="27AC2434">
            <w:pPr>
              <w:spacing w:before="0" w:after="40"/>
              <w:ind w:left="0"/>
            </w:pPr>
            <w:r>
              <w:rPr>
                <w:rFonts w:eastAsia="Muli" w:cs="Muli" w:asciiTheme="majorHAnsi" w:hAnsiTheme="majorHAnsi"/>
                <w:sz w:val="18"/>
                <w:szCs w:val="18"/>
              </w:rPr>
              <w:t>33.</w:t>
            </w:r>
            <w:r>
              <w:tab/>
            </w:r>
            <w:r>
              <w:rPr>
                <w:rFonts w:eastAsia="Muli" w:cs="Muli" w:asciiTheme="majorHAnsi" w:hAnsiTheme="majorHAnsi"/>
                <w:sz w:val="18"/>
                <w:szCs w:val="18"/>
              </w:rPr>
              <w:t>Liability</w:t>
            </w:r>
          </w:p>
          <w:p w14:paraId="1D41612F">
            <w:pPr>
              <w:spacing w:before="0" w:after="40"/>
              <w:ind w:left="0"/>
            </w:pPr>
            <w:r>
              <w:rPr>
                <w:rFonts w:eastAsia="Muli" w:cs="Muli" w:asciiTheme="majorHAnsi" w:hAnsiTheme="majorHAnsi"/>
                <w:sz w:val="18"/>
                <w:szCs w:val="18"/>
              </w:rPr>
              <w:t>34.</w:t>
            </w:r>
            <w:r>
              <w:tab/>
            </w:r>
            <w:r>
              <w:rPr>
                <w:rFonts w:eastAsia="Muli" w:cs="Muli" w:asciiTheme="majorHAnsi" w:hAnsiTheme="majorHAnsi"/>
                <w:sz w:val="18"/>
                <w:szCs w:val="18"/>
              </w:rPr>
              <w:t>Indemnities</w:t>
            </w:r>
          </w:p>
          <w:p w14:paraId="132B2780">
            <w:pPr>
              <w:spacing w:before="0" w:after="40"/>
              <w:ind w:left="0"/>
            </w:pPr>
            <w:r>
              <w:rPr>
                <w:rFonts w:eastAsia="Muli" w:cs="Muli" w:asciiTheme="majorHAnsi" w:hAnsiTheme="majorHAnsi"/>
                <w:sz w:val="18"/>
                <w:szCs w:val="18"/>
              </w:rPr>
              <w:t>35.</w:t>
            </w:r>
            <w:r>
              <w:tab/>
            </w:r>
            <w:r>
              <w:rPr>
                <w:rFonts w:eastAsia="Muli" w:cs="Muli" w:asciiTheme="majorHAnsi" w:hAnsiTheme="majorHAnsi"/>
                <w:sz w:val="18"/>
                <w:szCs w:val="18"/>
              </w:rPr>
              <w:t>Complaints and dispute resolution</w:t>
            </w:r>
          </w:p>
          <w:p w14:paraId="65FCD849">
            <w:pPr>
              <w:spacing w:before="0" w:after="40"/>
              <w:ind w:left="0"/>
            </w:pPr>
            <w:r>
              <w:rPr>
                <w:rFonts w:eastAsia="Muli" w:cs="Muli" w:asciiTheme="majorHAnsi" w:hAnsiTheme="majorHAnsi"/>
                <w:sz w:val="18"/>
                <w:szCs w:val="18"/>
              </w:rPr>
              <w:t>36.</w:t>
            </w:r>
            <w:r>
              <w:tab/>
            </w:r>
            <w:r>
              <w:rPr>
                <w:rFonts w:eastAsia="Muli" w:cs="Muli" w:asciiTheme="majorHAnsi" w:hAnsiTheme="majorHAnsi"/>
                <w:sz w:val="18"/>
                <w:szCs w:val="18"/>
              </w:rPr>
              <w:t>Regulators, legal requests and record retention</w:t>
            </w:r>
          </w:p>
          <w:p w14:paraId="34575482">
            <w:pPr>
              <w:spacing w:before="0" w:after="40"/>
              <w:ind w:left="0"/>
            </w:pPr>
            <w:r>
              <w:rPr>
                <w:rFonts w:eastAsia="Muli" w:cs="Muli" w:asciiTheme="majorHAnsi" w:hAnsiTheme="majorHAnsi"/>
                <w:sz w:val="18"/>
                <w:szCs w:val="18"/>
              </w:rPr>
              <w:t>37.</w:t>
            </w:r>
            <w:r>
              <w:tab/>
            </w:r>
            <w:r>
              <w:rPr>
                <w:rFonts w:eastAsia="Muli" w:cs="Muli" w:asciiTheme="majorHAnsi" w:hAnsiTheme="majorHAnsi"/>
                <w:sz w:val="18"/>
                <w:szCs w:val="18"/>
              </w:rPr>
              <w:t>Changes to these Terms</w:t>
            </w:r>
          </w:p>
          <w:p w14:paraId="7E771807">
            <w:pPr>
              <w:spacing w:before="0" w:after="40"/>
              <w:ind w:left="0"/>
            </w:pPr>
            <w:r>
              <w:rPr>
                <w:rFonts w:eastAsia="Muli" w:cs="Muli" w:asciiTheme="majorHAnsi" w:hAnsiTheme="majorHAnsi"/>
                <w:sz w:val="18"/>
                <w:szCs w:val="18"/>
              </w:rPr>
              <w:t>38.</w:t>
            </w:r>
            <w:r>
              <w:tab/>
            </w:r>
            <w:r>
              <w:rPr>
                <w:rFonts w:eastAsia="Muli" w:cs="Muli" w:asciiTheme="majorHAnsi" w:hAnsiTheme="majorHAnsi"/>
                <w:sz w:val="18"/>
                <w:szCs w:val="18"/>
              </w:rPr>
              <w:t>General</w:t>
            </w:r>
          </w:p>
          <w:p w14:paraId="5EF89C9B">
            <w:pPr>
              <w:spacing w:before="0" w:after="40"/>
              <w:ind w:left="0"/>
            </w:pPr>
            <w:r>
              <w:rPr>
                <w:rFonts w:eastAsia="Muli" w:cs="Muli" w:asciiTheme="majorHAnsi" w:hAnsiTheme="majorHAnsi"/>
                <w:sz w:val="18"/>
                <w:szCs w:val="18"/>
              </w:rPr>
              <w:t>39.</w:t>
            </w:r>
            <w:r>
              <w:tab/>
            </w:r>
            <w:r>
              <w:rPr>
                <w:rFonts w:eastAsia="Muli" w:cs="Muli" w:asciiTheme="majorHAnsi" w:hAnsiTheme="majorHAnsi"/>
                <w:sz w:val="18"/>
                <w:szCs w:val="18"/>
              </w:rPr>
              <w:t>Contact details</w:t>
            </w:r>
          </w:p>
          <w:p w14:paraId="23A51BEF">
            <w:pPr>
              <w:spacing w:before="0" w:after="40"/>
            </w:pPr>
            <w:r>
              <w:rPr>
                <w:rFonts w:eastAsia="Muli" w:cs="Muli" w:asciiTheme="majorHAnsi" w:hAnsiTheme="majorHAnsi"/>
                <w:sz w:val="18"/>
                <w:szCs w:val="18"/>
              </w:rPr>
              <w:t>Acceptance Panel</w:t>
            </w:r>
          </w:p>
          <w:p w14:paraId="45E84380">
            <w:pPr>
              <w:keepNext/>
              <w:spacing w:before="100" w:after="40"/>
            </w:pPr>
            <w:r>
              <w:rPr>
                <w:rFonts w:eastAsia="Muli" w:cs="Muli" w:asciiTheme="majorHAnsi" w:hAnsiTheme="majorHAnsi"/>
                <w:b/>
                <w:bCs/>
                <w:sz w:val="18"/>
                <w:szCs w:val="18"/>
              </w:rPr>
              <w:t>SCHEDULES</w:t>
            </w:r>
          </w:p>
          <w:p w14:paraId="4A3C10EC">
            <w:pPr>
              <w:spacing w:before="0" w:after="40"/>
            </w:pPr>
            <w:r>
              <w:rPr>
                <w:rFonts w:eastAsia="Muli" w:cs="Muli" w:asciiTheme="majorHAnsi" w:hAnsiTheme="majorHAnsi"/>
                <w:sz w:val="18"/>
                <w:szCs w:val="18"/>
              </w:rPr>
              <w:t>Schedule 1: Business plans and fees</w:t>
            </w:r>
          </w:p>
          <w:p w14:paraId="54CF53C6">
            <w:pPr>
              <w:spacing w:before="0" w:after="40"/>
            </w:pPr>
            <w:r>
              <w:rPr>
                <w:rFonts w:eastAsia="Muli" w:cs="Muli" w:asciiTheme="majorHAnsi" w:hAnsiTheme="majorHAnsi"/>
                <w:sz w:val="18"/>
                <w:szCs w:val="18"/>
              </w:rPr>
              <w:t>Schedule 2: Required Business disclosures and marketplace notices</w:t>
            </w:r>
          </w:p>
          <w:p w14:paraId="50B962F6">
            <w:pPr>
              <w:spacing w:before="0" w:after="40"/>
            </w:pPr>
            <w:r>
              <w:rPr>
                <w:rFonts w:eastAsia="Muli" w:cs="Muli" w:asciiTheme="majorHAnsi" w:hAnsiTheme="majorHAnsi"/>
                <w:sz w:val="18"/>
                <w:szCs w:val="18"/>
              </w:rPr>
              <w:t>Schedule 3: Cookie and Tracking Policy</w:t>
            </w:r>
          </w:p>
        </w:tc>
      </w:tr>
    </w:tbl>
    <w:p w14:paraId="4B0388C1">
      <w:r>
        <w:br w:type="page"/>
      </w:r>
    </w:p>
    <w:p w14:paraId="3B29A098">
      <w:pPr>
        <w:jc w:val="center"/>
        <w:rPr>
          <w:rFonts w:ascii="Arial" w:hAnsi="Arial" w:eastAsia="Segoe UI" w:cs="Arial"/>
          <w:color w:val="000000"/>
          <w:szCs w:val="18"/>
          <w:lang w:val="en-US"/>
        </w:rPr>
      </w:pPr>
      <w:r>
        <w:rPr>
          <w:rFonts w:ascii="Arial" w:hAnsi="Arial" w:eastAsia="Segoe UI" w:cs="Arial"/>
          <w:b/>
          <w:bCs/>
          <w:color w:val="000000"/>
          <w:szCs w:val="18"/>
        </w:rPr>
        <w:t>TERMS AND CONDITIONS</w:t>
      </w:r>
    </w:p>
    <w:p w14:paraId="33DBEAC1">
      <w:pPr>
        <w:keepNext/>
        <w:pBdr>
          <w:bottom w:val="single" w:color="404040" w:sz="6" w:space="4"/>
        </w:pBdr>
        <w:spacing w:before="480" w:after="160"/>
        <w:jc w:val="center"/>
      </w:pPr>
      <w:r>
        <w:rPr>
          <w:rFonts w:eastAsia="Muli" w:cs="Muli" w:asciiTheme="majorHAnsi" w:hAnsiTheme="majorHAnsi"/>
          <w:b/>
          <w:bCs/>
          <w:spacing w:val="20"/>
          <w:sz w:val="20"/>
          <w:szCs w:val="20"/>
        </w:rPr>
        <w:t>PART A — GENERAL TERMS FOR EVERYONE</w:t>
      </w:r>
    </w:p>
    <w:p w14:paraId="62A296B7">
      <w:pPr>
        <w:pStyle w:val="20"/>
        <w:keepNext/>
        <w:numPr>
          <w:ilvl w:val="0"/>
          <w:numId w:val="3"/>
        </w:numPr>
        <w:spacing w:before="300" w:after="140"/>
        <w:contextualSpacing w:val="0"/>
        <w:rPr>
          <w:rFonts w:eastAsia="Muli" w:cs="Muli" w:asciiTheme="majorHAnsi" w:hAnsiTheme="majorHAnsi"/>
          <w:b/>
          <w:bCs/>
          <w:spacing w:val="20"/>
          <w:sz w:val="20"/>
          <w:szCs w:val="20"/>
          <w:u w:val="single"/>
        </w:rPr>
      </w:pPr>
      <w:r>
        <w:rPr>
          <w:rFonts w:eastAsia="Muli" w:cs="Muli" w:asciiTheme="majorHAnsi" w:hAnsiTheme="majorHAnsi"/>
          <w:b/>
          <w:bCs/>
          <w:spacing w:val="20"/>
          <w:sz w:val="20"/>
          <w:szCs w:val="20"/>
          <w:u w:val="single"/>
        </w:rPr>
        <w:t>ABOUT THESE TERMS AND OUR ROLE</w:t>
      </w:r>
    </w:p>
    <w:p w14:paraId="0ABEEBDD">
      <w:pPr>
        <w:pStyle w:val="20"/>
        <w:numPr>
          <w:ilvl w:val="1"/>
          <w:numId w:val="3"/>
        </w:numPr>
        <w:spacing w:before="0" w:after="140"/>
        <w:contextualSpacing w:val="0"/>
      </w:pPr>
      <w:r>
        <w:rPr>
          <w:rFonts w:eastAsia="Muli" w:cs="Muli" w:asciiTheme="majorHAnsi" w:hAnsiTheme="majorHAnsi"/>
          <w:b/>
          <w:bCs/>
          <w:sz w:val="20"/>
          <w:szCs w:val="20"/>
        </w:rPr>
        <w:t xml:space="preserve">Who we are. </w:t>
      </w:r>
      <w:r>
        <w:rPr>
          <w:rFonts w:eastAsia="Muli" w:cs="Muli" w:asciiTheme="majorHAnsi" w:hAnsiTheme="majorHAnsi"/>
          <w:sz w:val="20"/>
          <w:szCs w:val="20"/>
        </w:rPr>
        <w:t xml:space="preserve">These Terms are an agreement between you and </w:t>
      </w:r>
      <w:r>
        <w:rPr>
          <w:rFonts w:eastAsia="Muli" w:cs="Muli" w:asciiTheme="majorHAnsi" w:hAnsiTheme="majorHAnsi"/>
          <w:b/>
          <w:bCs/>
          <w:sz w:val="20"/>
          <w:szCs w:val="20"/>
        </w:rPr>
        <w:t>TWCW Pty Ltd</w:t>
      </w:r>
      <w:r>
        <w:rPr>
          <w:rFonts w:eastAsia="Muli" w:cs="Muli" w:asciiTheme="majorHAnsi" w:hAnsiTheme="majorHAnsi"/>
          <w:sz w:val="20"/>
          <w:szCs w:val="20"/>
        </w:rPr>
        <w:t xml:space="preserve"> ACN 665 682 324, ABN </w:t>
      </w:r>
      <w:r>
        <w:rPr>
          <w:rFonts w:hint="default" w:eastAsia="Muli" w:cs="Muli" w:asciiTheme="majorHAnsi" w:hAnsiTheme="majorHAnsi"/>
          <w:sz w:val="20"/>
          <w:szCs w:val="20"/>
          <w:lang w:val="en-US"/>
        </w:rPr>
        <w:t xml:space="preserve">49 </w:t>
      </w:r>
      <w:r>
        <w:rPr>
          <w:rFonts w:ascii="Calibri Light" w:hAnsi="Calibri Light" w:eastAsia="Calibri" w:cs="Calibri Light"/>
          <w:color w:val="363636"/>
          <w:sz w:val="19"/>
          <w:szCs w:val="19"/>
        </w:rPr>
        <w:t>665 682 324</w:t>
      </w:r>
      <w:r>
        <w:rPr>
          <w:rFonts w:eastAsia="Muli" w:cs="Muli" w:asciiTheme="majorHAnsi" w:hAnsiTheme="majorHAnsi"/>
          <w:sz w:val="20"/>
          <w:szCs w:val="20"/>
        </w:rPr>
        <w:t>(</w:t>
      </w:r>
      <w:r>
        <w:rPr>
          <w:rFonts w:eastAsia="Muli" w:cs="Muli" w:asciiTheme="majorHAnsi" w:hAnsiTheme="majorHAnsi"/>
          <w:b/>
          <w:bCs/>
          <w:sz w:val="20"/>
          <w:szCs w:val="20"/>
        </w:rPr>
        <w:t>TWCW</w:t>
      </w:r>
      <w:r>
        <w:rPr>
          <w:rFonts w:eastAsia="Muli" w:cs="Muli" w:asciiTheme="majorHAnsi" w:hAnsiTheme="majorHAnsi"/>
          <w:sz w:val="20"/>
          <w:szCs w:val="20"/>
        </w:rPr>
        <w:t xml:space="preserve">, </w:t>
      </w:r>
      <w:r>
        <w:rPr>
          <w:rFonts w:eastAsia="Muli" w:cs="Muli" w:asciiTheme="majorHAnsi" w:hAnsiTheme="majorHAnsi"/>
          <w:b/>
          <w:bCs/>
          <w:sz w:val="20"/>
          <w:szCs w:val="20"/>
        </w:rPr>
        <w:t>we</w:t>
      </w:r>
      <w:r>
        <w:rPr>
          <w:rFonts w:eastAsia="Muli" w:cs="Muli" w:asciiTheme="majorHAnsi" w:hAnsiTheme="majorHAnsi"/>
          <w:sz w:val="20"/>
          <w:szCs w:val="20"/>
        </w:rPr>
        <w:t xml:space="preserve">, </w:t>
      </w:r>
      <w:r>
        <w:rPr>
          <w:rFonts w:eastAsia="Muli" w:cs="Muli" w:asciiTheme="majorHAnsi" w:hAnsiTheme="majorHAnsi"/>
          <w:b/>
          <w:bCs/>
          <w:sz w:val="20"/>
          <w:szCs w:val="20"/>
        </w:rPr>
        <w:t>us</w:t>
      </w:r>
      <w:r>
        <w:rPr>
          <w:rFonts w:eastAsia="Muli" w:cs="Muli" w:asciiTheme="majorHAnsi" w:hAnsiTheme="majorHAnsi"/>
          <w:sz w:val="20"/>
          <w:szCs w:val="20"/>
        </w:rPr>
        <w:t>). “1Stop” is a trading name and brand of TWCW. It is not a separate legal entity. Every right, obligation and liability of the Platform operator under these Terms belongs to TWCW alone, and cannot be asserted against or imposed on any independent Business merely because that Business uses the Platform.</w:t>
      </w:r>
    </w:p>
    <w:p w14:paraId="5CA40BF8">
      <w:pPr>
        <w:pStyle w:val="20"/>
        <w:numPr>
          <w:ilvl w:val="1"/>
          <w:numId w:val="3"/>
        </w:numPr>
        <w:spacing w:before="0" w:after="140"/>
        <w:contextualSpacing w:val="0"/>
      </w:pPr>
      <w:r>
        <w:rPr>
          <w:rFonts w:eastAsia="Muli" w:cs="Muli" w:asciiTheme="majorHAnsi" w:hAnsiTheme="majorHAnsi"/>
          <w:b/>
          <w:bCs/>
          <w:sz w:val="20"/>
          <w:szCs w:val="20"/>
        </w:rPr>
        <w:t xml:space="preserve">What the Platform is. </w:t>
      </w:r>
      <w:r>
        <w:rPr>
          <w:rFonts w:eastAsia="Muli" w:cs="Muli" w:asciiTheme="majorHAnsi" w:hAnsiTheme="majorHAnsi"/>
          <w:sz w:val="20"/>
          <w:szCs w:val="20"/>
        </w:rPr>
        <w:t>The Platform is an online marketplace and discovery service. It lets independently owned Businesses publish listings and advertising (including video) for a flat Subscription instead of cost-per-click bidding, and lets Consumers find, contact and buy from those Businesses. The Platform includes the 1Stop consumer app, the 1Stop business app, the website at https://www.theonenetwork.org, the administration tools we use to run them, and every feature, tool, message, listing, checkout, order-management, analytics or integration service we make available through them.</w:t>
      </w:r>
    </w:p>
    <w:p w14:paraId="41DA8625">
      <w:pPr>
        <w:pStyle w:val="20"/>
        <w:numPr>
          <w:ilvl w:val="1"/>
          <w:numId w:val="3"/>
        </w:numPr>
        <w:spacing w:before="0" w:after="140"/>
        <w:contextualSpacing w:val="0"/>
      </w:pPr>
      <w:r>
        <w:rPr>
          <w:rFonts w:eastAsia="Muli" w:cs="Muli" w:asciiTheme="majorHAnsi" w:hAnsiTheme="majorHAnsi"/>
          <w:b/>
          <w:bCs/>
          <w:sz w:val="20"/>
          <w:szCs w:val="20"/>
        </w:rPr>
        <w:t xml:space="preserve">Our role: intermediary only. </w:t>
      </w:r>
      <w:r>
        <w:rPr>
          <w:rFonts w:eastAsia="Muli" w:cs="Muli" w:asciiTheme="majorHAnsi" w:hAnsiTheme="majorHAnsi"/>
          <w:sz w:val="20"/>
          <w:szCs w:val="20"/>
        </w:rPr>
        <w:t>Please read this clause carefully. It is fundamental to how the Platform works.</w:t>
      </w:r>
    </w:p>
    <w:p w14:paraId="6E92BB2B">
      <w:pPr>
        <w:pStyle w:val="20"/>
        <w:numPr>
          <w:ilvl w:val="2"/>
          <w:numId w:val="3"/>
        </w:numPr>
        <w:spacing w:before="0" w:after="100"/>
        <w:contextualSpacing w:val="0"/>
      </w:pPr>
      <w:r>
        <w:rPr>
          <w:rFonts w:eastAsia="Muli" w:cs="Muli" w:asciiTheme="majorHAnsi" w:hAnsiTheme="majorHAnsi"/>
          <w:sz w:val="20"/>
          <w:szCs w:val="20"/>
        </w:rPr>
        <w:t xml:space="preserve">TWCW provides technology and intermediary services only. TWCW is </w:t>
      </w:r>
      <w:r>
        <w:rPr>
          <w:rFonts w:eastAsia="Muli" w:cs="Muli" w:asciiTheme="majorHAnsi" w:hAnsiTheme="majorHAnsi"/>
          <w:b/>
          <w:bCs/>
          <w:sz w:val="20"/>
          <w:szCs w:val="20"/>
        </w:rPr>
        <w:t>not</w:t>
      </w:r>
      <w:r>
        <w:rPr>
          <w:rFonts w:eastAsia="Muli" w:cs="Muli" w:asciiTheme="majorHAnsi" w:hAnsiTheme="majorHAnsi"/>
          <w:sz w:val="20"/>
          <w:szCs w:val="20"/>
        </w:rPr>
        <w:t xml:space="preserve"> the seller, supplier, manufacturer, importer, distributor, carrier, installer, employer, insurer or guarantor of any Business’s goods or services, and is </w:t>
      </w:r>
      <w:r>
        <w:rPr>
          <w:rFonts w:eastAsia="Muli" w:cs="Muli" w:asciiTheme="majorHAnsi" w:hAnsiTheme="majorHAnsi"/>
          <w:b/>
          <w:bCs/>
          <w:sz w:val="20"/>
          <w:szCs w:val="20"/>
        </w:rPr>
        <w:t>not a party</w:t>
      </w:r>
      <w:r>
        <w:rPr>
          <w:rFonts w:eastAsia="Muli" w:cs="Muli" w:asciiTheme="majorHAnsi" w:hAnsiTheme="majorHAnsi"/>
          <w:sz w:val="20"/>
          <w:szCs w:val="20"/>
        </w:rPr>
        <w:t xml:space="preserve"> to the Sale Contract between a Consumer and a Business.</w:t>
      </w:r>
    </w:p>
    <w:p w14:paraId="556EE771">
      <w:pPr>
        <w:pStyle w:val="20"/>
        <w:numPr>
          <w:ilvl w:val="2"/>
          <w:numId w:val="3"/>
        </w:numPr>
        <w:spacing w:before="0" w:after="100"/>
        <w:contextualSpacing w:val="0"/>
      </w:pPr>
      <w:r>
        <w:rPr>
          <w:rFonts w:eastAsia="Muli" w:cs="Muli" w:asciiTheme="majorHAnsi" w:hAnsiTheme="majorHAnsi"/>
          <w:sz w:val="20"/>
          <w:szCs w:val="20"/>
        </w:rPr>
        <w:t>Each Business is an independent trader acting on its own account. A Business is solely responsible for its goods and services, staff, premises, listings, pricing, advertising, stock, fulfilment, delivery, warranties, refunds, taxes, licences, insurance and legal compliance.</w:t>
      </w:r>
    </w:p>
    <w:p w14:paraId="44C72974">
      <w:pPr>
        <w:pStyle w:val="20"/>
        <w:numPr>
          <w:ilvl w:val="2"/>
          <w:numId w:val="3"/>
        </w:numPr>
        <w:spacing w:before="0" w:after="100"/>
        <w:contextualSpacing w:val="0"/>
      </w:pPr>
      <w:r>
        <w:rPr>
          <w:rFonts w:eastAsia="Muli" w:cs="Muli" w:asciiTheme="majorHAnsi" w:hAnsiTheme="majorHAnsi"/>
          <w:sz w:val="20"/>
          <w:szCs w:val="20"/>
        </w:rPr>
        <w:t>TWCW does not take title to, possess, inspect, test, store, price, package, ship or control any goods, and does not supervise or direct the performance of any service.</w:t>
      </w:r>
    </w:p>
    <w:p w14:paraId="01DDC68B">
      <w:pPr>
        <w:pStyle w:val="20"/>
        <w:numPr>
          <w:ilvl w:val="2"/>
          <w:numId w:val="3"/>
        </w:numPr>
        <w:spacing w:before="0" w:after="100"/>
        <w:contextualSpacing w:val="0"/>
      </w:pPr>
      <w:r>
        <w:rPr>
          <w:rFonts w:eastAsia="Muli" w:cs="Muli" w:asciiTheme="majorHAnsi" w:hAnsiTheme="majorHAnsi"/>
          <w:sz w:val="20"/>
          <w:szCs w:val="20"/>
        </w:rPr>
        <w:t>TWCW does not check, endorse or guarantee any listing, Business, Consumer, review or other Content, and does not guarantee that any Order will be accepted, fulfilled, delivered or be of any particular quality. Verification, badges, ranking and promotion are not endorsements.</w:t>
      </w:r>
    </w:p>
    <w:p w14:paraId="6075D295">
      <w:pPr>
        <w:pStyle w:val="20"/>
        <w:numPr>
          <w:ilvl w:val="2"/>
          <w:numId w:val="3"/>
        </w:numPr>
        <w:spacing w:before="0" w:after="100"/>
        <w:contextualSpacing w:val="0"/>
      </w:pPr>
      <w:r>
        <w:rPr>
          <w:rFonts w:eastAsia="Muli" w:cs="Muli" w:asciiTheme="majorHAnsi" w:hAnsiTheme="majorHAnsi"/>
          <w:sz w:val="20"/>
          <w:szCs w:val="20"/>
        </w:rPr>
        <w:t>TWCW’s only role in handling money is the limited payment collection role described in clause 8.4.</w:t>
      </w:r>
    </w:p>
    <w:p w14:paraId="0A06D4AC">
      <w:pPr>
        <w:pStyle w:val="20"/>
        <w:numPr>
          <w:ilvl w:val="2"/>
          <w:numId w:val="3"/>
        </w:numPr>
        <w:spacing w:before="0" w:after="100"/>
        <w:contextualSpacing w:val="0"/>
      </w:pPr>
      <w:r>
        <w:rPr>
          <w:rFonts w:eastAsia="Muli" w:cs="Muli" w:asciiTheme="majorHAnsi" w:hAnsiTheme="majorHAnsi"/>
          <w:sz w:val="20"/>
          <w:szCs w:val="20"/>
        </w:rPr>
        <w:t>Nothing in these Terms or in a Business’s use of the Platform creates a partnership, joint venture, agency, franchise, employment or fiduciary relationship between TWCW and any User. A Business must never state or suggest otherwise.</w:t>
      </w:r>
    </w:p>
    <w:p w14:paraId="5C317DE1">
      <w:pPr>
        <w:pStyle w:val="20"/>
        <w:numPr>
          <w:ilvl w:val="2"/>
          <w:numId w:val="3"/>
        </w:numPr>
        <w:spacing w:before="0" w:after="100"/>
        <w:contextualSpacing w:val="0"/>
      </w:pPr>
      <w:r>
        <w:rPr>
          <w:rFonts w:eastAsia="Muli" w:cs="Muli" w:asciiTheme="majorHAnsi" w:hAnsiTheme="majorHAnsi"/>
          <w:sz w:val="20"/>
          <w:szCs w:val="20"/>
        </w:rPr>
        <w:t>If TWCW expressly states in writing at the point of sale that it is itself the supplier of a particular product or service, that statement applies to that transaction only.</w:t>
      </w:r>
    </w:p>
    <w:p w14:paraId="15D70C81">
      <w:pPr>
        <w:pStyle w:val="20"/>
        <w:numPr>
          <w:ilvl w:val="1"/>
          <w:numId w:val="3"/>
        </w:numPr>
        <w:spacing w:before="0" w:after="140"/>
        <w:contextualSpacing w:val="0"/>
      </w:pPr>
      <w:r>
        <w:rPr>
          <w:rFonts w:eastAsia="Muli" w:cs="Muli" w:asciiTheme="majorHAnsi" w:hAnsiTheme="majorHAnsi"/>
          <w:b/>
          <w:bCs/>
          <w:sz w:val="20"/>
          <w:szCs w:val="20"/>
        </w:rPr>
        <w:t>Dual roles.</w:t>
      </w:r>
      <w:r>
        <w:rPr>
          <w:rFonts w:eastAsia="Muli" w:cs="Muli" w:asciiTheme="majorHAnsi" w:hAnsiTheme="majorHAnsi"/>
          <w:sz w:val="20"/>
          <w:szCs w:val="20"/>
        </w:rPr>
        <w:t xml:space="preserve"> A single account can have both Consumer and Business functions. Each role is governed by the parts of these Terms that apply to it, and a person acting as a Business must not use a Consumer role to buy from, review or rate its own listings or those of a related business.</w:t>
      </w:r>
    </w:p>
    <w:p w14:paraId="42B4857C">
      <w:pPr>
        <w:pStyle w:val="20"/>
        <w:numPr>
          <w:ilvl w:val="1"/>
          <w:numId w:val="3"/>
        </w:numPr>
        <w:spacing w:before="0" w:after="140"/>
        <w:contextualSpacing w:val="0"/>
      </w:pPr>
      <w:r>
        <w:rPr>
          <w:rFonts w:eastAsia="Muli" w:cs="Muli" w:asciiTheme="majorHAnsi" w:hAnsiTheme="majorHAnsi"/>
          <w:b/>
          <w:bCs/>
          <w:sz w:val="20"/>
          <w:szCs w:val="20"/>
        </w:rPr>
        <w:t xml:space="preserve">Acceptance. </w:t>
      </w:r>
      <w:r>
        <w:rPr>
          <w:rFonts w:eastAsia="Muli" w:cs="Muli" w:asciiTheme="majorHAnsi" w:hAnsiTheme="majorHAnsi"/>
          <w:sz w:val="20"/>
          <w:szCs w:val="20"/>
        </w:rPr>
        <w:t xml:space="preserve">You enter into these Terms when you tick the Acceptance Box on the registration or onboarding screen and continue. The box is never pre-ticked, and you cannot create an account or use the Platform until you have ticked it. By ticking it you confirm that you have read and agree to these Terms (including the Cookie and Tracking Policy in Schedule 3) and have had the opportunity to read the Privacy Policy. We record your acceptance (including your user ID, the date and time, the version of these Terms, the app version and device type) and keep that record for </w:t>
      </w:r>
      <w:r>
        <w:rPr>
          <w:rFonts w:eastAsia="Muli" w:cs="Muli" w:asciiTheme="majorHAnsi" w:hAnsiTheme="majorHAnsi"/>
          <w:sz w:val="20"/>
          <w:szCs w:val="20"/>
          <w:highlight w:val="lightGray"/>
        </w:rPr>
        <w:t>[six]</w:t>
      </w:r>
      <w:r>
        <w:rPr>
          <w:rFonts w:eastAsia="Muli" w:cs="Muli" w:asciiTheme="majorHAnsi" w:hAnsiTheme="majorHAnsi"/>
          <w:sz w:val="20"/>
          <w:szCs w:val="20"/>
        </w:rPr>
        <w:t xml:space="preserve"> years. We may ask you to accept again by ticking the box when these Terms change materially (clause 37). If you do not agree, do not tick the box and do not use the Platform. If you accept for a company or other organisation, you confirm you are authorised to bind it, you must also tick the authority box we show to Businesses, and "you" then includes both you and that organisation.</w:t>
      </w:r>
    </w:p>
    <w:p w14:paraId="0CEE609F">
      <w:pPr>
        <w:pStyle w:val="20"/>
        <w:numPr>
          <w:ilvl w:val="1"/>
          <w:numId w:val="3"/>
        </w:numPr>
        <w:spacing w:before="0" w:after="140"/>
        <w:contextualSpacing w:val="0"/>
      </w:pPr>
      <w:r>
        <w:rPr>
          <w:rFonts w:eastAsia="Muli" w:cs="Muli" w:asciiTheme="majorHAnsi" w:hAnsiTheme="majorHAnsi"/>
          <w:b/>
          <w:bCs/>
          <w:sz w:val="20"/>
          <w:szCs w:val="20"/>
        </w:rPr>
        <w:t xml:space="preserve">Documents that form part of these Terms. </w:t>
      </w:r>
      <w:r>
        <w:rPr>
          <w:rFonts w:eastAsia="Muli" w:cs="Muli" w:asciiTheme="majorHAnsi" w:hAnsiTheme="majorHAnsi"/>
          <w:sz w:val="20"/>
          <w:szCs w:val="20"/>
        </w:rPr>
        <w:t>The following form part of these Terms where they apply to you: the Privacy Policy; the Cookie and Tracking Policy (Schedule 3); the Refund and Returns Policy; the Shipping Policy; the AMAPP (clause 22); any acceptable-use, advertising, content, API or payment rules we publish; and any terms shown at checkout, at subscription or when you opt in to a particular feature (</w:t>
      </w:r>
      <w:r>
        <w:rPr>
          <w:rFonts w:eastAsia="Muli" w:cs="Muli" w:asciiTheme="majorHAnsi" w:hAnsiTheme="majorHAnsi"/>
          <w:b/>
          <w:bCs/>
          <w:sz w:val="20"/>
          <w:szCs w:val="20"/>
        </w:rPr>
        <w:t>Supplemental Terms</w:t>
      </w:r>
      <w:r>
        <w:rPr>
          <w:rFonts w:eastAsia="Muli" w:cs="Muli" w:asciiTheme="majorHAnsi" w:hAnsiTheme="majorHAnsi"/>
          <w:sz w:val="20"/>
          <w:szCs w:val="20"/>
        </w:rPr>
        <w:t>). If there is an inconsistency, the following order applies: (1) rights that cannot lawfully be excluded, including under the ACL; (2) a written agreement signed by TWCW and you; (3) terms shown for a specific transaction at checkout or subscription; (4) Supplemental Terms for the relevant feature; (5) these Terms; (6) any other Platform policy. A policy incorporated by reference will not be used to remove or reduce a right that cannot lawfully be excluded.</w:t>
      </w:r>
    </w:p>
    <w:p w14:paraId="7C79656D">
      <w:pPr>
        <w:pStyle w:val="20"/>
        <w:numPr>
          <w:ilvl w:val="1"/>
          <w:numId w:val="3"/>
        </w:numPr>
        <w:spacing w:before="0" w:after="140"/>
        <w:contextualSpacing w:val="0"/>
      </w:pPr>
      <w:r>
        <w:rPr>
          <w:rFonts w:eastAsia="Muli" w:cs="Muli" w:asciiTheme="majorHAnsi" w:hAnsiTheme="majorHAnsi"/>
          <w:b/>
          <w:bCs/>
          <w:sz w:val="20"/>
          <w:szCs w:val="20"/>
        </w:rPr>
        <w:t xml:space="preserve">Where the Platform is intended for use. </w:t>
      </w:r>
      <w:r>
        <w:rPr>
          <w:rFonts w:eastAsia="Muli" w:cs="Muli" w:asciiTheme="majorHAnsi" w:hAnsiTheme="majorHAnsi"/>
          <w:sz w:val="20"/>
          <w:szCs w:val="20"/>
        </w:rPr>
        <w:t>The Platform is operated from Australia and is intended for Australian Consumers and Businesses supplying goods and services in Australia, unless TWCW expressly enables something else. TWCW does not promise that the Platform is appropriate, lawful or available anywhere else. If you access it from outside Australia you do so at your own risk and are responsible for complying with local laws.</w:t>
      </w:r>
    </w:p>
    <w:p w14:paraId="6C3D0F53">
      <w:pPr>
        <w:pStyle w:val="20"/>
        <w:numPr>
          <w:ilvl w:val="1"/>
          <w:numId w:val="3"/>
        </w:numPr>
        <w:spacing w:before="0" w:after="140"/>
        <w:contextualSpacing w:val="0"/>
      </w:pPr>
      <w:r>
        <w:rPr>
          <w:rFonts w:eastAsia="Muli" w:cs="Muli" w:asciiTheme="majorHAnsi" w:hAnsiTheme="majorHAnsi"/>
          <w:b/>
          <w:bCs/>
          <w:sz w:val="20"/>
          <w:szCs w:val="20"/>
        </w:rPr>
        <w:t xml:space="preserve">How the different contracts fit together. </w:t>
      </w:r>
      <w:r>
        <w:rPr>
          <w:rFonts w:eastAsia="Muli" w:cs="Muli" w:asciiTheme="majorHAnsi" w:hAnsiTheme="majorHAnsi"/>
          <w:sz w:val="20"/>
          <w:szCs w:val="20"/>
        </w:rPr>
        <w:t>Several separate contracts can arise from your use of the Platform:</w:t>
      </w:r>
    </w:p>
    <w:p w14:paraId="776FA240">
      <w:pPr>
        <w:pStyle w:val="20"/>
        <w:numPr>
          <w:ilvl w:val="2"/>
          <w:numId w:val="3"/>
        </w:numPr>
        <w:spacing w:before="0" w:after="100"/>
        <w:contextualSpacing w:val="0"/>
      </w:pPr>
      <w:r>
        <w:rPr>
          <w:rFonts w:eastAsia="Muli" w:cs="Muli" w:asciiTheme="majorHAnsi" w:hAnsiTheme="majorHAnsi"/>
          <w:sz w:val="20"/>
          <w:szCs w:val="20"/>
        </w:rPr>
        <w:t>these Terms, between you and TWCW, which govern your use of the Platform;</w:t>
      </w:r>
    </w:p>
    <w:p w14:paraId="2571E491">
      <w:pPr>
        <w:pStyle w:val="20"/>
        <w:numPr>
          <w:ilvl w:val="2"/>
          <w:numId w:val="3"/>
        </w:numPr>
        <w:spacing w:before="0" w:after="100"/>
        <w:contextualSpacing w:val="0"/>
      </w:pPr>
      <w:r>
        <w:rPr>
          <w:rFonts w:eastAsia="Muli" w:cs="Muli" w:asciiTheme="majorHAnsi" w:hAnsiTheme="majorHAnsi"/>
          <w:sz w:val="20"/>
          <w:szCs w:val="20"/>
        </w:rPr>
        <w:t>a Sale Contract, between a Business (as seller) and a Consumer or Business Buyer (as buyer), for goods or services bought through the Platform;</w:t>
      </w:r>
    </w:p>
    <w:p w14:paraId="6F05EC51">
      <w:pPr>
        <w:pStyle w:val="20"/>
        <w:numPr>
          <w:ilvl w:val="2"/>
          <w:numId w:val="3"/>
        </w:numPr>
        <w:spacing w:before="0" w:after="100"/>
        <w:contextualSpacing w:val="0"/>
      </w:pPr>
      <w:r>
        <w:rPr>
          <w:rFonts w:eastAsia="Muli" w:cs="Muli" w:asciiTheme="majorHAnsi" w:hAnsiTheme="majorHAnsi"/>
          <w:sz w:val="20"/>
          <w:szCs w:val="20"/>
        </w:rPr>
        <w:t>the Subscription and any advertising or promotional services TWCW supplies to a Business, under clauses 15 and 17 and Schedule 1; and</w:t>
      </w:r>
    </w:p>
    <w:p w14:paraId="25B8263B">
      <w:pPr>
        <w:pStyle w:val="20"/>
        <w:numPr>
          <w:ilvl w:val="2"/>
          <w:numId w:val="3"/>
        </w:numPr>
        <w:spacing w:before="0" w:after="100"/>
        <w:contextualSpacing w:val="0"/>
      </w:pPr>
      <w:r>
        <w:rPr>
          <w:rFonts w:eastAsia="Muli" w:cs="Muli" w:asciiTheme="majorHAnsi" w:hAnsiTheme="majorHAnsi"/>
          <w:sz w:val="20"/>
          <w:szCs w:val="20"/>
        </w:rPr>
        <w:t>the Payment Provider's terms, between you and the Payment Provider, for payment processing.</w:t>
      </w:r>
    </w:p>
    <w:p w14:paraId="4E5EA0A1">
      <w:pPr>
        <w:pStyle w:val="20"/>
        <w:spacing w:before="0" w:after="140"/>
        <w:ind w:left="1134"/>
        <w:contextualSpacing w:val="0"/>
      </w:pPr>
      <w:r>
        <w:rPr>
          <w:rFonts w:eastAsia="Muli" w:cs="Muli" w:asciiTheme="majorHAnsi" w:hAnsiTheme="majorHAnsi"/>
          <w:sz w:val="20"/>
          <w:szCs w:val="20"/>
        </w:rPr>
        <w:t>TWCW is a party to (a) and (c) only. Each contract is governed by its own terms, and a problem under one contract does not make TWCW responsible under another.</w:t>
      </w:r>
    </w:p>
    <w:p w14:paraId="77530960">
      <w:pPr>
        <w:pStyle w:val="20"/>
        <w:keepNext/>
        <w:numPr>
          <w:ilvl w:val="0"/>
          <w:numId w:val="3"/>
        </w:numPr>
        <w:spacing w:before="300" w:after="140"/>
        <w:contextualSpacing w:val="0"/>
        <w:rPr>
          <w:rFonts w:eastAsia="Muli" w:cs="Muli" w:asciiTheme="majorHAnsi" w:hAnsiTheme="majorHAnsi"/>
          <w:b/>
          <w:bCs/>
          <w:spacing w:val="20"/>
          <w:sz w:val="20"/>
          <w:szCs w:val="20"/>
          <w:u w:val="single"/>
        </w:rPr>
      </w:pPr>
      <w:r>
        <w:rPr>
          <w:rFonts w:eastAsia="Muli" w:cs="Muli" w:asciiTheme="majorHAnsi" w:hAnsiTheme="majorHAnsi"/>
          <w:b/>
          <w:bCs/>
          <w:spacing w:val="20"/>
          <w:sz w:val="20"/>
          <w:szCs w:val="20"/>
          <w:u w:val="single"/>
        </w:rPr>
        <w:t>DEFINITIONS AND INTERPRETATION</w:t>
      </w:r>
    </w:p>
    <w:p w14:paraId="4499FAF9">
      <w:pPr>
        <w:pStyle w:val="20"/>
        <w:numPr>
          <w:ilvl w:val="1"/>
          <w:numId w:val="3"/>
        </w:numPr>
        <w:spacing w:before="0" w:after="140"/>
        <w:contextualSpacing w:val="0"/>
      </w:pPr>
      <w:r>
        <w:rPr>
          <w:rFonts w:eastAsia="Muli" w:cs="Muli" w:asciiTheme="majorHAnsi" w:hAnsiTheme="majorHAnsi"/>
          <w:b/>
          <w:bCs/>
          <w:sz w:val="20"/>
          <w:szCs w:val="20"/>
        </w:rPr>
        <w:t xml:space="preserve">Definitions. </w:t>
      </w:r>
      <w:r>
        <w:rPr>
          <w:rFonts w:eastAsia="Muli" w:cs="Muli" w:asciiTheme="majorHAnsi" w:hAnsiTheme="majorHAnsi"/>
          <w:sz w:val="20"/>
          <w:szCs w:val="20"/>
        </w:rPr>
        <w:t>In these Terms:</w:t>
      </w:r>
    </w:p>
    <w:tbl>
      <w:tblPr>
        <w:tblStyle w:val="44"/>
        <w:tblW w:w="7892" w:type="dxa"/>
        <w:tblInd w:w="1134" w:type="dxa"/>
        <w:tblBorders>
          <w:top w:val="single" w:color="404040" w:sz="4" w:space="0"/>
          <w:left w:val="none" w:color="auto" w:sz="0" w:space="0"/>
          <w:bottom w:val="single" w:color="404040" w:sz="4" w:space="0"/>
          <w:right w:val="none" w:color="auto" w:sz="0" w:space="0"/>
          <w:insideH w:val="single" w:color="404040" w:sz="4" w:space="0"/>
          <w:insideV w:val="none" w:color="auto" w:sz="0" w:space="0"/>
        </w:tblBorders>
        <w:tblLayout w:type="fixed"/>
        <w:tblCellMar>
          <w:top w:w="0" w:type="dxa"/>
          <w:left w:w="108" w:type="dxa"/>
          <w:bottom w:w="0" w:type="dxa"/>
          <w:right w:w="108" w:type="dxa"/>
        </w:tblCellMar>
      </w:tblPr>
      <w:tblGrid>
        <w:gridCol w:w="2300"/>
        <w:gridCol w:w="5592"/>
      </w:tblGrid>
      <w:tr w14:paraId="441E6FF2">
        <w:trPr>
          <w:cantSplit/>
        </w:trPr>
        <w:tc>
          <w:tcPr>
            <w:tcW w:w="2300" w:type="dxa"/>
          </w:tcPr>
          <w:p w14:paraId="340EA470">
            <w:pPr>
              <w:spacing w:before="60" w:after="60"/>
            </w:pPr>
            <w:r>
              <w:rPr>
                <w:rFonts w:eastAsia="Muli" w:cs="Muli" w:asciiTheme="majorHAnsi" w:hAnsiTheme="majorHAnsi"/>
                <w:b/>
                <w:bCs/>
                <w:sz w:val="18"/>
                <w:szCs w:val="18"/>
              </w:rPr>
              <w:t>Term</w:t>
            </w:r>
          </w:p>
        </w:tc>
        <w:tc>
          <w:tcPr>
            <w:tcW w:w="5592" w:type="dxa"/>
          </w:tcPr>
          <w:p w14:paraId="2A44C735">
            <w:pPr>
              <w:spacing w:before="60" w:after="60"/>
            </w:pPr>
            <w:r>
              <w:rPr>
                <w:rFonts w:eastAsia="Muli" w:cs="Muli" w:asciiTheme="majorHAnsi" w:hAnsiTheme="majorHAnsi"/>
                <w:b/>
                <w:bCs/>
                <w:sz w:val="18"/>
                <w:szCs w:val="18"/>
              </w:rPr>
              <w:t>Meaning</w:t>
            </w:r>
          </w:p>
        </w:tc>
      </w:tr>
      <w:tr w14:paraId="61839342">
        <w:trPr>
          <w:cantSplit/>
        </w:trPr>
        <w:tc>
          <w:tcPr>
            <w:tcW w:w="2300" w:type="dxa"/>
          </w:tcPr>
          <w:p w14:paraId="68BBDCD7">
            <w:pPr>
              <w:spacing w:before="60" w:after="60"/>
            </w:pPr>
            <w:r>
              <w:rPr>
                <w:rFonts w:eastAsia="Muli" w:cs="Muli" w:asciiTheme="majorHAnsi" w:hAnsiTheme="majorHAnsi"/>
                <w:b/>
                <w:bCs/>
                <w:sz w:val="18"/>
                <w:szCs w:val="18"/>
              </w:rPr>
              <w:t>Acceptance Box</w:t>
            </w:r>
          </w:p>
        </w:tc>
        <w:tc>
          <w:tcPr>
            <w:tcW w:w="5592" w:type="dxa"/>
          </w:tcPr>
          <w:p w14:paraId="4032DEF2">
            <w:pPr>
              <w:spacing w:before="60" w:after="60"/>
            </w:pPr>
            <w:r>
              <w:rPr>
                <w:rFonts w:eastAsia="Muli" w:cs="Muli" w:asciiTheme="majorHAnsi" w:hAnsiTheme="majorHAnsi"/>
                <w:sz w:val="18"/>
                <w:szCs w:val="18"/>
              </w:rPr>
              <w:t>the box on the registration or onboarding screen that you tick to accept these Terms (clause 1.5).</w:t>
            </w:r>
          </w:p>
        </w:tc>
      </w:tr>
      <w:tr w14:paraId="32F5095F">
        <w:trPr>
          <w:cantSplit/>
        </w:trPr>
        <w:tc>
          <w:tcPr>
            <w:tcW w:w="2300" w:type="dxa"/>
          </w:tcPr>
          <w:p w14:paraId="3A463CF8">
            <w:pPr>
              <w:spacing w:before="60" w:after="60"/>
            </w:pPr>
            <w:r>
              <w:rPr>
                <w:rFonts w:eastAsia="Muli" w:cs="Muli" w:asciiTheme="majorHAnsi" w:hAnsiTheme="majorHAnsi"/>
                <w:b/>
                <w:bCs/>
                <w:sz w:val="18"/>
                <w:szCs w:val="18"/>
              </w:rPr>
              <w:t>ACL</w:t>
            </w:r>
          </w:p>
        </w:tc>
        <w:tc>
          <w:tcPr>
            <w:tcW w:w="5592" w:type="dxa"/>
          </w:tcPr>
          <w:p w14:paraId="15E3E195">
            <w:pPr>
              <w:spacing w:before="60" w:after="60"/>
            </w:pPr>
            <w:r>
              <w:rPr>
                <w:rFonts w:eastAsia="Muli" w:cs="Muli" w:asciiTheme="majorHAnsi" w:hAnsiTheme="majorHAnsi"/>
                <w:sz w:val="18"/>
                <w:szCs w:val="18"/>
              </w:rPr>
              <w:t>the Australian Consumer Law in Schedule 2 to the Competition and Consumer Act 2010 (Cth).</w:t>
            </w:r>
          </w:p>
        </w:tc>
      </w:tr>
      <w:tr w14:paraId="64A48AED">
        <w:trPr>
          <w:cantSplit/>
        </w:trPr>
        <w:tc>
          <w:tcPr>
            <w:tcW w:w="2300" w:type="dxa"/>
          </w:tcPr>
          <w:p w14:paraId="14B76EB5">
            <w:pPr>
              <w:spacing w:before="60" w:after="60"/>
            </w:pPr>
            <w:r>
              <w:rPr>
                <w:rFonts w:eastAsia="Muli" w:cs="Muli" w:asciiTheme="majorHAnsi" w:hAnsiTheme="majorHAnsi"/>
                <w:b/>
                <w:bCs/>
                <w:sz w:val="18"/>
                <w:szCs w:val="18"/>
              </w:rPr>
              <w:t>Advertising Content</w:t>
            </w:r>
          </w:p>
        </w:tc>
        <w:tc>
          <w:tcPr>
            <w:tcW w:w="5592" w:type="dxa"/>
          </w:tcPr>
          <w:p w14:paraId="26075496">
            <w:pPr>
              <w:spacing w:before="60" w:after="60"/>
            </w:pPr>
            <w:r>
              <w:rPr>
                <w:rFonts w:eastAsia="Muli" w:cs="Muli" w:asciiTheme="majorHAnsi" w:hAnsiTheme="majorHAnsi"/>
                <w:sz w:val="18"/>
                <w:szCs w:val="18"/>
              </w:rPr>
              <w:t>every advertisement, sponsored or promoted placement, listing, product or service description, image, video, audio, promotion, link and other commercial Content submitted to or displayed through the Platform.</w:t>
            </w:r>
          </w:p>
        </w:tc>
      </w:tr>
      <w:tr w14:paraId="54D72E85">
        <w:trPr>
          <w:cantSplit/>
        </w:trPr>
        <w:tc>
          <w:tcPr>
            <w:tcW w:w="2300" w:type="dxa"/>
          </w:tcPr>
          <w:p w14:paraId="263E580D">
            <w:pPr>
              <w:spacing w:before="60" w:after="60"/>
            </w:pPr>
            <w:r>
              <w:rPr>
                <w:rFonts w:eastAsia="Muli" w:cs="Muli" w:asciiTheme="majorHAnsi" w:hAnsiTheme="majorHAnsi"/>
                <w:b/>
                <w:bCs/>
                <w:sz w:val="18"/>
                <w:szCs w:val="18"/>
              </w:rPr>
              <w:t>AMAPP</w:t>
            </w:r>
          </w:p>
        </w:tc>
        <w:tc>
          <w:tcPr>
            <w:tcW w:w="5592" w:type="dxa"/>
          </w:tcPr>
          <w:p w14:paraId="6AF1AFC8">
            <w:pPr>
              <w:spacing w:before="60" w:after="60"/>
            </w:pPr>
            <w:r>
              <w:rPr>
                <w:rFonts w:eastAsia="Muli" w:cs="Muli" w:asciiTheme="majorHAnsi" w:hAnsiTheme="majorHAnsi"/>
                <w:sz w:val="18"/>
                <w:szCs w:val="18"/>
              </w:rPr>
              <w:t>TWCW’s Anti-Multinational Advertising Protection Policy, summarised in clause 22, together with its enforcement documents as updated from time to time.</w:t>
            </w:r>
          </w:p>
        </w:tc>
      </w:tr>
      <w:tr w14:paraId="17669643">
        <w:trPr>
          <w:cantSplit/>
        </w:trPr>
        <w:tc>
          <w:tcPr>
            <w:tcW w:w="2300" w:type="dxa"/>
          </w:tcPr>
          <w:p w14:paraId="09F4522B">
            <w:pPr>
              <w:spacing w:before="60" w:after="60"/>
            </w:pPr>
            <w:r>
              <w:rPr>
                <w:rFonts w:eastAsia="Muli" w:cs="Muli" w:asciiTheme="majorHAnsi" w:hAnsiTheme="majorHAnsi"/>
                <w:b/>
                <w:bCs/>
                <w:sz w:val="18"/>
                <w:szCs w:val="18"/>
              </w:rPr>
              <w:t>Applicable Law</w:t>
            </w:r>
          </w:p>
        </w:tc>
        <w:tc>
          <w:tcPr>
            <w:tcW w:w="5592" w:type="dxa"/>
          </w:tcPr>
          <w:p w14:paraId="23AE1B47">
            <w:pPr>
              <w:spacing w:before="60" w:after="60"/>
            </w:pPr>
            <w:r>
              <w:rPr>
                <w:rFonts w:eastAsia="Muli" w:cs="Muli" w:asciiTheme="majorHAnsi" w:hAnsiTheme="majorHAnsi"/>
                <w:sz w:val="18"/>
                <w:szCs w:val="18"/>
              </w:rPr>
              <w:t>all laws, regulations, binding codes and mandatory standards that apply to a person or activity, including Commonwealth, State and Territory laws.</w:t>
            </w:r>
          </w:p>
        </w:tc>
      </w:tr>
      <w:tr w14:paraId="2DA25E09">
        <w:trPr>
          <w:cantSplit/>
        </w:trPr>
        <w:tc>
          <w:tcPr>
            <w:tcW w:w="2300" w:type="dxa"/>
          </w:tcPr>
          <w:p w14:paraId="7F66D3F3">
            <w:pPr>
              <w:spacing w:before="60" w:after="60"/>
            </w:pPr>
            <w:r>
              <w:rPr>
                <w:rFonts w:eastAsia="Muli" w:cs="Muli" w:asciiTheme="majorHAnsi" w:hAnsiTheme="majorHAnsi"/>
                <w:b/>
                <w:bCs/>
                <w:sz w:val="18"/>
                <w:szCs w:val="18"/>
              </w:rPr>
              <w:t>Business</w:t>
            </w:r>
          </w:p>
        </w:tc>
        <w:tc>
          <w:tcPr>
            <w:tcW w:w="5592" w:type="dxa"/>
          </w:tcPr>
          <w:p w14:paraId="4DAA44F1">
            <w:pPr>
              <w:spacing w:before="60" w:after="60"/>
            </w:pPr>
            <w:r>
              <w:rPr>
                <w:rFonts w:eastAsia="Muli" w:cs="Muli" w:asciiTheme="majorHAnsi" w:hAnsiTheme="majorHAnsi"/>
                <w:sz w:val="18"/>
                <w:szCs w:val="18"/>
              </w:rPr>
              <w:t>an independently owned and operated merchant, trader, professional, contractor or service provider approved to use the business app or business functions of the Platform.</w:t>
            </w:r>
          </w:p>
        </w:tc>
      </w:tr>
      <w:tr w14:paraId="731FA6C7">
        <w:trPr>
          <w:cantSplit/>
        </w:trPr>
        <w:tc>
          <w:tcPr>
            <w:tcW w:w="2300" w:type="dxa"/>
          </w:tcPr>
          <w:p w14:paraId="7E49184A">
            <w:pPr>
              <w:spacing w:before="60" w:after="60"/>
            </w:pPr>
            <w:r>
              <w:rPr>
                <w:rFonts w:eastAsia="Muli" w:cs="Muli" w:asciiTheme="majorHAnsi" w:hAnsiTheme="majorHAnsi"/>
                <w:b/>
                <w:bCs/>
                <w:sz w:val="18"/>
                <w:szCs w:val="18"/>
              </w:rPr>
              <w:t>Business Buyer</w:t>
            </w:r>
          </w:p>
        </w:tc>
        <w:tc>
          <w:tcPr>
            <w:tcW w:w="5592" w:type="dxa"/>
          </w:tcPr>
          <w:p w14:paraId="201D2EC4">
            <w:pPr>
              <w:spacing w:before="60" w:after="60"/>
            </w:pPr>
            <w:r>
              <w:rPr>
                <w:rFonts w:eastAsia="Muli" w:cs="Muli" w:asciiTheme="majorHAnsi" w:hAnsiTheme="majorHAnsi"/>
                <w:sz w:val="18"/>
                <w:szCs w:val="18"/>
              </w:rPr>
              <w:t>a Business that buys goods or services from another Business through the Platform for use in its own business (clause 14).</w:t>
            </w:r>
          </w:p>
        </w:tc>
      </w:tr>
      <w:tr w14:paraId="47E482EC">
        <w:trPr>
          <w:cantSplit/>
        </w:trPr>
        <w:tc>
          <w:tcPr>
            <w:tcW w:w="2300" w:type="dxa"/>
          </w:tcPr>
          <w:p w14:paraId="0C21526F">
            <w:pPr>
              <w:spacing w:before="60" w:after="60"/>
            </w:pPr>
            <w:r>
              <w:rPr>
                <w:rFonts w:eastAsia="Muli" w:cs="Muli" w:asciiTheme="majorHAnsi" w:hAnsiTheme="majorHAnsi"/>
                <w:b/>
                <w:bCs/>
                <w:sz w:val="18"/>
                <w:szCs w:val="18"/>
              </w:rPr>
              <w:t>Business Content</w:t>
            </w:r>
          </w:p>
        </w:tc>
        <w:tc>
          <w:tcPr>
            <w:tcW w:w="5592" w:type="dxa"/>
          </w:tcPr>
          <w:p w14:paraId="7AE35590">
            <w:pPr>
              <w:spacing w:before="60" w:after="60"/>
            </w:pPr>
            <w:r>
              <w:rPr>
                <w:rFonts w:eastAsia="Muli" w:cs="Muli" w:asciiTheme="majorHAnsi" w:hAnsiTheme="majorHAnsi"/>
                <w:sz w:val="18"/>
                <w:szCs w:val="18"/>
              </w:rPr>
              <w:t>all Content supplied by or for a Business, including listings, Advertising Content, prices, brand assets, inventory information and review responses.</w:t>
            </w:r>
          </w:p>
        </w:tc>
      </w:tr>
      <w:tr w14:paraId="0CDA9CFB">
        <w:trPr>
          <w:cantSplit/>
        </w:trPr>
        <w:tc>
          <w:tcPr>
            <w:tcW w:w="2300" w:type="dxa"/>
          </w:tcPr>
          <w:p w14:paraId="3E8C9A77">
            <w:pPr>
              <w:spacing w:before="60" w:after="60"/>
            </w:pPr>
            <w:r>
              <w:rPr>
                <w:rFonts w:eastAsia="Muli" w:cs="Muli" w:asciiTheme="majorHAnsi" w:hAnsiTheme="majorHAnsi"/>
                <w:b/>
                <w:bCs/>
                <w:sz w:val="18"/>
                <w:szCs w:val="18"/>
              </w:rPr>
              <w:t>Business Day</w:t>
            </w:r>
          </w:p>
        </w:tc>
        <w:tc>
          <w:tcPr>
            <w:tcW w:w="5592" w:type="dxa"/>
          </w:tcPr>
          <w:p w14:paraId="5EF34DA4">
            <w:pPr>
              <w:spacing w:before="60" w:after="60"/>
            </w:pPr>
            <w:r>
              <w:rPr>
                <w:rFonts w:eastAsia="Muli" w:cs="Muli" w:asciiTheme="majorHAnsi" w:hAnsiTheme="majorHAnsi"/>
                <w:sz w:val="18"/>
                <w:szCs w:val="18"/>
              </w:rPr>
              <w:t>a day that is not a Saturday, Sunday or public holiday in Perth, Western Australia.</w:t>
            </w:r>
          </w:p>
        </w:tc>
      </w:tr>
      <w:tr w14:paraId="6552368E">
        <w:trPr>
          <w:cantSplit/>
        </w:trPr>
        <w:tc>
          <w:tcPr>
            <w:tcW w:w="2300" w:type="dxa"/>
          </w:tcPr>
          <w:p w14:paraId="1CC8E4D7">
            <w:pPr>
              <w:spacing w:before="60" w:after="60"/>
            </w:pPr>
            <w:r>
              <w:rPr>
                <w:rFonts w:eastAsia="Muli" w:cs="Muli" w:asciiTheme="majorHAnsi" w:hAnsiTheme="majorHAnsi"/>
                <w:b/>
                <w:bCs/>
                <w:sz w:val="18"/>
                <w:szCs w:val="18"/>
              </w:rPr>
              <w:t>Connected Account</w:t>
            </w:r>
          </w:p>
        </w:tc>
        <w:tc>
          <w:tcPr>
            <w:tcW w:w="5592" w:type="dxa"/>
          </w:tcPr>
          <w:p w14:paraId="2D776C92">
            <w:pPr>
              <w:spacing w:before="60" w:after="60"/>
            </w:pPr>
            <w:r>
              <w:rPr>
                <w:rFonts w:eastAsia="Muli" w:cs="Muli" w:asciiTheme="majorHAnsi" w:hAnsiTheme="majorHAnsi"/>
                <w:sz w:val="18"/>
                <w:szCs w:val="18"/>
              </w:rPr>
              <w:t>the account a Business holds with the Payment Provider (currently a Stripe connected account) to receive payments for Orders.</w:t>
            </w:r>
          </w:p>
        </w:tc>
      </w:tr>
      <w:tr w14:paraId="35E6CD99">
        <w:trPr>
          <w:cantSplit/>
        </w:trPr>
        <w:tc>
          <w:tcPr>
            <w:tcW w:w="2300" w:type="dxa"/>
          </w:tcPr>
          <w:p w14:paraId="304AC99A">
            <w:pPr>
              <w:spacing w:before="60" w:after="60"/>
            </w:pPr>
            <w:r>
              <w:rPr>
                <w:rFonts w:eastAsia="Muli" w:cs="Muli" w:asciiTheme="majorHAnsi" w:hAnsiTheme="majorHAnsi"/>
                <w:b/>
                <w:bCs/>
                <w:sz w:val="18"/>
                <w:szCs w:val="18"/>
              </w:rPr>
              <w:t>Consumer</w:t>
            </w:r>
          </w:p>
        </w:tc>
        <w:tc>
          <w:tcPr>
            <w:tcW w:w="5592" w:type="dxa"/>
          </w:tcPr>
          <w:p w14:paraId="56CC0463">
            <w:pPr>
              <w:spacing w:before="60" w:after="60"/>
            </w:pPr>
            <w:r>
              <w:rPr>
                <w:rFonts w:eastAsia="Muli" w:cs="Muli" w:asciiTheme="majorHAnsi" w:hAnsiTheme="majorHAnsi"/>
                <w:sz w:val="18"/>
                <w:szCs w:val="18"/>
              </w:rPr>
              <w:t>a person using the Platform to browse, contact or buy from a Business, other than in the course of carrying on a business as a Business.</w:t>
            </w:r>
          </w:p>
        </w:tc>
      </w:tr>
      <w:tr w14:paraId="7129F16C">
        <w:trPr>
          <w:cantSplit/>
        </w:trPr>
        <w:tc>
          <w:tcPr>
            <w:tcW w:w="2300" w:type="dxa"/>
          </w:tcPr>
          <w:p w14:paraId="1FF5335D">
            <w:pPr>
              <w:spacing w:before="60" w:after="60"/>
            </w:pPr>
            <w:r>
              <w:rPr>
                <w:rFonts w:eastAsia="Muli" w:cs="Muli" w:asciiTheme="majorHAnsi" w:hAnsiTheme="majorHAnsi"/>
                <w:b/>
                <w:bCs/>
                <w:sz w:val="18"/>
                <w:szCs w:val="18"/>
              </w:rPr>
              <w:t>Consumer Data</w:t>
            </w:r>
          </w:p>
        </w:tc>
        <w:tc>
          <w:tcPr>
            <w:tcW w:w="5592" w:type="dxa"/>
          </w:tcPr>
          <w:p w14:paraId="7DD5209A">
            <w:pPr>
              <w:spacing w:before="60" w:after="60"/>
            </w:pPr>
            <w:r>
              <w:rPr>
                <w:rFonts w:eastAsia="Muli" w:cs="Muli" w:asciiTheme="majorHAnsi" w:hAnsiTheme="majorHAnsi"/>
                <w:sz w:val="18"/>
                <w:szCs w:val="18"/>
              </w:rPr>
              <w:t>personal information about a Consumer that a Business receives or accesses through the Platform.</w:t>
            </w:r>
          </w:p>
        </w:tc>
      </w:tr>
      <w:tr w14:paraId="0CE73E1A">
        <w:trPr>
          <w:cantSplit/>
        </w:trPr>
        <w:tc>
          <w:tcPr>
            <w:tcW w:w="2300" w:type="dxa"/>
          </w:tcPr>
          <w:p w14:paraId="6C8B9121">
            <w:pPr>
              <w:spacing w:before="60" w:after="60"/>
            </w:pPr>
            <w:r>
              <w:rPr>
                <w:rFonts w:eastAsia="Muli" w:cs="Muli" w:asciiTheme="majorHAnsi" w:hAnsiTheme="majorHAnsi"/>
                <w:b/>
                <w:bCs/>
                <w:sz w:val="18"/>
                <w:szCs w:val="18"/>
              </w:rPr>
              <w:t>Content</w:t>
            </w:r>
          </w:p>
        </w:tc>
        <w:tc>
          <w:tcPr>
            <w:tcW w:w="5592" w:type="dxa"/>
          </w:tcPr>
          <w:p w14:paraId="247234E9">
            <w:pPr>
              <w:spacing w:before="60" w:after="60"/>
            </w:pPr>
            <w:r>
              <w:rPr>
                <w:rFonts w:eastAsia="Muli" w:cs="Muli" w:asciiTheme="majorHAnsi" w:hAnsiTheme="majorHAnsi"/>
                <w:sz w:val="18"/>
                <w:szCs w:val="18"/>
              </w:rPr>
              <w:t>all information, text, data, photographs, video, audio, music, reviews, messages, listings, advertisements, software and other material submitted to, displayed on or made available through the Platform.</w:t>
            </w:r>
          </w:p>
        </w:tc>
      </w:tr>
      <w:tr w14:paraId="0D3DAA29">
        <w:trPr>
          <w:cantSplit/>
        </w:trPr>
        <w:tc>
          <w:tcPr>
            <w:tcW w:w="2300" w:type="dxa"/>
          </w:tcPr>
          <w:p w14:paraId="329C9048">
            <w:pPr>
              <w:spacing w:before="60" w:after="60"/>
            </w:pPr>
            <w:r>
              <w:rPr>
                <w:rFonts w:eastAsia="Muli" w:cs="Muli" w:asciiTheme="majorHAnsi" w:hAnsiTheme="majorHAnsi"/>
                <w:b/>
                <w:bCs/>
                <w:sz w:val="18"/>
                <w:szCs w:val="18"/>
              </w:rPr>
              <w:t>GST</w:t>
            </w:r>
          </w:p>
        </w:tc>
        <w:tc>
          <w:tcPr>
            <w:tcW w:w="5592" w:type="dxa"/>
          </w:tcPr>
          <w:p w14:paraId="48DD09D0">
            <w:pPr>
              <w:spacing w:before="60" w:after="60"/>
            </w:pPr>
            <w:r>
              <w:rPr>
                <w:rFonts w:eastAsia="Muli" w:cs="Muli" w:asciiTheme="majorHAnsi" w:hAnsiTheme="majorHAnsi"/>
                <w:sz w:val="18"/>
                <w:szCs w:val="18"/>
              </w:rPr>
              <w:t>has the meaning given in the A New Tax System (Goods and Services Tax) Act 1999 (Cth).</w:t>
            </w:r>
          </w:p>
        </w:tc>
      </w:tr>
      <w:tr w14:paraId="456F8EFB">
        <w:trPr>
          <w:cantSplit/>
        </w:trPr>
        <w:tc>
          <w:tcPr>
            <w:tcW w:w="2300" w:type="dxa"/>
          </w:tcPr>
          <w:p w14:paraId="0ADC8559">
            <w:pPr>
              <w:spacing w:before="60" w:after="60"/>
            </w:pPr>
            <w:r>
              <w:rPr>
                <w:rFonts w:eastAsia="Muli" w:cs="Muli" w:asciiTheme="majorHAnsi" w:hAnsiTheme="majorHAnsi"/>
                <w:b/>
                <w:bCs/>
                <w:sz w:val="18"/>
                <w:szCs w:val="18"/>
              </w:rPr>
              <w:t>In-App Preferences</w:t>
            </w:r>
          </w:p>
        </w:tc>
        <w:tc>
          <w:tcPr>
            <w:tcW w:w="5592" w:type="dxa"/>
          </w:tcPr>
          <w:p w14:paraId="33562A9A">
            <w:pPr>
              <w:spacing w:before="60" w:after="60"/>
            </w:pPr>
            <w:r>
              <w:rPr>
                <w:rFonts w:eastAsia="Muli" w:cs="Muli" w:asciiTheme="majorHAnsi" w:hAnsiTheme="majorHAnsi"/>
                <w:sz w:val="18"/>
                <w:szCs w:val="18"/>
              </w:rPr>
              <w:t>the choices you make and the activity you carry out inside the Platform, such as categories and interests you select, saved listings, followed Businesses, search terms, location settings, notification settings and language.</w:t>
            </w:r>
          </w:p>
        </w:tc>
      </w:tr>
      <w:tr w14:paraId="2DE43592">
        <w:trPr>
          <w:cantSplit/>
        </w:trPr>
        <w:tc>
          <w:tcPr>
            <w:tcW w:w="2300" w:type="dxa"/>
          </w:tcPr>
          <w:p w14:paraId="094FF634">
            <w:pPr>
              <w:spacing w:before="60" w:after="60"/>
            </w:pPr>
            <w:r>
              <w:rPr>
                <w:rFonts w:eastAsia="Muli" w:cs="Muli" w:asciiTheme="majorHAnsi" w:hAnsiTheme="majorHAnsi"/>
                <w:b/>
                <w:bCs/>
                <w:sz w:val="18"/>
                <w:szCs w:val="18"/>
              </w:rPr>
              <w:t>Marketing Message</w:t>
            </w:r>
          </w:p>
        </w:tc>
        <w:tc>
          <w:tcPr>
            <w:tcW w:w="5592" w:type="dxa"/>
          </w:tcPr>
          <w:p w14:paraId="79247D43">
            <w:pPr>
              <w:spacing w:before="60" w:after="60"/>
            </w:pPr>
            <w:r>
              <w:rPr>
                <w:rFonts w:eastAsia="Muli" w:cs="Muli" w:asciiTheme="majorHAnsi" w:hAnsiTheme="majorHAnsi"/>
                <w:sz w:val="18"/>
                <w:szCs w:val="18"/>
              </w:rPr>
              <w:t>a commercial electronic message within the meaning of the Spam Act 2003 (Cth), and any other direct marketing communication.</w:t>
            </w:r>
          </w:p>
        </w:tc>
      </w:tr>
      <w:tr w14:paraId="32C4A7F0">
        <w:trPr>
          <w:cantSplit/>
        </w:trPr>
        <w:tc>
          <w:tcPr>
            <w:tcW w:w="2300" w:type="dxa"/>
          </w:tcPr>
          <w:p w14:paraId="7AD8959E">
            <w:pPr>
              <w:spacing w:before="60" w:after="60"/>
            </w:pPr>
            <w:r>
              <w:rPr>
                <w:rFonts w:eastAsia="Muli" w:cs="Muli" w:asciiTheme="majorHAnsi" w:hAnsiTheme="majorHAnsi"/>
                <w:b/>
                <w:bCs/>
                <w:sz w:val="18"/>
                <w:szCs w:val="18"/>
              </w:rPr>
              <w:t>Order</w:t>
            </w:r>
          </w:p>
        </w:tc>
        <w:tc>
          <w:tcPr>
            <w:tcW w:w="5592" w:type="dxa"/>
          </w:tcPr>
          <w:p w14:paraId="4936852B">
            <w:pPr>
              <w:spacing w:before="60" w:after="60"/>
            </w:pPr>
            <w:r>
              <w:rPr>
                <w:rFonts w:eastAsia="Muli" w:cs="Muli" w:asciiTheme="majorHAnsi" w:hAnsiTheme="majorHAnsi"/>
                <w:sz w:val="18"/>
                <w:szCs w:val="18"/>
              </w:rPr>
              <w:t>a request by a Consumer or a Business Buyer to buy goods or services from a Business through the Platform.</w:t>
            </w:r>
          </w:p>
        </w:tc>
      </w:tr>
      <w:tr w14:paraId="1CED0937">
        <w:trPr>
          <w:cantSplit/>
        </w:trPr>
        <w:tc>
          <w:tcPr>
            <w:tcW w:w="2300" w:type="dxa"/>
          </w:tcPr>
          <w:p w14:paraId="0DDC3996">
            <w:pPr>
              <w:spacing w:before="60" w:after="60"/>
            </w:pPr>
            <w:r>
              <w:rPr>
                <w:rFonts w:eastAsia="Muli" w:cs="Muli" w:asciiTheme="majorHAnsi" w:hAnsiTheme="majorHAnsi"/>
                <w:b/>
                <w:bCs/>
                <w:sz w:val="18"/>
                <w:szCs w:val="18"/>
              </w:rPr>
              <w:t>Payment Provider</w:t>
            </w:r>
          </w:p>
        </w:tc>
        <w:tc>
          <w:tcPr>
            <w:tcW w:w="5592" w:type="dxa"/>
          </w:tcPr>
          <w:p w14:paraId="60D5E9B4">
            <w:pPr>
              <w:spacing w:before="60" w:after="60"/>
            </w:pPr>
            <w:r>
              <w:rPr>
                <w:rFonts w:eastAsia="Muli" w:cs="Muli" w:asciiTheme="majorHAnsi" w:hAnsiTheme="majorHAnsi"/>
                <w:sz w:val="18"/>
                <w:szCs w:val="18"/>
              </w:rPr>
              <w:t>a third-party payment processor used for the Platform, currently Stripe for Orders and the Platform Fee and, for Subscriptions, the Apple App Store or Google Play.</w:t>
            </w:r>
          </w:p>
        </w:tc>
      </w:tr>
      <w:tr w14:paraId="6EEE3C1A">
        <w:trPr>
          <w:cantSplit/>
        </w:trPr>
        <w:tc>
          <w:tcPr>
            <w:tcW w:w="2300" w:type="dxa"/>
          </w:tcPr>
          <w:p w14:paraId="58FDBE5E">
            <w:pPr>
              <w:spacing w:before="60" w:after="60"/>
            </w:pPr>
            <w:r>
              <w:rPr>
                <w:rFonts w:eastAsia="Muli" w:cs="Muli" w:asciiTheme="majorHAnsi" w:hAnsiTheme="majorHAnsi"/>
                <w:b/>
                <w:bCs/>
                <w:sz w:val="18"/>
                <w:szCs w:val="18"/>
              </w:rPr>
              <w:t>Platform</w:t>
            </w:r>
          </w:p>
        </w:tc>
        <w:tc>
          <w:tcPr>
            <w:tcW w:w="5592" w:type="dxa"/>
          </w:tcPr>
          <w:p w14:paraId="06E4B113">
            <w:pPr>
              <w:spacing w:before="60" w:after="60"/>
            </w:pPr>
            <w:r>
              <w:rPr>
                <w:rFonts w:eastAsia="Muli" w:cs="Muli" w:asciiTheme="majorHAnsi" w:hAnsiTheme="majorHAnsi"/>
                <w:sz w:val="18"/>
                <w:szCs w:val="18"/>
              </w:rPr>
              <w:t>has the meaning in clause 1.2.</w:t>
            </w:r>
          </w:p>
        </w:tc>
      </w:tr>
      <w:tr w14:paraId="75042C02">
        <w:trPr>
          <w:cantSplit/>
        </w:trPr>
        <w:tc>
          <w:tcPr>
            <w:tcW w:w="2300" w:type="dxa"/>
          </w:tcPr>
          <w:p w14:paraId="74E5ABC7">
            <w:pPr>
              <w:spacing w:before="60" w:after="60"/>
            </w:pPr>
            <w:r>
              <w:rPr>
                <w:rFonts w:eastAsia="Muli" w:cs="Muli" w:asciiTheme="majorHAnsi" w:hAnsiTheme="majorHAnsi"/>
                <w:b/>
                <w:bCs/>
                <w:sz w:val="18"/>
                <w:szCs w:val="18"/>
              </w:rPr>
              <w:t>Platform Fee</w:t>
            </w:r>
          </w:p>
        </w:tc>
        <w:tc>
          <w:tcPr>
            <w:tcW w:w="5592" w:type="dxa"/>
          </w:tcPr>
          <w:p w14:paraId="2516F606">
            <w:pPr>
              <w:spacing w:before="60" w:after="60"/>
            </w:pPr>
            <w:r>
              <w:rPr>
                <w:rFonts w:eastAsia="Muli" w:cs="Muli" w:asciiTheme="majorHAnsi" w:hAnsiTheme="majorHAnsi"/>
                <w:sz w:val="18"/>
                <w:szCs w:val="18"/>
              </w:rPr>
              <w:t>any service, transaction, booking, delivery or other fee charged by TWCW and disclosed under clause 8.2 or Schedule 1.</w:t>
            </w:r>
          </w:p>
        </w:tc>
      </w:tr>
      <w:tr w14:paraId="6262320B">
        <w:trPr>
          <w:cantSplit/>
        </w:trPr>
        <w:tc>
          <w:tcPr>
            <w:tcW w:w="2300" w:type="dxa"/>
          </w:tcPr>
          <w:p w14:paraId="344022EA">
            <w:pPr>
              <w:spacing w:before="60" w:after="60"/>
            </w:pPr>
            <w:r>
              <w:rPr>
                <w:rFonts w:eastAsia="Muli" w:cs="Muli" w:asciiTheme="majorHAnsi" w:hAnsiTheme="majorHAnsi"/>
                <w:b/>
                <w:bCs/>
                <w:sz w:val="18"/>
                <w:szCs w:val="18"/>
              </w:rPr>
              <w:t>Regulator</w:t>
            </w:r>
          </w:p>
        </w:tc>
        <w:tc>
          <w:tcPr>
            <w:tcW w:w="5592" w:type="dxa"/>
          </w:tcPr>
          <w:p w14:paraId="359E7B12">
            <w:pPr>
              <w:spacing w:before="60" w:after="60"/>
            </w:pPr>
            <w:r>
              <w:rPr>
                <w:rFonts w:eastAsia="Muli" w:cs="Muli" w:asciiTheme="majorHAnsi" w:hAnsiTheme="majorHAnsi"/>
                <w:sz w:val="18"/>
                <w:szCs w:val="18"/>
              </w:rPr>
              <w:t>any government, regulatory or law-enforcement body, including the ACCC, ASIC, the OAIC, the eSafety Commissioner, the ACMA, AUSTRAC, the ATO, the TGA, the Australian Federal Police, the National Anti-Scam Centre, the Australian Health Practitioner Regulation Agency and State and Territory consumer, licensing and safety agencies, and any court or tribunal.</w:t>
            </w:r>
          </w:p>
        </w:tc>
      </w:tr>
      <w:tr w14:paraId="1441A41B">
        <w:trPr>
          <w:cantSplit/>
        </w:trPr>
        <w:tc>
          <w:tcPr>
            <w:tcW w:w="2300" w:type="dxa"/>
          </w:tcPr>
          <w:p w14:paraId="02B63575">
            <w:pPr>
              <w:spacing w:before="60" w:after="60"/>
            </w:pPr>
            <w:r>
              <w:rPr>
                <w:rFonts w:eastAsia="Muli" w:cs="Muli" w:asciiTheme="majorHAnsi" w:hAnsiTheme="majorHAnsi"/>
                <w:b/>
                <w:bCs/>
                <w:sz w:val="18"/>
                <w:szCs w:val="18"/>
              </w:rPr>
              <w:t>Sale Contract</w:t>
            </w:r>
          </w:p>
        </w:tc>
        <w:tc>
          <w:tcPr>
            <w:tcW w:w="5592" w:type="dxa"/>
          </w:tcPr>
          <w:p w14:paraId="71A6BFAB">
            <w:pPr>
              <w:spacing w:before="60" w:after="60"/>
            </w:pPr>
            <w:r>
              <w:rPr>
                <w:rFonts w:eastAsia="Muli" w:cs="Muli" w:asciiTheme="majorHAnsi" w:hAnsiTheme="majorHAnsi"/>
                <w:sz w:val="18"/>
                <w:szCs w:val="18"/>
              </w:rPr>
              <w:t>the contract between a Consumer or Business Buyer and a Business for goods or services arising from an Order.</w:t>
            </w:r>
          </w:p>
        </w:tc>
      </w:tr>
      <w:tr w14:paraId="0D2A9EDD">
        <w:trPr>
          <w:cantSplit/>
        </w:trPr>
        <w:tc>
          <w:tcPr>
            <w:tcW w:w="2300" w:type="dxa"/>
          </w:tcPr>
          <w:p w14:paraId="499701AD">
            <w:pPr>
              <w:spacing w:before="60" w:after="60"/>
            </w:pPr>
            <w:r>
              <w:rPr>
                <w:rFonts w:eastAsia="Muli" w:cs="Muli" w:asciiTheme="majorHAnsi" w:hAnsiTheme="majorHAnsi"/>
                <w:b/>
                <w:bCs/>
                <w:sz w:val="18"/>
                <w:szCs w:val="18"/>
              </w:rPr>
              <w:t>Scam</w:t>
            </w:r>
          </w:p>
        </w:tc>
        <w:tc>
          <w:tcPr>
            <w:tcW w:w="5592" w:type="dxa"/>
          </w:tcPr>
          <w:p w14:paraId="123C45D4">
            <w:pPr>
              <w:spacing w:before="60" w:after="60"/>
            </w:pPr>
            <w:r>
              <w:rPr>
                <w:rFonts w:eastAsia="Muli" w:cs="Muli" w:asciiTheme="majorHAnsi" w:hAnsiTheme="majorHAnsi"/>
                <w:sz w:val="18"/>
                <w:szCs w:val="18"/>
              </w:rPr>
              <w:t>a dishonest scheme, act or omission intended to deceive a person into parting with money, goods, credentials or personal information, including fraudulent listings, advertisements, messages and payment requests, fake stores, impersonation, phishing and money-mule activity.</w:t>
            </w:r>
          </w:p>
        </w:tc>
      </w:tr>
      <w:tr w14:paraId="7AB5AED6">
        <w:trPr>
          <w:cantSplit/>
        </w:trPr>
        <w:tc>
          <w:tcPr>
            <w:tcW w:w="2300" w:type="dxa"/>
          </w:tcPr>
          <w:p w14:paraId="547BDC59">
            <w:pPr>
              <w:spacing w:before="60" w:after="60"/>
            </w:pPr>
            <w:r>
              <w:rPr>
                <w:rFonts w:eastAsia="Muli" w:cs="Muli" w:asciiTheme="majorHAnsi" w:hAnsiTheme="majorHAnsi"/>
                <w:b/>
                <w:bCs/>
                <w:sz w:val="18"/>
                <w:szCs w:val="18"/>
              </w:rPr>
              <w:t>Stripe Terms</w:t>
            </w:r>
          </w:p>
        </w:tc>
        <w:tc>
          <w:tcPr>
            <w:tcW w:w="5592" w:type="dxa"/>
          </w:tcPr>
          <w:p w14:paraId="2633297D">
            <w:pPr>
              <w:spacing w:before="60" w:after="60"/>
            </w:pPr>
            <w:r>
              <w:rPr>
                <w:rFonts w:eastAsia="Muli" w:cs="Muli" w:asciiTheme="majorHAnsi" w:hAnsiTheme="majorHAnsi"/>
                <w:sz w:val="18"/>
                <w:szCs w:val="18"/>
              </w:rPr>
              <w:t>Stripe's services agreement, connected account agreement and any other terms, policies and lists of prohibited and restricted businesses that Stripe applies to a User, as updated from time to time.</w:t>
            </w:r>
          </w:p>
        </w:tc>
      </w:tr>
      <w:tr w14:paraId="5128DF6D">
        <w:trPr>
          <w:cantSplit/>
        </w:trPr>
        <w:tc>
          <w:tcPr>
            <w:tcW w:w="2300" w:type="dxa"/>
          </w:tcPr>
          <w:p w14:paraId="5EC1639D">
            <w:pPr>
              <w:spacing w:before="60" w:after="60"/>
            </w:pPr>
            <w:r>
              <w:rPr>
                <w:rFonts w:eastAsia="Muli" w:cs="Muli" w:asciiTheme="majorHAnsi" w:hAnsiTheme="majorHAnsi"/>
                <w:b/>
                <w:bCs/>
                <w:sz w:val="18"/>
                <w:szCs w:val="18"/>
              </w:rPr>
              <w:t>Subscription</w:t>
            </w:r>
          </w:p>
        </w:tc>
        <w:tc>
          <w:tcPr>
            <w:tcW w:w="5592" w:type="dxa"/>
          </w:tcPr>
          <w:p w14:paraId="58B60A8D">
            <w:pPr>
              <w:spacing w:before="60" w:after="60"/>
            </w:pPr>
            <w:r>
              <w:rPr>
                <w:rFonts w:eastAsia="Muli" w:cs="Muli" w:asciiTheme="majorHAnsi" w:hAnsiTheme="majorHAnsi"/>
                <w:sz w:val="18"/>
                <w:szCs w:val="18"/>
              </w:rPr>
              <w:t>a paid plan selected by a Business under clause 15 and Schedule 1.</w:t>
            </w:r>
          </w:p>
        </w:tc>
      </w:tr>
      <w:tr w14:paraId="580A798C">
        <w:trPr>
          <w:cantSplit/>
        </w:trPr>
        <w:tc>
          <w:tcPr>
            <w:tcW w:w="2300" w:type="dxa"/>
          </w:tcPr>
          <w:p w14:paraId="6BF687FB">
            <w:pPr>
              <w:spacing w:before="60" w:after="60"/>
            </w:pPr>
            <w:r>
              <w:rPr>
                <w:rFonts w:eastAsia="Muli" w:cs="Muli" w:asciiTheme="majorHAnsi" w:hAnsiTheme="majorHAnsi"/>
                <w:b/>
                <w:bCs/>
                <w:sz w:val="18"/>
                <w:szCs w:val="18"/>
              </w:rPr>
              <w:t>Tracking Technology</w:t>
            </w:r>
          </w:p>
        </w:tc>
        <w:tc>
          <w:tcPr>
            <w:tcW w:w="5592" w:type="dxa"/>
          </w:tcPr>
          <w:p w14:paraId="12BAF430">
            <w:pPr>
              <w:spacing w:before="60" w:after="60"/>
            </w:pPr>
            <w:r>
              <w:rPr>
                <w:rFonts w:eastAsia="Muli" w:cs="Muli" w:asciiTheme="majorHAnsi" w:hAnsiTheme="majorHAnsi"/>
                <w:sz w:val="18"/>
                <w:szCs w:val="18"/>
              </w:rPr>
              <w:t>a cookie, local storage item, device identifier, token or similar technology that stores or reads information on your device.</w:t>
            </w:r>
          </w:p>
        </w:tc>
      </w:tr>
      <w:tr w14:paraId="364437BA">
        <w:trPr>
          <w:cantSplit/>
        </w:trPr>
        <w:tc>
          <w:tcPr>
            <w:tcW w:w="2300" w:type="dxa"/>
          </w:tcPr>
          <w:p w14:paraId="35CF59D1">
            <w:pPr>
              <w:spacing w:before="60" w:after="60"/>
            </w:pPr>
            <w:r>
              <w:rPr>
                <w:rFonts w:eastAsia="Muli" w:cs="Muli" w:asciiTheme="majorHAnsi" w:hAnsiTheme="majorHAnsi"/>
                <w:b/>
                <w:bCs/>
                <w:sz w:val="18"/>
                <w:szCs w:val="18"/>
              </w:rPr>
              <w:t>TWCW Personnel</w:t>
            </w:r>
          </w:p>
        </w:tc>
        <w:tc>
          <w:tcPr>
            <w:tcW w:w="5592" w:type="dxa"/>
          </w:tcPr>
          <w:p w14:paraId="1533623A">
            <w:pPr>
              <w:spacing w:before="60" w:after="60"/>
            </w:pPr>
            <w:r>
              <w:rPr>
                <w:rFonts w:eastAsia="Muli" w:cs="Muli" w:asciiTheme="majorHAnsi" w:hAnsiTheme="majorHAnsi"/>
                <w:sz w:val="18"/>
                <w:szCs w:val="18"/>
              </w:rPr>
              <w:t>TWCW’s directors, officers, employees, contractors, agents, affiliates and service providers.</w:t>
            </w:r>
          </w:p>
        </w:tc>
      </w:tr>
      <w:tr w14:paraId="49971B2E">
        <w:trPr>
          <w:cantSplit/>
        </w:trPr>
        <w:tc>
          <w:tcPr>
            <w:tcW w:w="2300" w:type="dxa"/>
          </w:tcPr>
          <w:p w14:paraId="3DE79021">
            <w:pPr>
              <w:spacing w:before="60" w:after="60"/>
            </w:pPr>
            <w:r>
              <w:rPr>
                <w:rFonts w:eastAsia="Muli" w:cs="Muli" w:asciiTheme="majorHAnsi" w:hAnsiTheme="majorHAnsi"/>
                <w:b/>
                <w:bCs/>
                <w:sz w:val="18"/>
                <w:szCs w:val="18"/>
              </w:rPr>
              <w:t>User</w:t>
            </w:r>
          </w:p>
        </w:tc>
        <w:tc>
          <w:tcPr>
            <w:tcW w:w="5592" w:type="dxa"/>
          </w:tcPr>
          <w:p w14:paraId="27BFEA3E">
            <w:pPr>
              <w:spacing w:before="60" w:after="60"/>
            </w:pPr>
            <w:r>
              <w:rPr>
                <w:rFonts w:eastAsia="Muli" w:cs="Muli" w:asciiTheme="majorHAnsi" w:hAnsiTheme="majorHAnsi"/>
                <w:sz w:val="18"/>
                <w:szCs w:val="18"/>
              </w:rPr>
              <w:t>any Consumer, Business, visitor, account holder, partner or other person using the Platform.</w:t>
            </w:r>
          </w:p>
        </w:tc>
      </w:tr>
    </w:tbl>
    <w:p w14:paraId="3142409F">
      <w:pPr>
        <w:spacing w:before="0" w:after="120"/>
      </w:pPr>
    </w:p>
    <w:p w14:paraId="064DD219">
      <w:pPr>
        <w:pStyle w:val="20"/>
        <w:numPr>
          <w:ilvl w:val="1"/>
          <w:numId w:val="3"/>
        </w:numPr>
        <w:spacing w:before="0" w:after="140"/>
        <w:contextualSpacing w:val="0"/>
      </w:pPr>
      <w:r>
        <w:rPr>
          <w:rFonts w:eastAsia="Muli" w:cs="Muli" w:asciiTheme="majorHAnsi" w:hAnsiTheme="majorHAnsi"/>
          <w:b/>
          <w:bCs/>
          <w:sz w:val="20"/>
          <w:szCs w:val="20"/>
        </w:rPr>
        <w:t xml:space="preserve">Interpretation. </w:t>
      </w:r>
      <w:r>
        <w:rPr>
          <w:rFonts w:eastAsia="Muli" w:cs="Muli" w:asciiTheme="majorHAnsi" w:hAnsiTheme="majorHAnsi"/>
          <w:sz w:val="20"/>
          <w:szCs w:val="20"/>
        </w:rPr>
        <w:t>In these Terms, “including” is not a word of limitation; a reference to legislation includes amendments and replacements; headings are for convenience only; and a reference to a clause or Schedule is to a clause of or Schedule to these Terms.</w:t>
      </w:r>
    </w:p>
    <w:p w14:paraId="7A694D80">
      <w:pPr>
        <w:pStyle w:val="20"/>
        <w:keepNext/>
        <w:numPr>
          <w:ilvl w:val="0"/>
          <w:numId w:val="3"/>
        </w:numPr>
        <w:spacing w:before="300" w:after="140"/>
        <w:contextualSpacing w:val="0"/>
        <w:rPr>
          <w:rFonts w:eastAsia="Muli" w:cs="Muli" w:asciiTheme="majorHAnsi" w:hAnsiTheme="majorHAnsi"/>
          <w:b/>
          <w:bCs/>
          <w:spacing w:val="20"/>
          <w:sz w:val="20"/>
          <w:szCs w:val="20"/>
          <w:u w:val="single"/>
        </w:rPr>
      </w:pPr>
      <w:r>
        <w:rPr>
          <w:rFonts w:eastAsia="Muli" w:cs="Muli" w:asciiTheme="majorHAnsi" w:hAnsiTheme="majorHAnsi"/>
          <w:b/>
          <w:bCs/>
          <w:spacing w:val="20"/>
          <w:sz w:val="20"/>
          <w:szCs w:val="20"/>
          <w:u w:val="single"/>
        </w:rPr>
        <w:t>ELIGIBILITY AND ACCOUNTS</w:t>
      </w:r>
    </w:p>
    <w:p w14:paraId="0F2B674D">
      <w:pPr>
        <w:pStyle w:val="20"/>
        <w:numPr>
          <w:ilvl w:val="1"/>
          <w:numId w:val="3"/>
        </w:numPr>
        <w:spacing w:before="0" w:after="140"/>
        <w:contextualSpacing w:val="0"/>
      </w:pPr>
      <w:r>
        <w:rPr>
          <w:rFonts w:eastAsia="Muli" w:cs="Muli" w:asciiTheme="majorHAnsi" w:hAnsiTheme="majorHAnsi"/>
          <w:b/>
          <w:bCs/>
          <w:sz w:val="20"/>
          <w:szCs w:val="20"/>
        </w:rPr>
        <w:t>Minimum age.</w:t>
      </w:r>
      <w:r>
        <w:rPr>
          <w:rFonts w:eastAsia="Muli" w:cs="Muli" w:asciiTheme="majorHAnsi" w:hAnsiTheme="majorHAnsi"/>
          <w:sz w:val="20"/>
          <w:szCs w:val="20"/>
        </w:rPr>
        <w:t xml:space="preserve"> To hold a Consumer account you must be at least </w:t>
      </w:r>
      <w:r>
        <w:rPr>
          <w:rFonts w:eastAsia="Muli" w:cs="Muli" w:asciiTheme="majorHAnsi" w:hAnsiTheme="majorHAnsi"/>
          <w:sz w:val="20"/>
          <w:szCs w:val="20"/>
          <w:highlight w:val="lightGray"/>
        </w:rPr>
        <w:t>[16]</w:t>
      </w:r>
      <w:r>
        <w:rPr>
          <w:rFonts w:eastAsia="Muli" w:cs="Muli" w:asciiTheme="majorHAnsi" w:hAnsiTheme="majorHAnsi"/>
          <w:sz w:val="20"/>
          <w:szCs w:val="20"/>
        </w:rPr>
        <w:t xml:space="preserve"> years old. To hold a Business account you must be at least 18 and legally capable of entering into a binding contract. We may ask you to confirm your age, and we may introduce age-assurance checks at sign-up or later; you must answer truthfully. If we learn that someone below the minimum age has an account, we may close it and delete the related personal information, subject to our legal obligations. Parents and guardians are responsible for supervising any minor’s use of devices.</w:t>
      </w:r>
    </w:p>
    <w:p w14:paraId="003A70C0">
      <w:pPr>
        <w:pStyle w:val="20"/>
        <w:numPr>
          <w:ilvl w:val="1"/>
          <w:numId w:val="3"/>
        </w:numPr>
        <w:spacing w:before="0" w:after="140"/>
        <w:contextualSpacing w:val="0"/>
      </w:pPr>
      <w:r>
        <w:rPr>
          <w:rFonts w:eastAsia="Muli" w:cs="Muli" w:asciiTheme="majorHAnsi" w:hAnsiTheme="majorHAnsi"/>
          <w:b/>
          <w:bCs/>
          <w:sz w:val="20"/>
          <w:szCs w:val="20"/>
        </w:rPr>
        <w:t xml:space="preserve">Who may not use the Platform. </w:t>
      </w:r>
      <w:r>
        <w:rPr>
          <w:rFonts w:eastAsia="Muli" w:cs="Muli" w:asciiTheme="majorHAnsi" w:hAnsiTheme="majorHAnsi"/>
          <w:sz w:val="20"/>
          <w:szCs w:val="20"/>
        </w:rPr>
        <w:t>You must not use the Platform if:</w:t>
      </w:r>
    </w:p>
    <w:p w14:paraId="75E3FD34">
      <w:pPr>
        <w:pStyle w:val="20"/>
        <w:numPr>
          <w:ilvl w:val="2"/>
          <w:numId w:val="3"/>
        </w:numPr>
        <w:spacing w:before="0" w:after="100"/>
        <w:contextualSpacing w:val="0"/>
      </w:pPr>
      <w:r>
        <w:rPr>
          <w:rFonts w:eastAsia="Muli" w:cs="Muli" w:asciiTheme="majorHAnsi" w:hAnsiTheme="majorHAnsi"/>
          <w:sz w:val="20"/>
          <w:szCs w:val="20"/>
        </w:rPr>
        <w:t>we have previously suspended or terminated your account for a breach of these Terms or a policy, unless we have given you written permission to return;</w:t>
      </w:r>
    </w:p>
    <w:p w14:paraId="72482D23">
      <w:pPr>
        <w:pStyle w:val="20"/>
        <w:numPr>
          <w:ilvl w:val="2"/>
          <w:numId w:val="3"/>
        </w:numPr>
        <w:spacing w:before="0" w:after="100"/>
        <w:contextualSpacing w:val="0"/>
      </w:pPr>
      <w:r>
        <w:rPr>
          <w:rFonts w:eastAsia="Muli" w:cs="Muli" w:asciiTheme="majorHAnsi" w:hAnsiTheme="majorHAnsi"/>
          <w:sz w:val="20"/>
          <w:szCs w:val="20"/>
        </w:rPr>
        <w:t>you are prohibited by Applicable Law from receiving our services, or you are a person or entity subject to Australian sanctions laws;</w:t>
      </w:r>
    </w:p>
    <w:p w14:paraId="0594F3F7">
      <w:pPr>
        <w:pStyle w:val="20"/>
        <w:numPr>
          <w:ilvl w:val="2"/>
          <w:numId w:val="3"/>
        </w:numPr>
        <w:spacing w:before="0" w:after="100"/>
        <w:contextualSpacing w:val="0"/>
      </w:pPr>
      <w:r>
        <w:rPr>
          <w:rFonts w:eastAsia="Muli" w:cs="Muli" w:asciiTheme="majorHAnsi" w:hAnsiTheme="majorHAnsi"/>
          <w:sz w:val="20"/>
          <w:szCs w:val="20"/>
        </w:rPr>
        <w:t>you are a multinational corporation (or are controlled by one) and apply as a Business (see clause 22); or</w:t>
      </w:r>
    </w:p>
    <w:p w14:paraId="3F2CCE4B">
      <w:pPr>
        <w:pStyle w:val="20"/>
        <w:numPr>
          <w:ilvl w:val="2"/>
          <w:numId w:val="3"/>
        </w:numPr>
        <w:spacing w:before="0" w:after="100"/>
        <w:contextualSpacing w:val="0"/>
      </w:pPr>
      <w:r>
        <w:rPr>
          <w:rFonts w:eastAsia="Muli" w:cs="Muli" w:asciiTheme="majorHAnsi" w:hAnsiTheme="majorHAnsi"/>
          <w:sz w:val="20"/>
          <w:szCs w:val="20"/>
        </w:rPr>
        <w:t>we reasonably determine that your use presents a risk to the safety of other Users.</w:t>
      </w:r>
    </w:p>
    <w:p w14:paraId="0A7A3090">
      <w:pPr>
        <w:pStyle w:val="20"/>
        <w:numPr>
          <w:ilvl w:val="1"/>
          <w:numId w:val="3"/>
        </w:numPr>
        <w:spacing w:before="0" w:after="140"/>
        <w:contextualSpacing w:val="0"/>
      </w:pPr>
      <w:r>
        <w:rPr>
          <w:rFonts w:eastAsia="Muli" w:cs="Muli" w:asciiTheme="majorHAnsi" w:hAnsiTheme="majorHAnsi"/>
          <w:b/>
          <w:bCs/>
          <w:sz w:val="20"/>
          <w:szCs w:val="20"/>
        </w:rPr>
        <w:t xml:space="preserve">Accurate information. </w:t>
      </w:r>
      <w:r>
        <w:rPr>
          <w:rFonts w:eastAsia="Muli" w:cs="Muli" w:asciiTheme="majorHAnsi" w:hAnsiTheme="majorHAnsi"/>
          <w:sz w:val="20"/>
          <w:szCs w:val="20"/>
        </w:rPr>
        <w:t>You must provide accurate, current and complete information and keep it up to date. A Business must provide its legal and trading names, ABN or ACN, GST status, ownership and control information, contact details, address, and every licence or registration needed for its goods and services. You must use your real name (or, for a Business, its real legal and trading names) and not impersonate anyone.</w:t>
      </w:r>
    </w:p>
    <w:p w14:paraId="0FF3B642">
      <w:pPr>
        <w:pStyle w:val="20"/>
        <w:numPr>
          <w:ilvl w:val="1"/>
          <w:numId w:val="3"/>
        </w:numPr>
        <w:spacing w:before="0" w:after="140"/>
        <w:contextualSpacing w:val="0"/>
      </w:pPr>
      <w:r>
        <w:rPr>
          <w:rFonts w:eastAsia="Muli" w:cs="Muli" w:asciiTheme="majorHAnsi" w:hAnsiTheme="majorHAnsi"/>
          <w:b/>
          <w:bCs/>
          <w:sz w:val="20"/>
          <w:szCs w:val="20"/>
        </w:rPr>
        <w:t>One account.</w:t>
      </w:r>
      <w:r>
        <w:rPr>
          <w:rFonts w:eastAsia="Muli" w:cs="Muli" w:asciiTheme="majorHAnsi" w:hAnsiTheme="majorHAnsi"/>
          <w:sz w:val="20"/>
          <w:szCs w:val="20"/>
        </w:rPr>
        <w:t xml:space="preserve"> You may hold only one account. A single account can have both Consumer and Business functions, and a Business may keep only one Business profile for each business it operates. Accounts are personal to the registered User or Business and must not be sold, shared or transferred without our written permission.</w:t>
      </w:r>
    </w:p>
    <w:p w14:paraId="077261A1">
      <w:pPr>
        <w:pStyle w:val="20"/>
        <w:numPr>
          <w:ilvl w:val="1"/>
          <w:numId w:val="3"/>
        </w:numPr>
        <w:spacing w:before="0" w:after="140"/>
        <w:contextualSpacing w:val="0"/>
      </w:pPr>
      <w:r>
        <w:rPr>
          <w:rFonts w:eastAsia="Muli" w:cs="Muli" w:asciiTheme="majorHAnsi" w:hAnsiTheme="majorHAnsi"/>
          <w:b/>
          <w:bCs/>
          <w:sz w:val="20"/>
          <w:szCs w:val="20"/>
        </w:rPr>
        <w:t xml:space="preserve">Account security. </w:t>
      </w:r>
      <w:r>
        <w:rPr>
          <w:rFonts w:eastAsia="Muli" w:cs="Muli" w:asciiTheme="majorHAnsi" w:hAnsiTheme="majorHAnsi"/>
          <w:sz w:val="20"/>
          <w:szCs w:val="20"/>
        </w:rPr>
        <w:t>You are responsible for your passwords, access codes, devices and API credentials and for all activity under your account unless you notify us promptly of unauthorised access. Tell us immediately at team@1stopapp.com if you suspect unauthorised access, fraud or a security issue. We may require extra authentication steps, including multi-factor authentication, at any time.</w:t>
      </w:r>
    </w:p>
    <w:p w14:paraId="4BB995AB">
      <w:pPr>
        <w:pStyle w:val="20"/>
        <w:numPr>
          <w:ilvl w:val="1"/>
          <w:numId w:val="3"/>
        </w:numPr>
        <w:spacing w:before="0" w:after="140"/>
        <w:contextualSpacing w:val="0"/>
      </w:pPr>
      <w:r>
        <w:rPr>
          <w:rFonts w:eastAsia="Muli" w:cs="Muli" w:asciiTheme="majorHAnsi" w:hAnsiTheme="majorHAnsi"/>
          <w:b/>
          <w:bCs/>
          <w:sz w:val="20"/>
          <w:szCs w:val="20"/>
        </w:rPr>
        <w:t xml:space="preserve">Verification is not endorsement. </w:t>
      </w:r>
      <w:r>
        <w:rPr>
          <w:rFonts w:eastAsia="Muli" w:cs="Muli" w:asciiTheme="majorHAnsi" w:hAnsiTheme="majorHAnsi"/>
          <w:sz w:val="20"/>
          <w:szCs w:val="20"/>
        </w:rPr>
        <w:t>We may verify identity, ownership, business status, licences, payment details and compliance with the AMAPP or Applicable Law, before or after approval. Any check we make, and any “verified” label, is limited to the information we reviewed at that time. It does not mean we endorse, guarantee or insure a Business, its goods or services or its claims.</w:t>
      </w:r>
    </w:p>
    <w:p w14:paraId="71492BFD">
      <w:pPr>
        <w:pStyle w:val="20"/>
        <w:numPr>
          <w:ilvl w:val="1"/>
          <w:numId w:val="3"/>
        </w:numPr>
        <w:spacing w:before="0" w:after="140"/>
        <w:contextualSpacing w:val="0"/>
      </w:pPr>
      <w:r>
        <w:rPr>
          <w:rFonts w:eastAsia="Muli" w:cs="Muli" w:asciiTheme="majorHAnsi" w:hAnsiTheme="majorHAnsi"/>
          <w:b/>
          <w:bCs/>
          <w:sz w:val="20"/>
          <w:szCs w:val="20"/>
        </w:rPr>
        <w:t xml:space="preserve">Inactive and unconfirmed accounts. </w:t>
      </w:r>
      <w:r>
        <w:rPr>
          <w:rFonts w:eastAsia="Muli" w:cs="Muli" w:asciiTheme="majorHAnsi" w:hAnsiTheme="majorHAnsi"/>
          <w:sz w:val="20"/>
          <w:szCs w:val="20"/>
        </w:rPr>
        <w:t>We may disable an account that was never confirmed, or that has been inactive for 12 months or more and has no active Subscription or open Order, after giving at least 30 days’ notice by email or in the Platform.</w:t>
      </w:r>
    </w:p>
    <w:p w14:paraId="23BE1575">
      <w:pPr>
        <w:pStyle w:val="20"/>
        <w:numPr>
          <w:ilvl w:val="1"/>
          <w:numId w:val="3"/>
        </w:numPr>
        <w:spacing w:before="0" w:after="140"/>
        <w:contextualSpacing w:val="0"/>
      </w:pPr>
      <w:r>
        <w:rPr>
          <w:rFonts w:eastAsia="Muli" w:cs="Muli" w:asciiTheme="majorHAnsi" w:hAnsiTheme="majorHAnsi"/>
          <w:b/>
          <w:bCs/>
          <w:sz w:val="20"/>
          <w:szCs w:val="20"/>
        </w:rPr>
        <w:t>Closing your account.</w:t>
      </w:r>
      <w:r>
        <w:rPr>
          <w:rFonts w:eastAsia="Muli" w:cs="Muli" w:asciiTheme="majorHAnsi" w:hAnsiTheme="majorHAnsi"/>
          <w:sz w:val="20"/>
          <w:szCs w:val="20"/>
        </w:rPr>
        <w:t xml:space="preserve"> You can close or delete your account at any time through the Platform (clause 29.16) or by emailing us. Closure does not cancel accepted Orders, refunds, fees, chargebacks or other obligations that arose before closure (clause 32.5), and it does not cancel a Subscription billed through the Apple App Store or Google Play (clause 15.6).</w:t>
      </w:r>
    </w:p>
    <w:p w14:paraId="33CCF166">
      <w:pPr>
        <w:pStyle w:val="20"/>
        <w:numPr>
          <w:ilvl w:val="1"/>
          <w:numId w:val="3"/>
        </w:numPr>
        <w:spacing w:before="0" w:after="140"/>
        <w:contextualSpacing w:val="0"/>
      </w:pPr>
      <w:r>
        <w:rPr>
          <w:rFonts w:eastAsia="Muli" w:cs="Muli" w:asciiTheme="majorHAnsi" w:hAnsiTheme="majorHAnsi"/>
          <w:b/>
          <w:bCs/>
          <w:sz w:val="20"/>
          <w:szCs w:val="20"/>
        </w:rPr>
        <w:t xml:space="preserve">Business accounts and staff. </w:t>
      </w:r>
      <w:r>
        <w:rPr>
          <w:rFonts w:eastAsia="Muli" w:cs="Muli" w:asciiTheme="majorHAnsi" w:hAnsiTheme="majorHAnsi"/>
          <w:sz w:val="20"/>
          <w:szCs w:val="20"/>
        </w:rPr>
        <w:t>A Business must make sure that each person who uses its account is authorised to do so and acts within the authority the Business has given them. The Business is responsible for the acts and omissions of its owners, directors, employees, contractors, agents and anyone else who uses its account or creates, publishes or manages its Business Content, as if they were its own.</w:t>
      </w:r>
    </w:p>
    <w:p w14:paraId="46FA104B">
      <w:pPr>
        <w:pStyle w:val="20"/>
        <w:numPr>
          <w:ilvl w:val="1"/>
          <w:numId w:val="3"/>
        </w:numPr>
        <w:spacing w:before="0" w:after="140"/>
        <w:contextualSpacing w:val="0"/>
      </w:pPr>
      <w:r>
        <w:rPr>
          <w:rFonts w:eastAsia="Muli" w:cs="Muli" w:asciiTheme="majorHAnsi" w:hAnsiTheme="majorHAnsi"/>
          <w:b/>
          <w:bCs/>
          <w:sz w:val="20"/>
          <w:szCs w:val="20"/>
        </w:rPr>
        <w:t xml:space="preserve">Younger Consumers. </w:t>
      </w:r>
      <w:r>
        <w:rPr>
          <w:rFonts w:eastAsia="Muli" w:cs="Muli" w:asciiTheme="majorHAnsi" w:hAnsiTheme="majorHAnsi"/>
          <w:sz w:val="20"/>
          <w:szCs w:val="20"/>
        </w:rPr>
        <w:t>If you are under 18 you confirm that a parent or guardian knows that you use the Platform. A person under 18 must not buy, and a Business must not sell or deliver to them, goods or services that are age-restricted by Applicable Law or by clause 17.4. We handle the personal information of younger Users as clause 29.15 describes.</w:t>
      </w:r>
    </w:p>
    <w:p w14:paraId="46557360">
      <w:pPr>
        <w:pStyle w:val="20"/>
        <w:keepNext/>
        <w:numPr>
          <w:ilvl w:val="0"/>
          <w:numId w:val="3"/>
        </w:numPr>
        <w:spacing w:before="300" w:after="140"/>
        <w:contextualSpacing w:val="0"/>
        <w:rPr>
          <w:rFonts w:eastAsia="Muli" w:cs="Muli" w:asciiTheme="majorHAnsi" w:hAnsiTheme="majorHAnsi"/>
          <w:b/>
          <w:bCs/>
          <w:spacing w:val="20"/>
          <w:sz w:val="20"/>
          <w:szCs w:val="20"/>
          <w:u w:val="single"/>
        </w:rPr>
      </w:pPr>
      <w:r>
        <w:rPr>
          <w:rFonts w:eastAsia="Muli" w:cs="Muli" w:asciiTheme="majorHAnsi" w:hAnsiTheme="majorHAnsi"/>
          <w:b/>
          <w:bCs/>
          <w:spacing w:val="20"/>
          <w:sz w:val="20"/>
          <w:szCs w:val="20"/>
          <w:u w:val="single"/>
        </w:rPr>
        <w:t>ACCEPTABLE USE</w:t>
      </w:r>
    </w:p>
    <w:p w14:paraId="27475BDE">
      <w:pPr>
        <w:pStyle w:val="20"/>
        <w:numPr>
          <w:ilvl w:val="1"/>
          <w:numId w:val="3"/>
        </w:numPr>
        <w:spacing w:before="0" w:after="140"/>
        <w:contextualSpacing w:val="0"/>
      </w:pPr>
      <w:r>
        <w:rPr>
          <w:rFonts w:eastAsia="Muli" w:cs="Muli" w:asciiTheme="majorHAnsi" w:hAnsiTheme="majorHAnsi"/>
          <w:sz w:val="20"/>
          <w:szCs w:val="20"/>
        </w:rPr>
        <w:t>You must not use the Platform, or help or encourage anyone else to use it, to:</w:t>
      </w:r>
    </w:p>
    <w:p w14:paraId="06679485">
      <w:pPr>
        <w:pStyle w:val="20"/>
        <w:numPr>
          <w:ilvl w:val="2"/>
          <w:numId w:val="3"/>
        </w:numPr>
        <w:spacing w:before="0" w:after="100"/>
        <w:contextualSpacing w:val="0"/>
      </w:pPr>
      <w:r>
        <w:rPr>
          <w:rFonts w:eastAsia="Muli" w:cs="Muli" w:asciiTheme="majorHAnsi" w:hAnsiTheme="majorHAnsi"/>
          <w:sz w:val="20"/>
          <w:szCs w:val="20"/>
        </w:rPr>
        <w:t>break any Applicable Law, infringe anyone’s rights, or encourage unlawful conduct;</w:t>
      </w:r>
    </w:p>
    <w:p w14:paraId="3B61382E">
      <w:pPr>
        <w:pStyle w:val="20"/>
        <w:numPr>
          <w:ilvl w:val="2"/>
          <w:numId w:val="3"/>
        </w:numPr>
        <w:spacing w:before="0" w:after="100"/>
        <w:contextualSpacing w:val="0"/>
      </w:pPr>
      <w:r>
        <w:rPr>
          <w:rFonts w:eastAsia="Muli" w:cs="Muli" w:asciiTheme="majorHAnsi" w:hAnsiTheme="majorHAnsi"/>
          <w:sz w:val="20"/>
          <w:szCs w:val="20"/>
        </w:rPr>
        <w:t>deceive, defraud, impersonate, phish, scam, harass, threaten, stalk, exploit or abuse any person;</w:t>
      </w:r>
    </w:p>
    <w:p w14:paraId="36A03E79">
      <w:pPr>
        <w:pStyle w:val="20"/>
        <w:numPr>
          <w:ilvl w:val="2"/>
          <w:numId w:val="3"/>
        </w:numPr>
        <w:spacing w:before="0" w:after="100"/>
        <w:contextualSpacing w:val="0"/>
      </w:pPr>
      <w:r>
        <w:rPr>
          <w:rFonts w:eastAsia="Muli" w:cs="Muli" w:asciiTheme="majorHAnsi" w:hAnsiTheme="majorHAnsi"/>
          <w:sz w:val="20"/>
          <w:szCs w:val="20"/>
        </w:rPr>
        <w:t>post or send Content that is false, misleading, defamatory, discriminatory, hateful, abusive or that you do not own or have the right to use;</w:t>
      </w:r>
    </w:p>
    <w:p w14:paraId="5681F2FD">
      <w:pPr>
        <w:pStyle w:val="20"/>
        <w:numPr>
          <w:ilvl w:val="2"/>
          <w:numId w:val="3"/>
        </w:numPr>
        <w:spacing w:before="0" w:after="100"/>
        <w:contextualSpacing w:val="0"/>
      </w:pPr>
      <w:r>
        <w:rPr>
          <w:rFonts w:eastAsia="Muli" w:cs="Muli" w:asciiTheme="majorHAnsi" w:hAnsiTheme="majorHAnsi"/>
          <w:sz w:val="20"/>
          <w:szCs w:val="20"/>
        </w:rPr>
        <w:t>list, promote or sell illegal, stolen, counterfeit, pirated, unsafe or restricted goods or services (see clause 17);</w:t>
      </w:r>
    </w:p>
    <w:p w14:paraId="380DE17B">
      <w:pPr>
        <w:pStyle w:val="20"/>
        <w:numPr>
          <w:ilvl w:val="2"/>
          <w:numId w:val="3"/>
        </w:numPr>
        <w:spacing w:before="0" w:after="100"/>
        <w:contextualSpacing w:val="0"/>
      </w:pPr>
      <w:r>
        <w:rPr>
          <w:rFonts w:eastAsia="Muli" w:cs="Muli" w:asciiTheme="majorHAnsi" w:hAnsiTheme="majorHAnsi"/>
          <w:sz w:val="20"/>
          <w:szCs w:val="20"/>
        </w:rPr>
        <w:t>upload viruses, malware or malicious code, or do anything that could disable, overburden, interfere with or impair the Platform;</w:t>
      </w:r>
    </w:p>
    <w:p w14:paraId="02E5587A">
      <w:pPr>
        <w:pStyle w:val="20"/>
        <w:numPr>
          <w:ilvl w:val="2"/>
          <w:numId w:val="3"/>
        </w:numPr>
        <w:spacing w:before="0" w:after="100"/>
        <w:contextualSpacing w:val="0"/>
      </w:pPr>
      <w:r>
        <w:rPr>
          <w:rFonts w:eastAsia="Muli" w:cs="Muli" w:asciiTheme="majorHAnsi" w:hAnsiTheme="majorHAnsi"/>
          <w:sz w:val="20"/>
          <w:szCs w:val="20"/>
        </w:rPr>
        <w:t>scrape, crawl, harvest, data-mine or systematically copy the Platform or its data by automated means, or access data you are not permitted to access, without our prior written permission;</w:t>
      </w:r>
    </w:p>
    <w:p w14:paraId="1AF3E7A0">
      <w:pPr>
        <w:pStyle w:val="20"/>
        <w:numPr>
          <w:ilvl w:val="2"/>
          <w:numId w:val="3"/>
        </w:numPr>
        <w:spacing w:before="0" w:after="100"/>
        <w:contextualSpacing w:val="0"/>
      </w:pPr>
      <w:r>
        <w:rPr>
          <w:rFonts w:eastAsia="Muli" w:cs="Muli" w:asciiTheme="majorHAnsi" w:hAnsiTheme="majorHAnsi"/>
          <w:sz w:val="20"/>
          <w:szCs w:val="20"/>
        </w:rPr>
        <w:t>reverse-engineer, decompile, disassemble or try to extract source code, except to the extent Applicable Law permits despite this restriction;</w:t>
      </w:r>
    </w:p>
    <w:p w14:paraId="74A7B14D">
      <w:pPr>
        <w:pStyle w:val="20"/>
        <w:numPr>
          <w:ilvl w:val="2"/>
          <w:numId w:val="3"/>
        </w:numPr>
        <w:spacing w:before="0" w:after="100"/>
        <w:contextualSpacing w:val="0"/>
      </w:pPr>
      <w:r>
        <w:rPr>
          <w:rFonts w:eastAsia="Muli" w:cs="Muli" w:asciiTheme="majorHAnsi" w:hAnsiTheme="majorHAnsi"/>
          <w:sz w:val="20"/>
          <w:szCs w:val="20"/>
        </w:rPr>
        <w:t>bypass or interfere with security, rate limits, payment controls, access controls or technical measures;</w:t>
      </w:r>
    </w:p>
    <w:p w14:paraId="5B8981C5">
      <w:pPr>
        <w:pStyle w:val="20"/>
        <w:numPr>
          <w:ilvl w:val="2"/>
          <w:numId w:val="3"/>
        </w:numPr>
        <w:spacing w:before="0" w:after="100"/>
        <w:contextualSpacing w:val="0"/>
      </w:pPr>
      <w:r>
        <w:rPr>
          <w:rFonts w:eastAsia="Muli" w:cs="Muli" w:asciiTheme="majorHAnsi" w:hAnsiTheme="majorHAnsi"/>
          <w:sz w:val="20"/>
          <w:szCs w:val="20"/>
        </w:rPr>
        <w:t>collect or proxy other Users’ usernames, passwords or access tokens, or misappropriate authentication credentials;</w:t>
      </w:r>
    </w:p>
    <w:p w14:paraId="7B106E0F">
      <w:pPr>
        <w:pStyle w:val="20"/>
        <w:numPr>
          <w:ilvl w:val="2"/>
          <w:numId w:val="3"/>
        </w:numPr>
        <w:spacing w:before="0" w:after="100"/>
        <w:contextualSpacing w:val="0"/>
      </w:pPr>
      <w:r>
        <w:rPr>
          <w:rFonts w:eastAsia="Muli" w:cs="Muli" w:asciiTheme="majorHAnsi" w:hAnsiTheme="majorHAnsi"/>
          <w:sz w:val="20"/>
          <w:szCs w:val="20"/>
        </w:rPr>
        <w:t>sell, licence or purchase data obtained from the Platform;</w:t>
      </w:r>
    </w:p>
    <w:p w14:paraId="2EC0DCFE">
      <w:pPr>
        <w:pStyle w:val="20"/>
        <w:numPr>
          <w:ilvl w:val="2"/>
          <w:numId w:val="3"/>
        </w:numPr>
        <w:spacing w:before="0" w:after="100"/>
        <w:contextualSpacing w:val="0"/>
      </w:pPr>
      <w:r>
        <w:rPr>
          <w:rFonts w:eastAsia="Muli" w:cs="Muli" w:asciiTheme="majorHAnsi" w:hAnsiTheme="majorHAnsi"/>
          <w:sz w:val="20"/>
          <w:szCs w:val="20"/>
        </w:rPr>
        <w:t>create duplicate, fake or automated accounts, or manipulate search results, ratings, reviews, views, Orders or transactions;</w:t>
      </w:r>
    </w:p>
    <w:p w14:paraId="10FDA14B">
      <w:pPr>
        <w:pStyle w:val="20"/>
        <w:numPr>
          <w:ilvl w:val="2"/>
          <w:numId w:val="3"/>
        </w:numPr>
        <w:spacing w:before="0" w:after="100"/>
        <w:contextualSpacing w:val="0"/>
      </w:pPr>
      <w:r>
        <w:rPr>
          <w:rFonts w:eastAsia="Muli" w:cs="Muli" w:asciiTheme="majorHAnsi" w:hAnsiTheme="majorHAnsi"/>
          <w:sz w:val="20"/>
          <w:szCs w:val="20"/>
        </w:rPr>
        <w:t>misuse any reporting, flagging, dispute or appeals channel, including by making fraudulent, duplicative or groundless reports;</w:t>
      </w:r>
    </w:p>
    <w:p w14:paraId="5C56ABC0">
      <w:pPr>
        <w:pStyle w:val="20"/>
        <w:numPr>
          <w:ilvl w:val="2"/>
          <w:numId w:val="3"/>
        </w:numPr>
        <w:spacing w:before="0" w:after="100"/>
        <w:contextualSpacing w:val="0"/>
      </w:pPr>
      <w:r>
        <w:rPr>
          <w:rFonts w:eastAsia="Muli" w:cs="Muli" w:asciiTheme="majorHAnsi" w:hAnsiTheme="majorHAnsi"/>
          <w:sz w:val="20"/>
          <w:szCs w:val="20"/>
        </w:rPr>
        <w:t>send unsolicited commercial messages or collect contact information without a lawful basis;</w:t>
      </w:r>
    </w:p>
    <w:p w14:paraId="782AB7CA">
      <w:pPr>
        <w:pStyle w:val="20"/>
        <w:numPr>
          <w:ilvl w:val="2"/>
          <w:numId w:val="3"/>
        </w:numPr>
        <w:spacing w:before="0" w:after="100"/>
        <w:contextualSpacing w:val="0"/>
      </w:pPr>
      <w:r>
        <w:rPr>
          <w:rFonts w:eastAsia="Muli" w:cs="Muli" w:asciiTheme="majorHAnsi" w:hAnsiTheme="majorHAnsi"/>
          <w:sz w:val="20"/>
          <w:szCs w:val="20"/>
        </w:rPr>
        <w:t>use the Platform to compete with, replicate or commercially exploit TWCW’s systems or data; or</w:t>
      </w:r>
    </w:p>
    <w:p w14:paraId="34833F9C">
      <w:pPr>
        <w:pStyle w:val="20"/>
        <w:numPr>
          <w:ilvl w:val="2"/>
          <w:numId w:val="3"/>
        </w:numPr>
        <w:spacing w:before="0" w:after="100"/>
        <w:contextualSpacing w:val="0"/>
      </w:pPr>
      <w:r>
        <w:rPr>
          <w:rFonts w:eastAsia="Muli" w:cs="Muli" w:asciiTheme="majorHAnsi" w:hAnsiTheme="majorHAnsi"/>
          <w:sz w:val="20"/>
          <w:szCs w:val="20"/>
        </w:rPr>
        <w:t>launder money, finance terrorism, evade sanctions, or move money for another person (including by acting as a "money mule");</w:t>
      </w:r>
    </w:p>
    <w:p w14:paraId="78D1D473">
      <w:pPr>
        <w:pStyle w:val="20"/>
        <w:numPr>
          <w:ilvl w:val="2"/>
          <w:numId w:val="3"/>
        </w:numPr>
        <w:spacing w:before="0" w:after="100"/>
        <w:contextualSpacing w:val="0"/>
      </w:pPr>
      <w:r>
        <w:rPr>
          <w:rFonts w:eastAsia="Muli" w:cs="Muli" w:asciiTheme="majorHAnsi" w:hAnsiTheme="majorHAnsi"/>
          <w:sz w:val="20"/>
          <w:szCs w:val="20"/>
        </w:rPr>
        <w:t>run, promote or facilitate a Scam, or help anyone else to do so (clause 5);</w:t>
      </w:r>
    </w:p>
    <w:p w14:paraId="352A66F6">
      <w:pPr>
        <w:pStyle w:val="20"/>
        <w:numPr>
          <w:ilvl w:val="2"/>
          <w:numId w:val="3"/>
        </w:numPr>
        <w:spacing w:before="0" w:after="100"/>
        <w:contextualSpacing w:val="0"/>
      </w:pPr>
      <w:r>
        <w:rPr>
          <w:rFonts w:eastAsia="Muli" w:cs="Muli" w:asciiTheme="majorHAnsi" w:hAnsiTheme="majorHAnsi"/>
          <w:sz w:val="20"/>
          <w:szCs w:val="20"/>
        </w:rPr>
        <w:t>avoid or circumvent any age restriction, geographic restriction, suspension, ban, safety control or content-moderation decision;</w:t>
      </w:r>
    </w:p>
    <w:p w14:paraId="15F30833">
      <w:pPr>
        <w:pStyle w:val="20"/>
        <w:numPr>
          <w:ilvl w:val="2"/>
          <w:numId w:val="3"/>
        </w:numPr>
        <w:spacing w:before="0" w:after="100"/>
        <w:contextualSpacing w:val="0"/>
      </w:pPr>
      <w:r>
        <w:rPr>
          <w:rFonts w:eastAsia="Muli" w:cs="Muli" w:asciiTheme="majorHAnsi" w:hAnsiTheme="majorHAnsi"/>
          <w:sz w:val="20"/>
          <w:szCs w:val="20"/>
        </w:rPr>
        <w:t>use the Platform's messaging features for anything other than genuine communication about listings and Orders, including bulk, deceptive or automated messaging;</w:t>
      </w:r>
    </w:p>
    <w:p w14:paraId="3950EA1D">
      <w:pPr>
        <w:pStyle w:val="20"/>
        <w:numPr>
          <w:ilvl w:val="2"/>
          <w:numId w:val="3"/>
        </w:numPr>
        <w:spacing w:before="0" w:after="100"/>
        <w:contextualSpacing w:val="0"/>
      </w:pPr>
      <w:r>
        <w:rPr>
          <w:rFonts w:eastAsia="Muli" w:cs="Muli" w:asciiTheme="majorHAnsi" w:hAnsiTheme="majorHAnsi"/>
          <w:sz w:val="20"/>
          <w:szCs w:val="20"/>
        </w:rPr>
        <w:t>use the Platform, its Content or its data to train, test or build an artificial-intelligence or machine-learning model without our prior written permission;</w:t>
      </w:r>
    </w:p>
    <w:p w14:paraId="2DE717AD">
      <w:pPr>
        <w:pStyle w:val="20"/>
        <w:numPr>
          <w:ilvl w:val="2"/>
          <w:numId w:val="3"/>
        </w:numPr>
        <w:spacing w:before="0" w:after="100"/>
        <w:contextualSpacing w:val="0"/>
      </w:pPr>
      <w:r>
        <w:rPr>
          <w:rFonts w:eastAsia="Muli" w:cs="Muli" w:asciiTheme="majorHAnsi" w:hAnsiTheme="majorHAnsi"/>
          <w:sz w:val="20"/>
          <w:szCs w:val="20"/>
        </w:rPr>
        <w:t>upload, publish or offer anything covered by clause 17.3 or breach clause 20;</w:t>
      </w:r>
    </w:p>
    <w:p w14:paraId="02E6125C">
      <w:pPr>
        <w:pStyle w:val="20"/>
        <w:numPr>
          <w:ilvl w:val="2"/>
          <w:numId w:val="3"/>
        </w:numPr>
        <w:spacing w:before="0" w:after="100"/>
        <w:contextualSpacing w:val="0"/>
      </w:pPr>
      <w:r>
        <w:rPr>
          <w:rFonts w:eastAsia="Muli" w:cs="Muli" w:asciiTheme="majorHAnsi" w:hAnsiTheme="majorHAnsi"/>
          <w:sz w:val="20"/>
          <w:szCs w:val="20"/>
        </w:rPr>
        <w:t>probe, scan or test the security of the Platform or its systems, or access or try to access another User’s account or data, without our prior written permission.</w:t>
      </w:r>
    </w:p>
    <w:p w14:paraId="5309C720">
      <w:pPr>
        <w:pStyle w:val="20"/>
        <w:numPr>
          <w:ilvl w:val="1"/>
          <w:numId w:val="3"/>
        </w:numPr>
        <w:spacing w:before="0" w:after="140"/>
        <w:contextualSpacing w:val="0"/>
      </w:pPr>
      <w:r>
        <w:rPr>
          <w:rFonts w:eastAsia="Muli" w:cs="Muli" w:asciiTheme="majorHAnsi" w:hAnsiTheme="majorHAnsi"/>
          <w:sz w:val="20"/>
          <w:szCs w:val="20"/>
        </w:rPr>
        <w:t>We may remove or restrict Content, features or access, and suspend or terminate accounts, where we reasonably consider it necessary to enforce these Terms, avoid or mitigate misuse of the Platform, or avoid adverse legal or regulatory consequences (clauses 26 and 32). Lawful goods, services, advertising and discussion are not prohibited merely because they relate to a particular community or identity. We apply content rules consistently and on a content basis.</w:t>
      </w:r>
    </w:p>
    <w:p w14:paraId="521659B6">
      <w:pPr>
        <w:pStyle w:val="20"/>
        <w:keepNext/>
        <w:numPr>
          <w:ilvl w:val="0"/>
          <w:numId w:val="3"/>
        </w:numPr>
        <w:spacing w:before="300" w:after="140"/>
        <w:contextualSpacing w:val="0"/>
        <w:rPr>
          <w:rFonts w:eastAsia="Muli" w:cs="Muli" w:asciiTheme="majorHAnsi" w:hAnsiTheme="majorHAnsi"/>
          <w:b/>
          <w:bCs/>
          <w:spacing w:val="20"/>
          <w:sz w:val="20"/>
          <w:szCs w:val="20"/>
          <w:u w:val="single"/>
        </w:rPr>
      </w:pPr>
      <w:r>
        <w:rPr>
          <w:rFonts w:eastAsia="Muli" w:cs="Muli" w:asciiTheme="majorHAnsi" w:hAnsiTheme="majorHAnsi"/>
          <w:b/>
          <w:bCs/>
          <w:spacing w:val="20"/>
          <w:sz w:val="20"/>
          <w:szCs w:val="20"/>
          <w:u w:val="single"/>
        </w:rPr>
        <w:t>SCAMS, FRAUD AND FINANCIAL-CRIME PREVENTION</w:t>
      </w:r>
    </w:p>
    <w:p w14:paraId="222745D1">
      <w:pPr>
        <w:pStyle w:val="20"/>
        <w:numPr>
          <w:ilvl w:val="1"/>
          <w:numId w:val="3"/>
        </w:numPr>
        <w:spacing w:before="0" w:after="140"/>
        <w:contextualSpacing w:val="0"/>
      </w:pPr>
      <w:r>
        <w:rPr>
          <w:rFonts w:eastAsia="Muli" w:cs="Muli" w:asciiTheme="majorHAnsi" w:hAnsiTheme="majorHAnsi"/>
          <w:b/>
          <w:bCs/>
          <w:sz w:val="20"/>
          <w:szCs w:val="20"/>
        </w:rPr>
        <w:t xml:space="preserve">Our approach. </w:t>
      </w:r>
      <w:r>
        <w:rPr>
          <w:rFonts w:eastAsia="Muli" w:cs="Muli" w:asciiTheme="majorHAnsi" w:hAnsiTheme="majorHAnsi"/>
          <w:sz w:val="20"/>
          <w:szCs w:val="20"/>
        </w:rPr>
        <w:t>TWCW is committed to reducing Scams on the Platform. We take reasonable steps, appropriate to the Platform, to detect, report, disrupt and prevent Scams, and to cooperate with Regulators, law-enforcement bodies, the Payment Provider and other platforms, including under any scam-prevention legislation, code or industry arrangement that applies to the Platform from time to time. Nothing in these Terms limits an obligation that TWCW owes under that legislation or code.</w:t>
      </w:r>
    </w:p>
    <w:p w14:paraId="54D155B9">
      <w:pPr>
        <w:pStyle w:val="20"/>
        <w:numPr>
          <w:ilvl w:val="1"/>
          <w:numId w:val="3"/>
        </w:numPr>
        <w:spacing w:before="0" w:after="140"/>
        <w:contextualSpacing w:val="0"/>
      </w:pPr>
      <w:r>
        <w:rPr>
          <w:rFonts w:eastAsia="Muli" w:cs="Muli" w:asciiTheme="majorHAnsi" w:hAnsiTheme="majorHAnsi"/>
          <w:b/>
          <w:bCs/>
          <w:sz w:val="20"/>
          <w:szCs w:val="20"/>
        </w:rPr>
        <w:t xml:space="preserve">Verification of Businesses and advertisers. </w:t>
      </w:r>
      <w:r>
        <w:rPr>
          <w:rFonts w:eastAsia="Muli" w:cs="Muli" w:asciiTheme="majorHAnsi" w:hAnsiTheme="majorHAnsi"/>
          <w:sz w:val="20"/>
          <w:szCs w:val="20"/>
        </w:rPr>
        <w:t>Before and after approving a Business, listing or advertisement, TWCW may require evidence of identity, ownership, bank account, business registration and licences (including, for advertisers of financial products or services, the required licence). TWCW may refuse, suspend or remove a Business, listing or advertisement that it cannot verify. Clause 3.6 (verification is not endorsement) applies.</w:t>
      </w:r>
    </w:p>
    <w:p w14:paraId="212628D3">
      <w:pPr>
        <w:pStyle w:val="20"/>
        <w:numPr>
          <w:ilvl w:val="1"/>
          <w:numId w:val="3"/>
        </w:numPr>
        <w:spacing w:before="0" w:after="140"/>
        <w:contextualSpacing w:val="0"/>
      </w:pPr>
      <w:r>
        <w:rPr>
          <w:rFonts w:eastAsia="Muli" w:cs="Muli" w:asciiTheme="majorHAnsi" w:hAnsiTheme="majorHAnsi"/>
          <w:b/>
          <w:bCs/>
          <w:sz w:val="20"/>
          <w:szCs w:val="20"/>
        </w:rPr>
        <w:t xml:space="preserve">Reporting Scams. </w:t>
      </w:r>
      <w:r>
        <w:rPr>
          <w:rFonts w:eastAsia="Muli" w:cs="Muli" w:asciiTheme="majorHAnsi" w:hAnsiTheme="majorHAnsi"/>
          <w:sz w:val="20"/>
          <w:szCs w:val="20"/>
        </w:rPr>
        <w:t>Anyone can report a suspected Scam using the in-app report tool or by emailing team@1stopapp.com. A Business must tell TWCW within 24 hours of becoming aware of a Scam, an impersonation of the Business, a compromised account or a fraudulent payment connected with the Platform.</w:t>
      </w:r>
    </w:p>
    <w:p w14:paraId="625DE461">
      <w:pPr>
        <w:pStyle w:val="20"/>
        <w:numPr>
          <w:ilvl w:val="1"/>
          <w:numId w:val="3"/>
        </w:numPr>
        <w:spacing w:before="0" w:after="140"/>
        <w:contextualSpacing w:val="0"/>
      </w:pPr>
      <w:r>
        <w:rPr>
          <w:rFonts w:eastAsia="Muli" w:cs="Muli" w:asciiTheme="majorHAnsi" w:hAnsiTheme="majorHAnsi"/>
          <w:b/>
          <w:bCs/>
          <w:sz w:val="20"/>
          <w:szCs w:val="20"/>
        </w:rPr>
        <w:t xml:space="preserve">What we may do. </w:t>
      </w:r>
      <w:r>
        <w:rPr>
          <w:rFonts w:eastAsia="Muli" w:cs="Muli" w:asciiTheme="majorHAnsi" w:hAnsiTheme="majorHAnsi"/>
          <w:sz w:val="20"/>
          <w:szCs w:val="20"/>
        </w:rPr>
        <w:t>Where TWCW has information suggesting that Content, an account, an Order or a payment is or may be connected with a Scam, TWCW may, without prior notice and in addition to clause 32.1:</w:t>
      </w:r>
    </w:p>
    <w:p w14:paraId="6CFB788D">
      <w:pPr>
        <w:pStyle w:val="20"/>
        <w:numPr>
          <w:ilvl w:val="2"/>
          <w:numId w:val="3"/>
        </w:numPr>
        <w:spacing w:before="0" w:after="100"/>
        <w:contextualSpacing w:val="0"/>
      </w:pPr>
      <w:r>
        <w:rPr>
          <w:rFonts w:eastAsia="Muli" w:cs="Muli" w:asciiTheme="majorHAnsi" w:hAnsiTheme="majorHAnsi"/>
          <w:sz w:val="20"/>
          <w:szCs w:val="20"/>
        </w:rPr>
        <w:t>suspend, limit, label or add a warning to the Content, listing, advertisement or account while we investigate;</w:t>
      </w:r>
    </w:p>
    <w:p w14:paraId="3BB4CBB5">
      <w:pPr>
        <w:pStyle w:val="20"/>
        <w:numPr>
          <w:ilvl w:val="2"/>
          <w:numId w:val="3"/>
        </w:numPr>
        <w:spacing w:before="0" w:after="100"/>
        <w:contextualSpacing w:val="0"/>
      </w:pPr>
      <w:r>
        <w:rPr>
          <w:rFonts w:eastAsia="Muli" w:cs="Muli" w:asciiTheme="majorHAnsi" w:hAnsiTheme="majorHAnsi"/>
          <w:sz w:val="20"/>
          <w:szCs w:val="20"/>
        </w:rPr>
        <w:t>delay, hold or reverse payments or settlements (clause 16.5);</w:t>
      </w:r>
    </w:p>
    <w:p w14:paraId="1D68953C">
      <w:pPr>
        <w:pStyle w:val="20"/>
        <w:numPr>
          <w:ilvl w:val="2"/>
          <w:numId w:val="3"/>
        </w:numPr>
        <w:spacing w:before="0" w:after="100"/>
        <w:contextualSpacing w:val="0"/>
      </w:pPr>
      <w:r>
        <w:rPr>
          <w:rFonts w:eastAsia="Muli" w:cs="Muli" w:asciiTheme="majorHAnsi" w:hAnsiTheme="majorHAnsi"/>
          <w:sz w:val="20"/>
          <w:szCs w:val="20"/>
        </w:rPr>
        <w:t>tell affected Users that they may have been exposed to a Scam;</w:t>
      </w:r>
    </w:p>
    <w:p w14:paraId="7FBE02FD">
      <w:pPr>
        <w:pStyle w:val="20"/>
        <w:numPr>
          <w:ilvl w:val="2"/>
          <w:numId w:val="3"/>
        </w:numPr>
        <w:spacing w:before="0" w:after="100"/>
        <w:contextualSpacing w:val="0"/>
      </w:pPr>
      <w:r>
        <w:rPr>
          <w:rFonts w:eastAsia="Muli" w:cs="Muli" w:asciiTheme="majorHAnsi" w:hAnsiTheme="majorHAnsi"/>
          <w:sz w:val="20"/>
          <w:szCs w:val="20"/>
        </w:rPr>
        <w:t>remove confirmed Scam Content and block the same or substantially similar Content;</w:t>
      </w:r>
    </w:p>
    <w:p w14:paraId="6612D19E">
      <w:pPr>
        <w:pStyle w:val="20"/>
        <w:numPr>
          <w:ilvl w:val="2"/>
          <w:numId w:val="3"/>
        </w:numPr>
        <w:spacing w:before="0" w:after="100"/>
        <w:contextualSpacing w:val="0"/>
      </w:pPr>
      <w:r>
        <w:rPr>
          <w:rFonts w:eastAsia="Muli" w:cs="Muli" w:asciiTheme="majorHAnsi" w:hAnsiTheme="majorHAnsi"/>
          <w:sz w:val="20"/>
          <w:szCs w:val="20"/>
        </w:rPr>
        <w:t>disable the associated accounts and refuse to re-register the persons involved; and</w:t>
      </w:r>
    </w:p>
    <w:p w14:paraId="34A03D86">
      <w:pPr>
        <w:pStyle w:val="20"/>
        <w:numPr>
          <w:ilvl w:val="2"/>
          <w:numId w:val="3"/>
        </w:numPr>
        <w:spacing w:before="0" w:after="100"/>
        <w:contextualSpacing w:val="0"/>
      </w:pPr>
      <w:r>
        <w:rPr>
          <w:rFonts w:eastAsia="Muli" w:cs="Muli" w:asciiTheme="majorHAnsi" w:hAnsiTheme="majorHAnsi"/>
          <w:sz w:val="20"/>
          <w:szCs w:val="20"/>
        </w:rPr>
        <w:t>report the matter to a Regulator, the National Anti-Scam Centre, the Payment Provider, a financial institution or law enforcement.</w:t>
      </w:r>
    </w:p>
    <w:p w14:paraId="27151398">
      <w:pPr>
        <w:pStyle w:val="20"/>
        <w:numPr>
          <w:ilvl w:val="1"/>
          <w:numId w:val="3"/>
        </w:numPr>
        <w:spacing w:before="0" w:after="140"/>
        <w:contextualSpacing w:val="0"/>
      </w:pPr>
      <w:r>
        <w:rPr>
          <w:rFonts w:eastAsia="Muli" w:cs="Muli" w:asciiTheme="majorHAnsi" w:hAnsiTheme="majorHAnsi"/>
          <w:b/>
          <w:bCs/>
          <w:sz w:val="20"/>
          <w:szCs w:val="20"/>
        </w:rPr>
        <w:t xml:space="preserve">Financial-crime compliance. </w:t>
      </w:r>
      <w:r>
        <w:rPr>
          <w:rFonts w:eastAsia="Muli" w:cs="Muli" w:asciiTheme="majorHAnsi" w:hAnsiTheme="majorHAnsi"/>
          <w:sz w:val="20"/>
          <w:szCs w:val="20"/>
        </w:rPr>
        <w:t>You must give TWCW and the Payment Provider the information they reasonably request to comply with anti-money-laundering, counter-terrorism-financing, sanctions and tax-reporting laws (including the Anti-Money Laundering and Counter-Terrorism Financing Act 2006 (Cth)), and must not use the Platform in breach of those laws. TWCW may share information about you and your transactions with the Payment Provider, financial institutions and Regulators for those purposes, and may refuse or reverse a transaction where it reasonably believes this is required.</w:t>
      </w:r>
    </w:p>
    <w:p w14:paraId="113A0D65">
      <w:pPr>
        <w:pStyle w:val="20"/>
        <w:numPr>
          <w:ilvl w:val="1"/>
          <w:numId w:val="3"/>
        </w:numPr>
        <w:spacing w:before="0" w:after="140"/>
        <w:contextualSpacing w:val="0"/>
      </w:pPr>
      <w:r>
        <w:rPr>
          <w:rFonts w:eastAsia="Muli" w:cs="Muli" w:asciiTheme="majorHAnsi" w:hAnsiTheme="majorHAnsi"/>
          <w:b/>
          <w:bCs/>
          <w:sz w:val="20"/>
          <w:szCs w:val="20"/>
        </w:rPr>
        <w:t xml:space="preserve">Protecting yourself. </w:t>
      </w:r>
      <w:r>
        <w:rPr>
          <w:rFonts w:eastAsia="Muli" w:cs="Muli" w:asciiTheme="majorHAnsi" w:hAnsiTheme="majorHAnsi"/>
          <w:sz w:val="20"/>
          <w:szCs w:val="20"/>
        </w:rPr>
        <w:t>Be cautious of anyone who asks you to pay outside the Platform for an Order that began on the Platform, or to share a one-time code or password. TWCW will never ask you for your password or full card details.</w:t>
      </w:r>
    </w:p>
    <w:p w14:paraId="7469C640">
      <w:pPr>
        <w:pStyle w:val="20"/>
        <w:numPr>
          <w:ilvl w:val="1"/>
          <w:numId w:val="3"/>
        </w:numPr>
        <w:spacing w:before="0" w:after="140"/>
        <w:contextualSpacing w:val="0"/>
      </w:pPr>
      <w:r>
        <w:rPr>
          <w:rFonts w:eastAsia="Muli" w:cs="Muli" w:asciiTheme="majorHAnsi" w:hAnsiTheme="majorHAnsi"/>
          <w:b/>
          <w:bCs/>
          <w:sz w:val="20"/>
          <w:szCs w:val="20"/>
        </w:rPr>
        <w:t xml:space="preserve">Limits. </w:t>
      </w:r>
      <w:r>
        <w:rPr>
          <w:rFonts w:eastAsia="Muli" w:cs="Muli" w:asciiTheme="majorHAnsi" w:hAnsiTheme="majorHAnsi"/>
          <w:sz w:val="20"/>
          <w:szCs w:val="20"/>
        </w:rPr>
        <w:t>TWCW is not a bank or financial institution and does not guarantee that a Scam will be detected or prevented. Subject to clause 33.2 and any law that applies to TWCW, TWCW is not liable for loss caused by a Scam committed by a third party.</w:t>
      </w:r>
    </w:p>
    <w:p w14:paraId="6CB5EB5C">
      <w:pPr>
        <w:keepNext/>
        <w:pBdr>
          <w:bottom w:val="single" w:color="404040" w:sz="6" w:space="4"/>
        </w:pBdr>
        <w:spacing w:before="480" w:after="160"/>
        <w:jc w:val="center"/>
      </w:pPr>
      <w:r>
        <w:rPr>
          <w:rFonts w:eastAsia="Muli" w:cs="Muli" w:asciiTheme="majorHAnsi" w:hAnsiTheme="majorHAnsi"/>
          <w:b/>
          <w:bCs/>
          <w:spacing w:val="20"/>
          <w:sz w:val="20"/>
          <w:szCs w:val="20"/>
        </w:rPr>
        <w:t>PART B — TERMS FOR CONSUMERS</w:t>
      </w:r>
    </w:p>
    <w:tbl>
      <w:tblPr>
        <w:tblStyle w:val="9"/>
        <w:tblW w:w="9026" w:type="dxa"/>
        <w:tblInd w:w="0" w:type="dxa"/>
        <w:tblLayout w:type="fixed"/>
        <w:tblCellMar>
          <w:top w:w="0" w:type="dxa"/>
          <w:left w:w="108" w:type="dxa"/>
          <w:bottom w:w="0" w:type="dxa"/>
          <w:right w:w="108" w:type="dxa"/>
        </w:tblCellMar>
      </w:tblPr>
      <w:tblGrid>
        <w:gridCol w:w="9026"/>
      </w:tblGrid>
      <w:tr w14:paraId="0BE620F0">
        <w:trPr>
          <w:cantSplit/>
        </w:trPr>
        <w:tc>
          <w:tcPr>
            <w:tcW w:w="9026" w:type="dxa"/>
            <w:tcBorders>
              <w:top w:val="single" w:color="404040" w:sz="6" w:space="0"/>
              <w:left w:val="single" w:color="404040" w:sz="6" w:space="0"/>
              <w:bottom w:val="single" w:color="404040" w:sz="6" w:space="0"/>
              <w:right w:val="single" w:color="404040" w:sz="6" w:space="0"/>
            </w:tcBorders>
            <w:shd w:val="clear" w:color="auto" w:fill="E7E6E6"/>
          </w:tcPr>
          <w:p w14:paraId="771A1609">
            <w:pPr>
              <w:spacing w:before="60" w:after="80"/>
            </w:pPr>
            <w:r>
              <w:rPr>
                <w:rFonts w:eastAsia="Muli" w:cs="Muli" w:asciiTheme="majorHAnsi" w:hAnsiTheme="majorHAnsi"/>
                <w:b/>
                <w:bCs/>
                <w:sz w:val="19"/>
                <w:szCs w:val="19"/>
              </w:rPr>
              <w:t>Your rights are protected</w:t>
            </w:r>
          </w:p>
          <w:p w14:paraId="087D38C3">
            <w:pPr>
              <w:spacing w:before="60" w:after="80"/>
            </w:pPr>
            <w:r>
              <w:rPr>
                <w:rFonts w:eastAsia="Muli" w:cs="Muli" w:asciiTheme="majorHAnsi" w:hAnsiTheme="majorHAnsi"/>
                <w:sz w:val="19"/>
                <w:szCs w:val="19"/>
              </w:rPr>
              <w:t>Nothing in these Terms limits your rights under the Australian Consumer Law. The business you buy from is the seller. If something goes wrong, contact that Business first through the Platform; if it is not resolved, you can ask TWCW to review the dispute (clause 10.4) and you can always contact the ACCC, your State or Territory consumer agency, a tribunal or a court.</w:t>
            </w:r>
          </w:p>
        </w:tc>
      </w:tr>
    </w:tbl>
    <w:p w14:paraId="00951509">
      <w:pPr>
        <w:spacing w:before="0" w:after="120"/>
      </w:pPr>
    </w:p>
    <w:p w14:paraId="23FE766B">
      <w:pPr>
        <w:pStyle w:val="20"/>
        <w:keepNext/>
        <w:numPr>
          <w:ilvl w:val="0"/>
          <w:numId w:val="3"/>
        </w:numPr>
        <w:spacing w:before="300" w:after="140"/>
        <w:contextualSpacing w:val="0"/>
        <w:rPr>
          <w:rFonts w:eastAsia="Muli" w:cs="Muli" w:asciiTheme="majorHAnsi" w:hAnsiTheme="majorHAnsi"/>
          <w:b/>
          <w:bCs/>
          <w:spacing w:val="20"/>
          <w:sz w:val="20"/>
          <w:szCs w:val="20"/>
          <w:u w:val="single"/>
        </w:rPr>
      </w:pPr>
      <w:r>
        <w:rPr>
          <w:rFonts w:eastAsia="Muli" w:cs="Muli" w:asciiTheme="majorHAnsi" w:hAnsiTheme="majorHAnsi"/>
          <w:b/>
          <w:bCs/>
          <w:spacing w:val="20"/>
          <w:sz w:val="20"/>
          <w:szCs w:val="20"/>
          <w:u w:val="single"/>
        </w:rPr>
        <w:t>BROWSING, LISTINGS, MESSAGES AND REVIEWS</w:t>
      </w:r>
    </w:p>
    <w:p w14:paraId="16C819F6">
      <w:pPr>
        <w:pStyle w:val="20"/>
        <w:numPr>
          <w:ilvl w:val="1"/>
          <w:numId w:val="3"/>
        </w:numPr>
        <w:spacing w:before="0" w:after="140"/>
        <w:contextualSpacing w:val="0"/>
      </w:pPr>
      <w:r>
        <w:rPr>
          <w:rFonts w:eastAsia="Muli" w:cs="Muli" w:asciiTheme="majorHAnsi" w:hAnsiTheme="majorHAnsi"/>
          <w:b/>
          <w:bCs/>
          <w:sz w:val="20"/>
          <w:szCs w:val="20"/>
        </w:rPr>
        <w:t xml:space="preserve">Listings. </w:t>
      </w:r>
      <w:r>
        <w:rPr>
          <w:rFonts w:eastAsia="Muli" w:cs="Muli" w:asciiTheme="majorHAnsi" w:hAnsiTheme="majorHAnsi"/>
          <w:sz w:val="20"/>
          <w:szCs w:val="20"/>
        </w:rPr>
        <w:t>Listings are created and controlled by Businesses. We may format, categorise, translate, moderate, correct obvious errors in, or remove a listing, but we do not guarantee that any listing is accurate, complete, current or lawful. Before you place an Order, check the Business’s identity, the description, price, inclusions and exclusions, availability, delivery terms, cancellation terms and refund policy. If anything is unclear, ask the Business through the Platform before you buy.</w:t>
      </w:r>
    </w:p>
    <w:p w14:paraId="6155557C">
      <w:pPr>
        <w:pStyle w:val="20"/>
        <w:numPr>
          <w:ilvl w:val="1"/>
          <w:numId w:val="3"/>
        </w:numPr>
        <w:spacing w:before="0" w:after="140"/>
        <w:contextualSpacing w:val="0"/>
      </w:pPr>
      <w:r>
        <w:rPr>
          <w:rFonts w:eastAsia="Muli" w:cs="Muli" w:asciiTheme="majorHAnsi" w:hAnsiTheme="majorHAnsi"/>
          <w:b/>
          <w:bCs/>
          <w:sz w:val="20"/>
          <w:szCs w:val="20"/>
        </w:rPr>
        <w:t xml:space="preserve">Discovery, ranking and paid placement. </w:t>
      </w:r>
      <w:r>
        <w:rPr>
          <w:rFonts w:eastAsia="Muli" w:cs="Muli" w:asciiTheme="majorHAnsi" w:hAnsiTheme="majorHAnsi"/>
          <w:sz w:val="20"/>
          <w:szCs w:val="20"/>
        </w:rPr>
        <w:t>Search and discovery results may use factors such as location, category, relevance, availability, your preferences, listing quality and Business settings. We do not guarantee any Business’s ranking or visibility. Where a placement is paid for or promoted (for example, a featured listing or homepage banner under a Business’s Subscription), we will label it as promoted or featured.</w:t>
      </w:r>
    </w:p>
    <w:p w14:paraId="77CD7824">
      <w:pPr>
        <w:pStyle w:val="20"/>
        <w:numPr>
          <w:ilvl w:val="1"/>
          <w:numId w:val="3"/>
        </w:numPr>
        <w:spacing w:before="0" w:after="140"/>
        <w:contextualSpacing w:val="0"/>
      </w:pPr>
      <w:r>
        <w:rPr>
          <w:rFonts w:eastAsia="Muli" w:cs="Muli" w:asciiTheme="majorHAnsi" w:hAnsiTheme="majorHAnsi"/>
          <w:b/>
          <w:bCs/>
          <w:sz w:val="20"/>
          <w:szCs w:val="20"/>
        </w:rPr>
        <w:t xml:space="preserve">Messaging. </w:t>
      </w:r>
      <w:r>
        <w:rPr>
          <w:rFonts w:eastAsia="Muli" w:cs="Muli" w:asciiTheme="majorHAnsi" w:hAnsiTheme="majorHAnsi"/>
          <w:sz w:val="20"/>
          <w:szCs w:val="20"/>
        </w:rPr>
        <w:t>The Platform may let you message Businesses. Messages must be lawful, respectful and accurate. Do not send passwords, payment-card details, unnecessary sensitive information or malicious links. We may retain, review, moderate and disclose messages where reasonably necessary for safety, support, fraud prevention, dispute handling, legal compliance or operating the Platform, consistently with our Privacy Policy.</w:t>
      </w:r>
    </w:p>
    <w:p w14:paraId="7711BF95">
      <w:pPr>
        <w:pStyle w:val="20"/>
        <w:numPr>
          <w:ilvl w:val="1"/>
          <w:numId w:val="3"/>
        </w:numPr>
        <w:spacing w:before="0" w:after="140"/>
        <w:contextualSpacing w:val="0"/>
      </w:pPr>
      <w:r>
        <w:rPr>
          <w:rFonts w:eastAsia="Muli" w:cs="Muli" w:asciiTheme="majorHAnsi" w:hAnsiTheme="majorHAnsi"/>
          <w:b/>
          <w:bCs/>
          <w:sz w:val="20"/>
          <w:szCs w:val="20"/>
        </w:rPr>
        <w:t>Reviews and ratings.</w:t>
      </w:r>
      <w:r>
        <w:rPr>
          <w:rFonts w:eastAsia="Muli" w:cs="Muli" w:asciiTheme="majorHAnsi" w:hAnsiTheme="majorHAnsi"/>
          <w:sz w:val="20"/>
          <w:szCs w:val="20"/>
        </w:rPr>
        <w:t xml:space="preserve"> Reviews must be based on a genuine experience and be honest, fair and relevant. You must not post a fake, incentivised or manipulated review (unless any incentive is clearly disclosed), review your own business, a competitor or a transaction you did not experience, threaten anyone to obtain a benefit, publish personal or confidential information or unlawful allegations, or coordinate ratings or complaints to distort results. A Business must not offer a benefit in exchange for a particular review outcome. We may publish, refuse, edit for formatting, investigate, demote or remove reviews that breach these Terms or the law. We will not remove genuine reviews merely because they are negative. Reviews are published on the Business’s public page and can be seen by anyone who views it, so do not include personal or sensitive information in a review.</w:t>
      </w:r>
    </w:p>
    <w:p w14:paraId="00D9FC2B">
      <w:pPr>
        <w:pStyle w:val="20"/>
        <w:numPr>
          <w:ilvl w:val="1"/>
          <w:numId w:val="3"/>
        </w:numPr>
        <w:spacing w:before="0" w:after="140"/>
        <w:contextualSpacing w:val="0"/>
      </w:pPr>
      <w:r>
        <w:rPr>
          <w:rFonts w:eastAsia="Muli" w:cs="Muli" w:asciiTheme="majorHAnsi" w:hAnsiTheme="majorHAnsi"/>
          <w:b/>
          <w:bCs/>
          <w:sz w:val="20"/>
          <w:szCs w:val="20"/>
        </w:rPr>
        <w:t xml:space="preserve">Regulated health practitioners and testimonials. </w:t>
      </w:r>
      <w:r>
        <w:rPr>
          <w:rFonts w:eastAsia="Muli" w:cs="Muli" w:asciiTheme="majorHAnsi" w:hAnsiTheme="majorHAnsi"/>
          <w:sz w:val="20"/>
          <w:szCs w:val="20"/>
        </w:rPr>
        <w:t>Australian health-practitioner advertising law restricts the use of testimonials about the clinical aspects of regulated health services. A Business that is, or employs, a regulated health practitioner must not solicit, publish, republish, link to or otherwise use a review that refers to the clinical aspects of its services. TWCW may disable reviews on that Business's profile, or remove or hide review content that refers to clinical aspects, or require the Business to do so, to meet that law.</w:t>
      </w:r>
    </w:p>
    <w:p w14:paraId="49AF7E49">
      <w:pPr>
        <w:pStyle w:val="20"/>
        <w:keepNext/>
        <w:numPr>
          <w:ilvl w:val="0"/>
          <w:numId w:val="3"/>
        </w:numPr>
        <w:spacing w:before="300" w:after="140"/>
        <w:contextualSpacing w:val="0"/>
        <w:rPr>
          <w:rFonts w:eastAsia="Muli" w:cs="Muli" w:asciiTheme="majorHAnsi" w:hAnsiTheme="majorHAnsi"/>
          <w:b/>
          <w:bCs/>
          <w:spacing w:val="20"/>
          <w:sz w:val="20"/>
          <w:szCs w:val="20"/>
          <w:u w:val="single"/>
        </w:rPr>
      </w:pPr>
      <w:r>
        <w:rPr>
          <w:rFonts w:eastAsia="Muli" w:cs="Muli" w:asciiTheme="majorHAnsi" w:hAnsiTheme="majorHAnsi"/>
          <w:b/>
          <w:bCs/>
          <w:spacing w:val="20"/>
          <w:sz w:val="20"/>
          <w:szCs w:val="20"/>
          <w:u w:val="single"/>
        </w:rPr>
        <w:t>ORDERS AND THE CONTRACT OF SALE</w:t>
      </w:r>
    </w:p>
    <w:p w14:paraId="58F258D6">
      <w:pPr>
        <w:pStyle w:val="20"/>
        <w:numPr>
          <w:ilvl w:val="1"/>
          <w:numId w:val="3"/>
        </w:numPr>
        <w:spacing w:before="0" w:after="140"/>
        <w:contextualSpacing w:val="0"/>
      </w:pPr>
      <w:r>
        <w:rPr>
          <w:rFonts w:eastAsia="Muli" w:cs="Muli" w:asciiTheme="majorHAnsi" w:hAnsiTheme="majorHAnsi"/>
          <w:b/>
          <w:bCs/>
          <w:sz w:val="20"/>
          <w:szCs w:val="20"/>
        </w:rPr>
        <w:t xml:space="preserve">How an Order works. </w:t>
      </w:r>
      <w:r>
        <w:rPr>
          <w:rFonts w:eastAsia="Muli" w:cs="Muli" w:asciiTheme="majorHAnsi" w:hAnsiTheme="majorHAnsi"/>
          <w:sz w:val="20"/>
          <w:szCs w:val="20"/>
        </w:rPr>
        <w:t xml:space="preserve">Submitting an Order is an offer to buy from the Business on the terms shown at checkout. An Order is accepted only when the Business (or the Platform on its behalf) confirms acceptance. When it is accepted, a Sale Contract is formed </w:t>
      </w:r>
      <w:r>
        <w:rPr>
          <w:rFonts w:eastAsia="Muli" w:cs="Muli" w:asciiTheme="majorHAnsi" w:hAnsiTheme="majorHAnsi"/>
          <w:b/>
          <w:bCs/>
          <w:sz w:val="20"/>
          <w:szCs w:val="20"/>
        </w:rPr>
        <w:t>between you and the Business</w:t>
      </w:r>
      <w:r>
        <w:rPr>
          <w:rFonts w:eastAsia="Muli" w:cs="Muli" w:asciiTheme="majorHAnsi" w:hAnsiTheme="majorHAnsi"/>
          <w:sz w:val="20"/>
          <w:szCs w:val="20"/>
        </w:rPr>
        <w:t>. TWCW is not a party to it.</w:t>
      </w:r>
    </w:p>
    <w:p w14:paraId="7919FF6F">
      <w:pPr>
        <w:pStyle w:val="20"/>
        <w:numPr>
          <w:ilvl w:val="1"/>
          <w:numId w:val="3"/>
        </w:numPr>
        <w:spacing w:before="0" w:after="140"/>
        <w:contextualSpacing w:val="0"/>
      </w:pPr>
      <w:r>
        <w:rPr>
          <w:rFonts w:eastAsia="Muli" w:cs="Muli" w:asciiTheme="majorHAnsi" w:hAnsiTheme="majorHAnsi"/>
          <w:b/>
          <w:bCs/>
          <w:sz w:val="20"/>
          <w:szCs w:val="20"/>
        </w:rPr>
        <w:t xml:space="preserve">Seller identification. </w:t>
      </w:r>
      <w:r>
        <w:rPr>
          <w:rFonts w:eastAsia="Muli" w:cs="Muli" w:asciiTheme="majorHAnsi" w:hAnsiTheme="majorHAnsi"/>
          <w:sz w:val="20"/>
          <w:szCs w:val="20"/>
        </w:rPr>
        <w:t>At checkout and on your receipt we will show the Business as the seller, together with its trading name, ABN (where applicable) and contact details. The Business is responsible for the description, price, quality, availability, supply, delivery, warranties and ACL remedies for what it sells.</w:t>
      </w:r>
    </w:p>
    <w:p w14:paraId="4BA69DA3">
      <w:pPr>
        <w:pStyle w:val="20"/>
        <w:numPr>
          <w:ilvl w:val="1"/>
          <w:numId w:val="3"/>
        </w:numPr>
        <w:spacing w:before="0" w:after="140"/>
        <w:contextualSpacing w:val="0"/>
      </w:pPr>
      <w:r>
        <w:rPr>
          <w:rFonts w:eastAsia="Muli" w:cs="Muli" w:asciiTheme="majorHAnsi" w:hAnsiTheme="majorHAnsi"/>
          <w:b/>
          <w:bCs/>
          <w:sz w:val="20"/>
          <w:szCs w:val="20"/>
        </w:rPr>
        <w:t xml:space="preserve">Declined or cancelled Orders. </w:t>
      </w:r>
      <w:r>
        <w:rPr>
          <w:rFonts w:eastAsia="Muli" w:cs="Muli" w:asciiTheme="majorHAnsi" w:hAnsiTheme="majorHAnsi"/>
          <w:sz w:val="20"/>
          <w:szCs w:val="20"/>
        </w:rPr>
        <w:t>A Business may decline or cancel an Order if an item is unavailable, a price or listing error occurred, fraud is suspected, delivery is not possible or another lawful reason applies. If an Order is declined, cancelled or cannot be fulfilled, you will be refunded in accordance with clause 8.6 and the ACL.</w:t>
      </w:r>
    </w:p>
    <w:p w14:paraId="73FB4269">
      <w:pPr>
        <w:pStyle w:val="20"/>
        <w:numPr>
          <w:ilvl w:val="1"/>
          <w:numId w:val="3"/>
        </w:numPr>
        <w:spacing w:before="0" w:after="140"/>
        <w:contextualSpacing w:val="0"/>
      </w:pPr>
      <w:r>
        <w:rPr>
          <w:rFonts w:eastAsia="Muli" w:cs="Muli" w:asciiTheme="majorHAnsi" w:hAnsiTheme="majorHAnsi"/>
          <w:b/>
          <w:bCs/>
          <w:sz w:val="20"/>
          <w:szCs w:val="20"/>
        </w:rPr>
        <w:t xml:space="preserve">Your responsibilities. </w:t>
      </w:r>
      <w:r>
        <w:rPr>
          <w:rFonts w:eastAsia="Muli" w:cs="Muli" w:asciiTheme="majorHAnsi" w:hAnsiTheme="majorHAnsi"/>
          <w:sz w:val="20"/>
          <w:szCs w:val="20"/>
        </w:rPr>
        <w:t>You must provide accurate order and delivery details, pay the amounts due, and not use another person’s payment method without authority.</w:t>
      </w:r>
    </w:p>
    <w:p w14:paraId="38EE06C2">
      <w:pPr>
        <w:pStyle w:val="20"/>
        <w:keepNext/>
        <w:numPr>
          <w:ilvl w:val="0"/>
          <w:numId w:val="3"/>
        </w:numPr>
        <w:spacing w:before="300" w:after="140"/>
        <w:contextualSpacing w:val="0"/>
        <w:rPr>
          <w:rFonts w:eastAsia="Muli" w:cs="Muli" w:asciiTheme="majorHAnsi" w:hAnsiTheme="majorHAnsi"/>
          <w:b/>
          <w:bCs/>
          <w:spacing w:val="20"/>
          <w:sz w:val="20"/>
          <w:szCs w:val="20"/>
          <w:u w:val="single"/>
        </w:rPr>
      </w:pPr>
      <w:r>
        <w:rPr>
          <w:rFonts w:eastAsia="Muli" w:cs="Muli" w:asciiTheme="majorHAnsi" w:hAnsiTheme="majorHAnsi"/>
          <w:b/>
          <w:bCs/>
          <w:spacing w:val="20"/>
          <w:sz w:val="20"/>
          <w:szCs w:val="20"/>
          <w:u w:val="single"/>
        </w:rPr>
        <w:t>PRICES, FEES AND PAYMENTS</w:t>
      </w:r>
    </w:p>
    <w:p w14:paraId="0919CA4A">
      <w:pPr>
        <w:pStyle w:val="20"/>
        <w:numPr>
          <w:ilvl w:val="1"/>
          <w:numId w:val="3"/>
        </w:numPr>
        <w:spacing w:before="0" w:after="140"/>
        <w:contextualSpacing w:val="0"/>
      </w:pPr>
      <w:r>
        <w:rPr>
          <w:rFonts w:eastAsia="Muli" w:cs="Muli" w:asciiTheme="majorHAnsi" w:hAnsiTheme="majorHAnsi"/>
          <w:b/>
          <w:bCs/>
          <w:sz w:val="20"/>
          <w:szCs w:val="20"/>
        </w:rPr>
        <w:t xml:space="preserve">Prices. </w:t>
      </w:r>
      <w:r>
        <w:rPr>
          <w:rFonts w:eastAsia="Muli" w:cs="Muli" w:asciiTheme="majorHAnsi" w:hAnsiTheme="majorHAnsi"/>
          <w:sz w:val="20"/>
          <w:szCs w:val="20"/>
        </w:rPr>
        <w:t>Businesses set their own prices. The price shown for an Order, including GST, any delivery charge and any Platform Fee payable by you, will be displayed to you as a total before you confirm payment. The checkout total is the amount payable unless an obvious error is identified before acceptance. A Business's listed price must be a single price that includes GST and covers the Business's own costs. The Platform Fee is separate and is added by TWCW at checkout. All amounts are in Australian dollars unless stated otherwise.</w:t>
      </w:r>
    </w:p>
    <w:p w14:paraId="501D95AF">
      <w:pPr>
        <w:pStyle w:val="20"/>
        <w:numPr>
          <w:ilvl w:val="1"/>
          <w:numId w:val="3"/>
        </w:numPr>
        <w:spacing w:before="0" w:after="140"/>
        <w:contextualSpacing w:val="0"/>
      </w:pPr>
      <w:r>
        <w:rPr>
          <w:rFonts w:eastAsia="Muli" w:cs="Muli" w:asciiTheme="majorHAnsi" w:hAnsiTheme="majorHAnsi"/>
          <w:b/>
          <w:bCs/>
          <w:sz w:val="20"/>
          <w:szCs w:val="20"/>
        </w:rPr>
        <w:t xml:space="preserve">Platform Fee. </w:t>
      </w:r>
      <w:r>
        <w:rPr>
          <w:rFonts w:eastAsia="Muli" w:cs="Muli" w:asciiTheme="majorHAnsi" w:hAnsiTheme="majorHAnsi"/>
          <w:sz w:val="20"/>
          <w:szCs w:val="20"/>
        </w:rPr>
        <w:t xml:space="preserve">Where a Platform Fee applies to a Consumer transaction, it will be clearly disclosed in the price and checkout summary before you pay, and charged once per completed transaction. At the date of these Terms the Platform Fee is 2.5% of the Order subtotal (the total of the Businesses' prices for the goods or services in the Order. It is added to the Order total at checkout and is paid to TWCW through the </w:t>
      </w:r>
      <w:r>
        <w:rPr>
          <w:rFonts w:hint="default" w:eastAsia="Muli" w:cs="Muli" w:asciiTheme="majorHAnsi" w:hAnsiTheme="majorHAnsi"/>
          <w:sz w:val="20"/>
          <w:szCs w:val="20"/>
          <w:lang w:val="en-US"/>
        </w:rPr>
        <w:t>p</w:t>
      </w:r>
      <w:r>
        <w:rPr>
          <w:rFonts w:eastAsia="Muli" w:cs="Muli" w:asciiTheme="majorHAnsi" w:hAnsiTheme="majorHAnsi"/>
          <w:sz w:val="20"/>
          <w:szCs w:val="20"/>
        </w:rPr>
        <w:t xml:space="preserve">ayment </w:t>
      </w:r>
      <w:r>
        <w:rPr>
          <w:rFonts w:hint="default" w:eastAsia="Muli" w:cs="Muli" w:asciiTheme="majorHAnsi" w:hAnsiTheme="majorHAnsi"/>
          <w:sz w:val="20"/>
          <w:szCs w:val="20"/>
          <w:lang w:val="en-US"/>
        </w:rPr>
        <w:t>p</w:t>
      </w:r>
      <w:r>
        <w:rPr>
          <w:rFonts w:eastAsia="Muli" w:cs="Muli" w:asciiTheme="majorHAnsi" w:hAnsiTheme="majorHAnsi"/>
          <w:sz w:val="20"/>
          <w:szCs w:val="20"/>
        </w:rPr>
        <w:t>rovider</w:t>
      </w:r>
      <w:r>
        <w:rPr>
          <w:rFonts w:hint="default" w:eastAsia="Muli" w:cs="Muli" w:asciiTheme="majorHAnsi" w:hAnsiTheme="majorHAnsi"/>
          <w:sz w:val="20"/>
          <w:szCs w:val="20"/>
          <w:lang w:val="en-US"/>
        </w:rPr>
        <w:t xml:space="preserve"> Stripe</w:t>
      </w:r>
      <w:r>
        <w:rPr>
          <w:rFonts w:eastAsia="Muli" w:cs="Muli" w:asciiTheme="majorHAnsi" w:hAnsiTheme="majorHAnsi"/>
          <w:sz w:val="20"/>
          <w:szCs w:val="20"/>
        </w:rPr>
        <w:t>. TWCW may change a Platform Fee for future Orders by displaying the new fee before checkout. If an Order is refunded in full by the Business, we will also refund the Platform Fee for that Order. Unless required by law, the Platform Fee is not refunded where only a partial refund is given or because you changed your mind.</w:t>
      </w:r>
    </w:p>
    <w:p w14:paraId="6573676F">
      <w:pPr>
        <w:pStyle w:val="20"/>
        <w:numPr>
          <w:ilvl w:val="1"/>
          <w:numId w:val="3"/>
        </w:numPr>
        <w:spacing w:before="0" w:after="140"/>
        <w:contextualSpacing w:val="0"/>
      </w:pPr>
      <w:r>
        <w:rPr>
          <w:rFonts w:eastAsia="Muli" w:cs="Muli" w:asciiTheme="majorHAnsi" w:hAnsiTheme="majorHAnsi"/>
          <w:b/>
          <w:bCs/>
          <w:sz w:val="20"/>
          <w:szCs w:val="20"/>
        </w:rPr>
        <w:t xml:space="preserve">Payment Provider. </w:t>
      </w:r>
      <w:r>
        <w:rPr>
          <w:rFonts w:eastAsia="Muli" w:cs="Muli" w:asciiTheme="majorHAnsi" w:hAnsiTheme="majorHAnsi"/>
          <w:sz w:val="20"/>
          <w:szCs w:val="20"/>
        </w:rPr>
        <w:t>Payments are processed by Stripe or another Payment Provider. By paying you authorise the Payment Provider and, where relevant, TWCW to charge your selected payment method for the Order total, the Platform Fee and authorised adjustments. Payment Provider terms and privacy practices also apply. Card details are entered directly into Stripe’s secure payment components and are never received or stored by TWCW.</w:t>
      </w:r>
    </w:p>
    <w:p w14:paraId="60BF7526">
      <w:pPr>
        <w:pStyle w:val="20"/>
        <w:numPr>
          <w:ilvl w:val="1"/>
          <w:numId w:val="3"/>
        </w:numPr>
        <w:spacing w:before="0" w:after="140"/>
        <w:contextualSpacing w:val="0"/>
      </w:pPr>
      <w:r>
        <w:rPr>
          <w:rFonts w:eastAsia="Muli" w:cs="Muli" w:asciiTheme="majorHAnsi" w:hAnsiTheme="majorHAnsi"/>
          <w:b/>
          <w:bCs/>
          <w:sz w:val="20"/>
          <w:szCs w:val="20"/>
        </w:rPr>
        <w:t xml:space="preserve">TWCW’s limited payment collection role. </w:t>
      </w:r>
      <w:r>
        <w:rPr>
          <w:rFonts w:eastAsia="Muli" w:cs="Muli" w:asciiTheme="majorHAnsi" w:hAnsiTheme="majorHAnsi"/>
          <w:sz w:val="20"/>
          <w:szCs w:val="20"/>
        </w:rPr>
        <w:t>Each Business appoints TWCW, acting through the Payment Provider, as its limited agent for the sole purpose of receiving payment from you for the Sale Contract. When payment is received by TWCW or the Payment Provider on the Business’s behalf, you are treated as having paid the Business. TWCW then arranges for the funds to be settled to the Business after deducting amounts due to TWCW under these Terms. This role does not make TWCW the seller and does not make TWCW responsible for the Business’s performance of the Sale Contract.</w:t>
      </w:r>
    </w:p>
    <w:p w14:paraId="2686BC54">
      <w:pPr>
        <w:pStyle w:val="20"/>
        <w:numPr>
          <w:ilvl w:val="1"/>
          <w:numId w:val="3"/>
        </w:numPr>
        <w:spacing w:before="0" w:after="140"/>
        <w:contextualSpacing w:val="0"/>
      </w:pPr>
      <w:r>
        <w:rPr>
          <w:rFonts w:eastAsia="Muli" w:cs="Muli" w:asciiTheme="majorHAnsi" w:hAnsiTheme="majorHAnsi"/>
          <w:b/>
          <w:bCs/>
          <w:sz w:val="20"/>
          <w:szCs w:val="20"/>
        </w:rPr>
        <w:t xml:space="preserve">Fraud, disputes and holds. </w:t>
      </w:r>
      <w:r>
        <w:rPr>
          <w:rFonts w:eastAsia="Muli" w:cs="Muli" w:asciiTheme="majorHAnsi" w:hAnsiTheme="majorHAnsi"/>
          <w:sz w:val="20"/>
          <w:szCs w:val="20"/>
        </w:rPr>
        <w:t>You must not make unauthorised payments, engage in payment fraud, or reverse a legitimate charge to avoid paying. If you believe a charge is wrong, contact us and the Business first. TWCW may place holds, delay settlements, reverse transactions, or restrict accounts where reasonably necessary to manage fraud, chargebacks, refunds or legal risk.</w:t>
      </w:r>
    </w:p>
    <w:p w14:paraId="55A20ECC">
      <w:pPr>
        <w:pStyle w:val="20"/>
        <w:numPr>
          <w:ilvl w:val="1"/>
          <w:numId w:val="3"/>
        </w:numPr>
        <w:spacing w:before="0" w:after="140"/>
        <w:contextualSpacing w:val="0"/>
      </w:pPr>
      <w:r>
        <w:rPr>
          <w:rFonts w:eastAsia="Muli" w:cs="Muli" w:asciiTheme="majorHAnsi" w:hAnsiTheme="majorHAnsi"/>
          <w:b/>
          <w:bCs/>
          <w:sz w:val="20"/>
          <w:szCs w:val="20"/>
        </w:rPr>
        <w:t xml:space="preserve">Refunds to you. </w:t>
      </w:r>
      <w:r>
        <w:rPr>
          <w:rFonts w:eastAsia="Muli" w:cs="Muli" w:asciiTheme="majorHAnsi" w:hAnsiTheme="majorHAnsi"/>
          <w:sz w:val="20"/>
          <w:szCs w:val="20"/>
        </w:rPr>
        <w:t>Refunds are made to the original payment method. Timing depends on the Business, the Payment Provider and your bank or card issuer.</w:t>
      </w:r>
    </w:p>
    <w:p w14:paraId="448F9E7C">
      <w:pPr>
        <w:pStyle w:val="20"/>
        <w:numPr>
          <w:ilvl w:val="1"/>
          <w:numId w:val="3"/>
        </w:numPr>
        <w:spacing w:before="0" w:after="140"/>
        <w:contextualSpacing w:val="0"/>
      </w:pPr>
      <w:r>
        <w:rPr>
          <w:rFonts w:eastAsia="Muli" w:cs="Muli" w:asciiTheme="majorHAnsi" w:hAnsiTheme="majorHAnsi"/>
          <w:b/>
          <w:bCs/>
          <w:sz w:val="20"/>
          <w:szCs w:val="20"/>
        </w:rPr>
        <w:t xml:space="preserve">Tax invoices. </w:t>
      </w:r>
      <w:r>
        <w:rPr>
          <w:rFonts w:eastAsia="Muli" w:cs="Muli" w:asciiTheme="majorHAnsi" w:hAnsiTheme="majorHAnsi"/>
          <w:sz w:val="20"/>
          <w:szCs w:val="20"/>
        </w:rPr>
        <w:t>The Business is responsible for issuing any tax invoice or receipt for the goods or services. TWCW will issue a tax invoice or receipt for a Platform Fee where required.</w:t>
      </w:r>
    </w:p>
    <w:p w14:paraId="5F8E0526">
      <w:pPr>
        <w:pStyle w:val="20"/>
        <w:numPr>
          <w:ilvl w:val="1"/>
          <w:numId w:val="3"/>
        </w:numPr>
        <w:spacing w:before="0" w:after="140"/>
        <w:contextualSpacing w:val="0"/>
      </w:pPr>
      <w:r>
        <w:rPr>
          <w:rFonts w:eastAsia="Muli" w:cs="Muli" w:asciiTheme="majorHAnsi" w:hAnsiTheme="majorHAnsi"/>
          <w:b/>
          <w:bCs/>
          <w:sz w:val="20"/>
          <w:szCs w:val="20"/>
        </w:rPr>
        <w:t xml:space="preserve">No card surcharges. </w:t>
      </w:r>
      <w:r>
        <w:rPr>
          <w:rFonts w:eastAsia="Muli" w:cs="Muli" w:asciiTheme="majorHAnsi" w:hAnsiTheme="majorHAnsi"/>
          <w:sz w:val="20"/>
          <w:szCs w:val="20"/>
        </w:rPr>
        <w:t>A Business must not add a surcharge or any other fee for paying by card through the Platform except to the extent that Applicable Law and the rules of the relevant card scheme permit it, and must include the cost of accepting payment in its displayed price. TWCW may block, refund or reverse any surcharge that it reasonably believes is not permitted.</w:t>
      </w:r>
    </w:p>
    <w:p w14:paraId="65495AAF">
      <w:pPr>
        <w:pStyle w:val="20"/>
        <w:numPr>
          <w:ilvl w:val="1"/>
          <w:numId w:val="3"/>
        </w:numPr>
        <w:spacing w:before="0" w:after="140"/>
        <w:contextualSpacing w:val="0"/>
      </w:pPr>
      <w:r>
        <w:rPr>
          <w:rFonts w:eastAsia="Muli" w:cs="Muli" w:asciiTheme="majorHAnsi" w:hAnsiTheme="majorHAnsi"/>
          <w:b/>
          <w:bCs/>
          <w:sz w:val="20"/>
          <w:szCs w:val="20"/>
        </w:rPr>
        <w:t xml:space="preserve">Other payment methods. </w:t>
      </w:r>
      <w:r>
        <w:rPr>
          <w:rFonts w:eastAsia="Muli" w:cs="Muli" w:asciiTheme="majorHAnsi" w:hAnsiTheme="majorHAnsi"/>
          <w:sz w:val="20"/>
          <w:szCs w:val="20"/>
        </w:rPr>
        <w:t>TWCW may enable payment methods other than cards (for example digital wallets, bank debit or buy-now-pay-later services). Those methods are provided by third parties under their own terms, including any credit terms. TWCW is not a credit provider, and TWCW may withdraw a payment method at any time.</w:t>
      </w:r>
    </w:p>
    <w:p w14:paraId="4320F174">
      <w:pPr>
        <w:pStyle w:val="20"/>
        <w:keepNext/>
        <w:numPr>
          <w:ilvl w:val="0"/>
          <w:numId w:val="3"/>
        </w:numPr>
        <w:spacing w:before="300" w:after="140"/>
        <w:contextualSpacing w:val="0"/>
        <w:rPr>
          <w:rFonts w:eastAsia="Muli" w:cs="Muli" w:asciiTheme="majorHAnsi" w:hAnsiTheme="majorHAnsi"/>
          <w:b/>
          <w:bCs/>
          <w:spacing w:val="20"/>
          <w:sz w:val="20"/>
          <w:szCs w:val="20"/>
          <w:u w:val="single"/>
        </w:rPr>
      </w:pPr>
      <w:r>
        <w:rPr>
          <w:rFonts w:eastAsia="Muli" w:cs="Muli" w:asciiTheme="majorHAnsi" w:hAnsiTheme="majorHAnsi"/>
          <w:b/>
          <w:bCs/>
          <w:spacing w:val="20"/>
          <w:sz w:val="20"/>
          <w:szCs w:val="20"/>
          <w:u w:val="single"/>
        </w:rPr>
        <w:t>DELIVERY, COLLECTION AND RISK</w:t>
      </w:r>
    </w:p>
    <w:p w14:paraId="7480CF15">
      <w:pPr>
        <w:pStyle w:val="20"/>
        <w:numPr>
          <w:ilvl w:val="1"/>
          <w:numId w:val="3"/>
        </w:numPr>
        <w:spacing w:before="0" w:after="140"/>
        <w:contextualSpacing w:val="0"/>
      </w:pPr>
      <w:r>
        <w:rPr>
          <w:rFonts w:eastAsia="Muli" w:cs="Muli" w:asciiTheme="majorHAnsi" w:hAnsiTheme="majorHAnsi"/>
          <w:b/>
          <w:bCs/>
          <w:sz w:val="20"/>
          <w:szCs w:val="20"/>
        </w:rPr>
        <w:t xml:space="preserve">Business responsible. </w:t>
      </w:r>
      <w:r>
        <w:rPr>
          <w:rFonts w:eastAsia="Muli" w:cs="Muli" w:asciiTheme="majorHAnsi" w:hAnsiTheme="majorHAnsi"/>
          <w:sz w:val="20"/>
          <w:szCs w:val="20"/>
        </w:rPr>
        <w:t>The Business is responsible for supplying, dispatching or performing the goods or services as described in its listing. Delivery may be made by the Business or a carrier it chooses. Any carrier is the Business’s contractor, not TWCW’s.</w:t>
      </w:r>
    </w:p>
    <w:p w14:paraId="7B62B993">
      <w:pPr>
        <w:pStyle w:val="20"/>
        <w:numPr>
          <w:ilvl w:val="1"/>
          <w:numId w:val="3"/>
        </w:numPr>
        <w:spacing w:before="0" w:after="140"/>
        <w:contextualSpacing w:val="0"/>
      </w:pPr>
      <w:r>
        <w:rPr>
          <w:rFonts w:eastAsia="Muli" w:cs="Muli" w:asciiTheme="majorHAnsi" w:hAnsiTheme="majorHAnsi"/>
          <w:b/>
          <w:bCs/>
          <w:sz w:val="20"/>
          <w:szCs w:val="20"/>
        </w:rPr>
        <w:t xml:space="preserve">Estimates and risk. </w:t>
      </w:r>
      <w:r>
        <w:rPr>
          <w:rFonts w:eastAsia="Muli" w:cs="Muli" w:asciiTheme="majorHAnsi" w:hAnsiTheme="majorHAnsi"/>
          <w:sz w:val="20"/>
          <w:szCs w:val="20"/>
        </w:rPr>
        <w:t>Estimated delivery dates are estimates, not guarantees, unless the listing clearly says otherwise. As between you and TWCW, risk in goods remains with the Business until they are delivered to you or collected by you.</w:t>
      </w:r>
    </w:p>
    <w:p w14:paraId="7545CA8F">
      <w:pPr>
        <w:pStyle w:val="20"/>
        <w:numPr>
          <w:ilvl w:val="1"/>
          <w:numId w:val="3"/>
        </w:numPr>
        <w:spacing w:before="0" w:after="140"/>
        <w:contextualSpacing w:val="0"/>
      </w:pPr>
      <w:r>
        <w:rPr>
          <w:rFonts w:eastAsia="Muli" w:cs="Muli" w:asciiTheme="majorHAnsi" w:hAnsiTheme="majorHAnsi"/>
          <w:b/>
          <w:bCs/>
          <w:sz w:val="20"/>
          <w:szCs w:val="20"/>
        </w:rPr>
        <w:t xml:space="preserve">Tracking and logistics tools. </w:t>
      </w:r>
      <w:r>
        <w:rPr>
          <w:rFonts w:eastAsia="Muli" w:cs="Muli" w:asciiTheme="majorHAnsi" w:hAnsiTheme="majorHAnsi"/>
          <w:sz w:val="20"/>
          <w:szCs w:val="20"/>
        </w:rPr>
        <w:t>TWCW may provide tracking or logistics integrations as a convenience. TWCW is not the carrier and does not assume responsibility for dispatch, packaging, delivery, loss, damage, delay or failed delivery, subject to rights that cannot be excluded under the ACL.</w:t>
      </w:r>
    </w:p>
    <w:p w14:paraId="740C83EC">
      <w:pPr>
        <w:pStyle w:val="20"/>
        <w:numPr>
          <w:ilvl w:val="1"/>
          <w:numId w:val="3"/>
        </w:numPr>
        <w:spacing w:before="0" w:after="140"/>
        <w:contextualSpacing w:val="0"/>
      </w:pPr>
      <w:r>
        <w:rPr>
          <w:rFonts w:eastAsia="Muli" w:cs="Muli" w:asciiTheme="majorHAnsi" w:hAnsiTheme="majorHAnsi"/>
          <w:b/>
          <w:bCs/>
          <w:sz w:val="20"/>
          <w:szCs w:val="20"/>
        </w:rPr>
        <w:t xml:space="preserve">Problems with delivery. </w:t>
      </w:r>
      <w:r>
        <w:rPr>
          <w:rFonts w:eastAsia="Muli" w:cs="Muli" w:asciiTheme="majorHAnsi" w:hAnsiTheme="majorHAnsi"/>
          <w:sz w:val="20"/>
          <w:szCs w:val="20"/>
        </w:rPr>
        <w:t>Please report a missing, damaged or incorrect delivery to the Business promptly through the Platform. The Business must respond and provide any remedy required by law.</w:t>
      </w:r>
    </w:p>
    <w:p w14:paraId="319A5A16">
      <w:pPr>
        <w:pStyle w:val="20"/>
        <w:numPr>
          <w:ilvl w:val="1"/>
          <w:numId w:val="3"/>
        </w:numPr>
        <w:spacing w:before="0" w:after="140"/>
        <w:contextualSpacing w:val="0"/>
      </w:pPr>
      <w:r>
        <w:rPr>
          <w:rFonts w:eastAsia="Muli" w:cs="Muli" w:asciiTheme="majorHAnsi" w:hAnsiTheme="majorHAnsi"/>
          <w:b/>
          <w:bCs/>
          <w:sz w:val="20"/>
          <w:szCs w:val="20"/>
        </w:rPr>
        <w:t xml:space="preserve">Services and international delivery. </w:t>
      </w:r>
      <w:r>
        <w:rPr>
          <w:rFonts w:eastAsia="Muli" w:cs="Muli" w:asciiTheme="majorHAnsi" w:hAnsiTheme="majorHAnsi"/>
          <w:sz w:val="20"/>
          <w:szCs w:val="20"/>
        </w:rPr>
        <w:t>For services, the Business is responsible for the conduct, competence and supervision of its personnel. Customs duties, import taxes and destination restrictions apply only where a Business offers international delivery and, unless the checkout says otherwise, are your responsibility.</w:t>
      </w:r>
    </w:p>
    <w:p w14:paraId="0653BA19">
      <w:pPr>
        <w:pStyle w:val="20"/>
        <w:keepNext/>
        <w:numPr>
          <w:ilvl w:val="0"/>
          <w:numId w:val="3"/>
        </w:numPr>
        <w:spacing w:before="300" w:after="140"/>
        <w:contextualSpacing w:val="0"/>
        <w:rPr>
          <w:rFonts w:eastAsia="Muli" w:cs="Muli" w:asciiTheme="majorHAnsi" w:hAnsiTheme="majorHAnsi"/>
          <w:b/>
          <w:bCs/>
          <w:spacing w:val="20"/>
          <w:sz w:val="20"/>
          <w:szCs w:val="20"/>
          <w:u w:val="single"/>
        </w:rPr>
      </w:pPr>
      <w:r>
        <w:rPr>
          <w:rFonts w:eastAsia="Muli" w:cs="Muli" w:asciiTheme="majorHAnsi" w:hAnsiTheme="majorHAnsi"/>
          <w:b/>
          <w:bCs/>
          <w:spacing w:val="20"/>
          <w:sz w:val="20"/>
          <w:szCs w:val="20"/>
          <w:u w:val="single"/>
        </w:rPr>
        <w:t>REFUNDS, RETURNS AND CONSUMER GUARANTEES</w:t>
      </w:r>
    </w:p>
    <w:p w14:paraId="78BBFE6A">
      <w:pPr>
        <w:pStyle w:val="20"/>
        <w:numPr>
          <w:ilvl w:val="1"/>
          <w:numId w:val="3"/>
        </w:numPr>
        <w:spacing w:before="0" w:after="140"/>
        <w:contextualSpacing w:val="0"/>
      </w:pPr>
      <w:r>
        <w:rPr>
          <w:rFonts w:eastAsia="Muli" w:cs="Muli" w:asciiTheme="majorHAnsi" w:hAnsiTheme="majorHAnsi"/>
          <w:b/>
          <w:bCs/>
          <w:sz w:val="20"/>
          <w:szCs w:val="20"/>
        </w:rPr>
        <w:t xml:space="preserve">Australian Consumer Law. </w:t>
      </w:r>
      <w:r>
        <w:rPr>
          <w:rFonts w:eastAsia="Muli" w:cs="Muli" w:asciiTheme="majorHAnsi" w:hAnsiTheme="majorHAnsi"/>
          <w:sz w:val="20"/>
          <w:szCs w:val="20"/>
        </w:rPr>
        <w:t>Goods and services supplied by a Business must meet the consumer guarantees in the ACL, including that goods are of acceptable quality, safe, durable, fit for any disclosed purpose, match their description and are supplied with clear title, and that services are provided with due care and skill, are fit for any disclosed purpose, and are supplied within a reasonable time. Nothing in these Terms excludes, restricts or modifies any right or remedy you have under the ACL or other law that cannot lawfully be excluded.</w:t>
      </w:r>
    </w:p>
    <w:p w14:paraId="59A2EEA8">
      <w:pPr>
        <w:pStyle w:val="20"/>
        <w:numPr>
          <w:ilvl w:val="1"/>
          <w:numId w:val="3"/>
        </w:numPr>
        <w:spacing w:before="0" w:after="140"/>
        <w:contextualSpacing w:val="0"/>
      </w:pPr>
      <w:r>
        <w:rPr>
          <w:rFonts w:eastAsia="Muli" w:cs="Muli" w:asciiTheme="majorHAnsi" w:hAnsiTheme="majorHAnsi"/>
          <w:b/>
          <w:bCs/>
          <w:sz w:val="20"/>
          <w:szCs w:val="20"/>
        </w:rPr>
        <w:t xml:space="preserve">Who provides the remedy. </w:t>
      </w:r>
      <w:r>
        <w:rPr>
          <w:rFonts w:eastAsia="Muli" w:cs="Muli" w:asciiTheme="majorHAnsi" w:hAnsiTheme="majorHAnsi"/>
          <w:sz w:val="20"/>
          <w:szCs w:val="20"/>
        </w:rPr>
        <w:t>The Business that supplied the goods or services is primarily responsible for any refund, replacement, repair, cancellation or compensation to which you are entitled. Depending on whether the failure is major or minor, you may be entitled to a refund, a replacement, a repair, cancellation of the service or compensation.</w:t>
      </w:r>
    </w:p>
    <w:p w14:paraId="4F80B73D">
      <w:pPr>
        <w:pStyle w:val="20"/>
        <w:numPr>
          <w:ilvl w:val="1"/>
          <w:numId w:val="3"/>
        </w:numPr>
        <w:spacing w:before="0" w:after="140"/>
        <w:contextualSpacing w:val="0"/>
      </w:pPr>
      <w:r>
        <w:rPr>
          <w:rFonts w:eastAsia="Muli" w:cs="Muli" w:asciiTheme="majorHAnsi" w:hAnsiTheme="majorHAnsi"/>
          <w:b/>
          <w:bCs/>
          <w:sz w:val="20"/>
          <w:szCs w:val="20"/>
        </w:rPr>
        <w:t xml:space="preserve">How to seek a remedy. </w:t>
      </w:r>
      <w:r>
        <w:rPr>
          <w:rFonts w:eastAsia="Muli" w:cs="Muli" w:asciiTheme="majorHAnsi" w:hAnsiTheme="majorHAnsi"/>
          <w:sz w:val="20"/>
          <w:szCs w:val="20"/>
        </w:rPr>
        <w:t>Contact the Business through the Platform, describe the problem and the remedy you want, and provide reasonable evidence. If the Business has not responded or the matter is not resolved within 14 days, you may submit a dispute to TWCW through the Platform.</w:t>
      </w:r>
    </w:p>
    <w:p w14:paraId="759ADEF1">
      <w:pPr>
        <w:pStyle w:val="20"/>
        <w:numPr>
          <w:ilvl w:val="1"/>
          <w:numId w:val="3"/>
        </w:numPr>
        <w:spacing w:before="0" w:after="140"/>
        <w:contextualSpacing w:val="0"/>
      </w:pPr>
      <w:r>
        <w:rPr>
          <w:rFonts w:eastAsia="Muli" w:cs="Muli" w:asciiTheme="majorHAnsi" w:hAnsiTheme="majorHAnsi"/>
          <w:b/>
          <w:bCs/>
          <w:sz w:val="20"/>
          <w:szCs w:val="20"/>
        </w:rPr>
        <w:t xml:space="preserve">Platform review (convenience service). </w:t>
      </w:r>
      <w:r>
        <w:rPr>
          <w:rFonts w:eastAsia="Muli" w:cs="Muli" w:asciiTheme="majorHAnsi" w:hAnsiTheme="majorHAnsi"/>
          <w:sz w:val="20"/>
          <w:szCs w:val="20"/>
        </w:rPr>
        <w:t>TWCW may, in its discretion, review a dispute submitted under clause 10.3, ask both sides for records and evidence, and facilitate communication. For Orders paid through the Platform, if the Business fails to respond or to provide a remedy required by law or by its own published policy, TWCW may direct that you be refunded up to the amount you paid for that Order and recover that amount from the Business under clause 16.4. This service is a convenience only. It does not make TWCW the seller or guarantor, is not a substitute for a court, tribunal or Regulator, and does not limit your legal rights.</w:t>
      </w:r>
    </w:p>
    <w:p w14:paraId="3568B315">
      <w:pPr>
        <w:pStyle w:val="20"/>
        <w:numPr>
          <w:ilvl w:val="1"/>
          <w:numId w:val="3"/>
        </w:numPr>
        <w:spacing w:before="0" w:after="140"/>
        <w:contextualSpacing w:val="0"/>
      </w:pPr>
      <w:r>
        <w:rPr>
          <w:rFonts w:eastAsia="Muli" w:cs="Muli" w:asciiTheme="majorHAnsi" w:hAnsiTheme="majorHAnsi"/>
          <w:b/>
          <w:bCs/>
          <w:sz w:val="20"/>
          <w:szCs w:val="20"/>
        </w:rPr>
        <w:t xml:space="preserve">Change of mind. </w:t>
      </w:r>
      <w:r>
        <w:rPr>
          <w:rFonts w:eastAsia="Muli" w:cs="Muli" w:asciiTheme="majorHAnsi" w:hAnsiTheme="majorHAnsi"/>
          <w:sz w:val="20"/>
          <w:szCs w:val="20"/>
        </w:rPr>
        <w:t>The ACL does not generally require a Business to give a refund for change of mind. A Business’s change-of-mind, cancellation and return terms must be shown clearly in its listing or at checkout and must not reduce your non-excludable rights.</w:t>
      </w:r>
    </w:p>
    <w:p w14:paraId="0DCAD777">
      <w:pPr>
        <w:pStyle w:val="20"/>
        <w:numPr>
          <w:ilvl w:val="1"/>
          <w:numId w:val="3"/>
        </w:numPr>
        <w:spacing w:before="0" w:after="140"/>
        <w:contextualSpacing w:val="0"/>
      </w:pPr>
      <w:r>
        <w:rPr>
          <w:rFonts w:eastAsia="Muli" w:cs="Muli" w:asciiTheme="majorHAnsi" w:hAnsiTheme="majorHAnsi"/>
          <w:b/>
          <w:bCs/>
          <w:sz w:val="20"/>
          <w:szCs w:val="20"/>
        </w:rPr>
        <w:t xml:space="preserve">Abuse of refunds. </w:t>
      </w:r>
      <w:r>
        <w:rPr>
          <w:rFonts w:eastAsia="Muli" w:cs="Muli" w:asciiTheme="majorHAnsi" w:hAnsiTheme="majorHAnsi"/>
          <w:sz w:val="20"/>
          <w:szCs w:val="20"/>
        </w:rPr>
        <w:t>You must not make false, repeated or groundless refund claims or disputes. We may restrict accounts that do.</w:t>
      </w:r>
    </w:p>
    <w:p w14:paraId="24ADC4E8">
      <w:pPr>
        <w:pStyle w:val="20"/>
        <w:keepNext/>
        <w:numPr>
          <w:ilvl w:val="0"/>
          <w:numId w:val="3"/>
        </w:numPr>
        <w:spacing w:before="300" w:after="140"/>
        <w:contextualSpacing w:val="0"/>
        <w:rPr>
          <w:rFonts w:eastAsia="Muli" w:cs="Muli" w:asciiTheme="majorHAnsi" w:hAnsiTheme="majorHAnsi"/>
          <w:b/>
          <w:bCs/>
          <w:spacing w:val="20"/>
          <w:sz w:val="20"/>
          <w:szCs w:val="20"/>
          <w:u w:val="single"/>
        </w:rPr>
      </w:pPr>
      <w:r>
        <w:rPr>
          <w:rFonts w:eastAsia="Muli" w:cs="Muli" w:asciiTheme="majorHAnsi" w:hAnsiTheme="majorHAnsi"/>
          <w:b/>
          <w:bCs/>
          <w:spacing w:val="20"/>
          <w:sz w:val="20"/>
          <w:szCs w:val="20"/>
          <w:u w:val="single"/>
        </w:rPr>
        <w:t>YOUR SAFETY AND YOUR OWN DECISIONS</w:t>
      </w:r>
    </w:p>
    <w:p w14:paraId="035B0A5F">
      <w:pPr>
        <w:pStyle w:val="20"/>
        <w:numPr>
          <w:ilvl w:val="1"/>
          <w:numId w:val="3"/>
        </w:numPr>
        <w:spacing w:before="0" w:after="140"/>
        <w:contextualSpacing w:val="0"/>
      </w:pPr>
      <w:r>
        <w:rPr>
          <w:rFonts w:eastAsia="Muli" w:cs="Muli" w:asciiTheme="majorHAnsi" w:hAnsiTheme="majorHAnsi"/>
          <w:b/>
          <w:bCs/>
          <w:sz w:val="20"/>
          <w:szCs w:val="20"/>
        </w:rPr>
        <w:t xml:space="preserve">No vetting beyond clause 3.6. </w:t>
      </w:r>
      <w:r>
        <w:rPr>
          <w:rFonts w:eastAsia="Muli" w:cs="Muli" w:asciiTheme="majorHAnsi" w:hAnsiTheme="majorHAnsi"/>
          <w:sz w:val="20"/>
          <w:szCs w:val="20"/>
        </w:rPr>
        <w:t>Unless the Platform says otherwise in writing, TWCW does not conduct criminal-history, background, identity, licensing, insurance or premises checks on Businesses or Consumers, and does not inspect any goods, premises or services.</w:t>
      </w:r>
    </w:p>
    <w:p w14:paraId="55049AAD">
      <w:pPr>
        <w:pStyle w:val="20"/>
        <w:numPr>
          <w:ilvl w:val="1"/>
          <w:numId w:val="3"/>
        </w:numPr>
        <w:spacing w:before="0" w:after="140"/>
        <w:contextualSpacing w:val="0"/>
      </w:pPr>
      <w:r>
        <w:rPr>
          <w:rFonts w:eastAsia="Muli" w:cs="Muli" w:asciiTheme="majorHAnsi" w:hAnsiTheme="majorHAnsi"/>
          <w:b/>
          <w:bCs/>
          <w:sz w:val="20"/>
          <w:szCs w:val="20"/>
        </w:rPr>
        <w:t xml:space="preserve">In-person dealings. </w:t>
      </w:r>
      <w:r>
        <w:rPr>
          <w:rFonts w:eastAsia="Muli" w:cs="Muli" w:asciiTheme="majorHAnsi" w:hAnsiTheme="majorHAnsi"/>
          <w:sz w:val="20"/>
          <w:szCs w:val="20"/>
        </w:rPr>
        <w:t>If you meet a Business or Consumer in person, or a Business attends your home or workplace, use sensible precautions: meet in a public place where possible, tell someone where you are going, and do not hand over money or goods unless you are comfortable. In an emergency, call 000.</w:t>
      </w:r>
    </w:p>
    <w:p w14:paraId="21479713">
      <w:pPr>
        <w:pStyle w:val="20"/>
        <w:numPr>
          <w:ilvl w:val="1"/>
          <w:numId w:val="3"/>
        </w:numPr>
        <w:spacing w:before="0" w:after="140"/>
        <w:contextualSpacing w:val="0"/>
      </w:pPr>
      <w:r>
        <w:rPr>
          <w:rFonts w:eastAsia="Muli" w:cs="Muli" w:asciiTheme="majorHAnsi" w:hAnsiTheme="majorHAnsi"/>
          <w:b/>
          <w:bCs/>
          <w:sz w:val="20"/>
          <w:szCs w:val="20"/>
        </w:rPr>
        <w:t xml:space="preserve">Not professional advice. </w:t>
      </w:r>
      <w:r>
        <w:rPr>
          <w:rFonts w:eastAsia="Muli" w:cs="Muli" w:asciiTheme="majorHAnsi" w:hAnsiTheme="majorHAnsi"/>
          <w:sz w:val="20"/>
          <w:szCs w:val="20"/>
        </w:rPr>
        <w:t>Content on the Platform, including Business claims about health, safety, legal, financial or other matters, is not advice from TWCW. Check important claims independently and consult a qualified professional where appropriate.</w:t>
      </w:r>
    </w:p>
    <w:p w14:paraId="1B98CF4D">
      <w:pPr>
        <w:pStyle w:val="20"/>
        <w:numPr>
          <w:ilvl w:val="1"/>
          <w:numId w:val="3"/>
        </w:numPr>
        <w:spacing w:before="0" w:after="140"/>
        <w:contextualSpacing w:val="0"/>
      </w:pPr>
      <w:r>
        <w:rPr>
          <w:rFonts w:eastAsia="Muli" w:cs="Muli" w:asciiTheme="majorHAnsi" w:hAnsiTheme="majorHAnsi"/>
          <w:b/>
          <w:bCs/>
          <w:sz w:val="20"/>
          <w:szCs w:val="20"/>
        </w:rPr>
        <w:t xml:space="preserve">Tell us about concerns. </w:t>
      </w:r>
      <w:r>
        <w:rPr>
          <w:rFonts w:eastAsia="Muli" w:cs="Muli" w:asciiTheme="majorHAnsi" w:hAnsiTheme="majorHAnsi"/>
          <w:sz w:val="20"/>
          <w:szCs w:val="20"/>
        </w:rPr>
        <w:t>Use the in-app report tool or email team@1stopapp.com to report unsafe goods, suspected fraud, unlawful conduct or any safety concern (see also clause 26).</w:t>
      </w:r>
    </w:p>
    <w:p w14:paraId="7F21156A">
      <w:pPr>
        <w:keepNext/>
        <w:pBdr>
          <w:bottom w:val="single" w:color="404040" w:sz="6" w:space="4"/>
        </w:pBdr>
        <w:spacing w:before="480" w:after="160"/>
        <w:jc w:val="center"/>
      </w:pPr>
      <w:r>
        <w:rPr>
          <w:rFonts w:eastAsia="Muli" w:cs="Muli" w:asciiTheme="majorHAnsi" w:hAnsiTheme="majorHAnsi"/>
          <w:b/>
          <w:bCs/>
          <w:spacing w:val="20"/>
          <w:sz w:val="20"/>
          <w:szCs w:val="20"/>
        </w:rPr>
        <w:t>PART C — TERMS FOR BUSINESSES</w:t>
      </w:r>
    </w:p>
    <w:tbl>
      <w:tblPr>
        <w:tblStyle w:val="9"/>
        <w:tblW w:w="9026" w:type="dxa"/>
        <w:tblInd w:w="0" w:type="dxa"/>
        <w:tblLayout w:type="fixed"/>
        <w:tblCellMar>
          <w:top w:w="0" w:type="dxa"/>
          <w:left w:w="108" w:type="dxa"/>
          <w:bottom w:w="0" w:type="dxa"/>
          <w:right w:w="108" w:type="dxa"/>
        </w:tblCellMar>
      </w:tblPr>
      <w:tblGrid>
        <w:gridCol w:w="9026"/>
      </w:tblGrid>
      <w:tr w14:paraId="4A79802C">
        <w:trPr>
          <w:cantSplit/>
        </w:trPr>
        <w:tc>
          <w:tcPr>
            <w:tcW w:w="9026" w:type="dxa"/>
            <w:tcBorders>
              <w:top w:val="single" w:color="404040" w:sz="6" w:space="0"/>
              <w:left w:val="single" w:color="404040" w:sz="6" w:space="0"/>
              <w:bottom w:val="single" w:color="404040" w:sz="6" w:space="0"/>
              <w:right w:val="single" w:color="404040" w:sz="6" w:space="0"/>
            </w:tcBorders>
            <w:shd w:val="clear" w:color="auto" w:fill="E7E6E6"/>
          </w:tcPr>
          <w:p w14:paraId="6A7087B5">
            <w:pPr>
              <w:spacing w:before="60" w:after="80"/>
            </w:pPr>
            <w:r>
              <w:rPr>
                <w:rFonts w:eastAsia="Muli" w:cs="Muli" w:asciiTheme="majorHAnsi" w:hAnsiTheme="majorHAnsi"/>
                <w:b/>
                <w:bCs/>
                <w:sz w:val="19"/>
                <w:szCs w:val="19"/>
              </w:rPr>
              <w:t>Read this if you are a Business</w:t>
            </w:r>
          </w:p>
          <w:p w14:paraId="2C164D4C">
            <w:pPr>
              <w:spacing w:before="60" w:after="80"/>
            </w:pPr>
            <w:r>
              <w:rPr>
                <w:rFonts w:eastAsia="Muli" w:cs="Muli" w:asciiTheme="majorHAnsi" w:hAnsiTheme="majorHAnsi"/>
                <w:sz w:val="19"/>
                <w:szCs w:val="19"/>
              </w:rPr>
              <w:t>You are the seller. You, not TWCW, are responsible for what you advertise, what you deliver, and every refund, repair, replacement or other remedy a customer is entitled to. You must be accurate, deliver what you advertise, keep records, hold the right insurance, protect customer data, and stay independent as the AMAPP requires.</w:t>
            </w:r>
          </w:p>
        </w:tc>
      </w:tr>
    </w:tbl>
    <w:p w14:paraId="157017D9">
      <w:pPr>
        <w:spacing w:before="0" w:after="120"/>
      </w:pPr>
    </w:p>
    <w:p w14:paraId="7A8F1D27">
      <w:pPr>
        <w:pStyle w:val="20"/>
        <w:keepNext/>
        <w:numPr>
          <w:ilvl w:val="0"/>
          <w:numId w:val="3"/>
        </w:numPr>
        <w:spacing w:before="300" w:after="140"/>
        <w:contextualSpacing w:val="0"/>
        <w:rPr>
          <w:rFonts w:eastAsia="Muli" w:cs="Muli" w:asciiTheme="majorHAnsi" w:hAnsiTheme="majorHAnsi"/>
          <w:b/>
          <w:bCs/>
          <w:spacing w:val="20"/>
          <w:sz w:val="20"/>
          <w:szCs w:val="20"/>
          <w:u w:val="single"/>
        </w:rPr>
      </w:pPr>
      <w:r>
        <w:rPr>
          <w:rFonts w:eastAsia="Muli" w:cs="Muli" w:asciiTheme="majorHAnsi" w:hAnsiTheme="majorHAnsi"/>
          <w:b/>
          <w:bCs/>
          <w:spacing w:val="20"/>
          <w:sz w:val="20"/>
          <w:szCs w:val="20"/>
          <w:u w:val="single"/>
        </w:rPr>
        <w:t>BUSINESS ELIGIBILITY AND WARRANTIES</w:t>
      </w:r>
    </w:p>
    <w:p w14:paraId="265A5EAC">
      <w:pPr>
        <w:pStyle w:val="20"/>
        <w:numPr>
          <w:ilvl w:val="1"/>
          <w:numId w:val="3"/>
        </w:numPr>
        <w:spacing w:before="0" w:after="140"/>
        <w:contextualSpacing w:val="0"/>
      </w:pPr>
      <w:r>
        <w:rPr>
          <w:rFonts w:eastAsia="Muli" w:cs="Muli" w:asciiTheme="majorHAnsi" w:hAnsiTheme="majorHAnsi"/>
          <w:b/>
          <w:bCs/>
          <w:sz w:val="20"/>
          <w:szCs w:val="20"/>
        </w:rPr>
        <w:t xml:space="preserve">Who may register. </w:t>
      </w:r>
      <w:r>
        <w:rPr>
          <w:rFonts w:eastAsia="Muli" w:cs="Muli" w:asciiTheme="majorHAnsi" w:hAnsiTheme="majorHAnsi"/>
          <w:sz w:val="20"/>
          <w:szCs w:val="20"/>
        </w:rPr>
        <w:t>The business functions of the Platform are for independently owned and operated businesses, merchants and service providers that meet our onboarding requirements and the AMAPP. You must not register if you are ineligible, misrepresent your ownership, or use another entity to get around the eligibility rules.</w:t>
      </w:r>
    </w:p>
    <w:p w14:paraId="0D063A45">
      <w:pPr>
        <w:pStyle w:val="20"/>
        <w:numPr>
          <w:ilvl w:val="1"/>
          <w:numId w:val="3"/>
        </w:numPr>
        <w:spacing w:before="0" w:after="140"/>
        <w:contextualSpacing w:val="0"/>
      </w:pPr>
      <w:r>
        <w:rPr>
          <w:rFonts w:eastAsia="Muli" w:cs="Muli" w:asciiTheme="majorHAnsi" w:hAnsiTheme="majorHAnsi"/>
          <w:b/>
          <w:bCs/>
          <w:sz w:val="20"/>
          <w:szCs w:val="20"/>
        </w:rPr>
        <w:t xml:space="preserve">Warranties. </w:t>
      </w:r>
      <w:r>
        <w:rPr>
          <w:rFonts w:eastAsia="Muli" w:cs="Muli" w:asciiTheme="majorHAnsi" w:hAnsiTheme="majorHAnsi"/>
          <w:sz w:val="20"/>
          <w:szCs w:val="20"/>
        </w:rPr>
        <w:t>You warrant, on registration and each time you publish a listing, accept an Order or renew a Subscription, that:</w:t>
      </w:r>
    </w:p>
    <w:p w14:paraId="473327D5">
      <w:pPr>
        <w:pStyle w:val="20"/>
        <w:numPr>
          <w:ilvl w:val="2"/>
          <w:numId w:val="3"/>
        </w:numPr>
        <w:spacing w:before="0" w:after="100"/>
        <w:contextualSpacing w:val="0"/>
      </w:pPr>
      <w:r>
        <w:rPr>
          <w:rFonts w:eastAsia="Muli" w:cs="Muli" w:asciiTheme="majorHAnsi" w:hAnsiTheme="majorHAnsi"/>
          <w:sz w:val="20"/>
          <w:szCs w:val="20"/>
        </w:rPr>
        <w:t>you are properly established, have authority to accept these Terms, and the person registering is authorised to bind you;</w:t>
      </w:r>
    </w:p>
    <w:p w14:paraId="3E95A693">
      <w:pPr>
        <w:pStyle w:val="20"/>
        <w:numPr>
          <w:ilvl w:val="2"/>
          <w:numId w:val="3"/>
        </w:numPr>
        <w:spacing w:before="0" w:after="100"/>
        <w:contextualSpacing w:val="0"/>
      </w:pPr>
      <w:r>
        <w:rPr>
          <w:rFonts w:eastAsia="Muli" w:cs="Muli" w:asciiTheme="majorHAnsi" w:hAnsiTheme="majorHAnsi"/>
          <w:sz w:val="20"/>
          <w:szCs w:val="20"/>
        </w:rPr>
        <w:t>all information you give TWCW (including ownership, control, ABN/ACN, GST status, address, licences, qualifications and product information) is accurate, complete and current;</w:t>
      </w:r>
    </w:p>
    <w:p w14:paraId="48768D64">
      <w:pPr>
        <w:pStyle w:val="20"/>
        <w:numPr>
          <w:ilvl w:val="2"/>
          <w:numId w:val="3"/>
        </w:numPr>
        <w:spacing w:before="0" w:after="100"/>
        <w:contextualSpacing w:val="0"/>
      </w:pPr>
      <w:r>
        <w:rPr>
          <w:rFonts w:eastAsia="Muli" w:cs="Muli" w:asciiTheme="majorHAnsi" w:hAnsiTheme="majorHAnsi"/>
          <w:sz w:val="20"/>
          <w:szCs w:val="20"/>
        </w:rPr>
        <w:t>you hold all licences, registrations, permits, qualifications and insurance required for your goods and services and your trading;</w:t>
      </w:r>
    </w:p>
    <w:p w14:paraId="0A5D803C">
      <w:pPr>
        <w:pStyle w:val="20"/>
        <w:numPr>
          <w:ilvl w:val="2"/>
          <w:numId w:val="3"/>
        </w:numPr>
        <w:spacing w:before="0" w:after="100"/>
        <w:contextualSpacing w:val="0"/>
      </w:pPr>
      <w:r>
        <w:rPr>
          <w:rFonts w:eastAsia="Muli" w:cs="Muli" w:asciiTheme="majorHAnsi" w:hAnsiTheme="majorHAnsi"/>
          <w:sz w:val="20"/>
          <w:szCs w:val="20"/>
        </w:rPr>
        <w:t>you own, or are authorised to use, all Business Content you supply, including any music, images, trade marks and the likeness of any person who appears in it;</w:t>
      </w:r>
    </w:p>
    <w:p w14:paraId="078638AE">
      <w:pPr>
        <w:pStyle w:val="20"/>
        <w:numPr>
          <w:ilvl w:val="2"/>
          <w:numId w:val="3"/>
        </w:numPr>
        <w:spacing w:before="0" w:after="100"/>
        <w:contextualSpacing w:val="0"/>
      </w:pPr>
      <w:r>
        <w:rPr>
          <w:rFonts w:eastAsia="Muli" w:cs="Muli" w:asciiTheme="majorHAnsi" w:hAnsiTheme="majorHAnsi"/>
          <w:sz w:val="20"/>
          <w:szCs w:val="20"/>
        </w:rPr>
        <w:t>you are not a multinational corporation under the AMAPP and are not controlled by one;</w:t>
      </w:r>
    </w:p>
    <w:p w14:paraId="04DBC764">
      <w:pPr>
        <w:pStyle w:val="20"/>
        <w:numPr>
          <w:ilvl w:val="2"/>
          <w:numId w:val="3"/>
        </w:numPr>
        <w:spacing w:before="0" w:after="100"/>
        <w:contextualSpacing w:val="0"/>
      </w:pPr>
      <w:r>
        <w:rPr>
          <w:rFonts w:eastAsia="Muli" w:cs="Muli" w:asciiTheme="majorHAnsi" w:hAnsiTheme="majorHAnsi"/>
          <w:sz w:val="20"/>
          <w:szCs w:val="20"/>
        </w:rPr>
        <w:t>you are not insolvent, under external administration, or subject to Australian sanctions; and</w:t>
      </w:r>
    </w:p>
    <w:p w14:paraId="12092305">
      <w:pPr>
        <w:pStyle w:val="20"/>
        <w:numPr>
          <w:ilvl w:val="2"/>
          <w:numId w:val="3"/>
        </w:numPr>
        <w:spacing w:before="0" w:after="100"/>
        <w:contextualSpacing w:val="0"/>
      </w:pPr>
      <w:r>
        <w:rPr>
          <w:rFonts w:eastAsia="Muli" w:cs="Muli" w:asciiTheme="majorHAnsi" w:hAnsiTheme="majorHAnsi"/>
          <w:sz w:val="20"/>
          <w:szCs w:val="20"/>
        </w:rPr>
        <w:t>you will comply with these Terms, the AMAPP and all Applicable Law.</w:t>
      </w:r>
    </w:p>
    <w:p w14:paraId="5F4B09FF">
      <w:pPr>
        <w:pStyle w:val="20"/>
        <w:numPr>
          <w:ilvl w:val="1"/>
          <w:numId w:val="3"/>
        </w:numPr>
        <w:spacing w:before="0" w:after="140"/>
        <w:contextualSpacing w:val="0"/>
      </w:pPr>
      <w:r>
        <w:rPr>
          <w:rFonts w:eastAsia="Muli" w:cs="Muli" w:asciiTheme="majorHAnsi" w:hAnsiTheme="majorHAnsi"/>
          <w:b/>
          <w:bCs/>
          <w:sz w:val="20"/>
          <w:szCs w:val="20"/>
        </w:rPr>
        <w:t xml:space="preserve">Keep us informed. </w:t>
      </w:r>
      <w:r>
        <w:rPr>
          <w:rFonts w:eastAsia="Muli" w:cs="Muli" w:asciiTheme="majorHAnsi" w:hAnsiTheme="majorHAnsi"/>
          <w:sz w:val="20"/>
          <w:szCs w:val="20"/>
        </w:rPr>
        <w:t>You must tell TWCW within 7 days of any change to your ownership, control, structure, branding, franchising, funding, licences, insurance or operations that may affect your eligibility, your warranties or your AMAPP status. TWCW may request documents and information before or after approval, and you must respond within the period requested. Failure to respond, false information, hidden control or a material ownership change may lead to suspension, removal or termination.</w:t>
      </w:r>
    </w:p>
    <w:p w14:paraId="6363073C">
      <w:pPr>
        <w:pStyle w:val="20"/>
        <w:keepNext/>
        <w:numPr>
          <w:ilvl w:val="0"/>
          <w:numId w:val="3"/>
        </w:numPr>
        <w:spacing w:before="300" w:after="140"/>
        <w:contextualSpacing w:val="0"/>
        <w:rPr>
          <w:rFonts w:eastAsia="Muli" w:cs="Muli" w:asciiTheme="majorHAnsi" w:hAnsiTheme="majorHAnsi"/>
          <w:b/>
          <w:bCs/>
          <w:spacing w:val="20"/>
          <w:sz w:val="20"/>
          <w:szCs w:val="20"/>
          <w:u w:val="single"/>
        </w:rPr>
      </w:pPr>
      <w:r>
        <w:rPr>
          <w:rFonts w:eastAsia="Muli" w:cs="Muli" w:asciiTheme="majorHAnsi" w:hAnsiTheme="majorHAnsi"/>
          <w:b/>
          <w:bCs/>
          <w:spacing w:val="20"/>
          <w:sz w:val="20"/>
          <w:szCs w:val="20"/>
          <w:u w:val="single"/>
        </w:rPr>
        <w:t>BUSINESS RESPONSIBILITIES AS SELLER</w:t>
      </w:r>
    </w:p>
    <w:p w14:paraId="6EA18014">
      <w:pPr>
        <w:pStyle w:val="20"/>
        <w:numPr>
          <w:ilvl w:val="1"/>
          <w:numId w:val="3"/>
        </w:numPr>
        <w:spacing w:before="0" w:after="140"/>
        <w:contextualSpacing w:val="0"/>
      </w:pPr>
      <w:r>
        <w:rPr>
          <w:rFonts w:eastAsia="Muli" w:cs="Muli" w:asciiTheme="majorHAnsi" w:hAnsiTheme="majorHAnsi"/>
          <w:b/>
          <w:bCs/>
          <w:sz w:val="20"/>
          <w:szCs w:val="20"/>
        </w:rPr>
        <w:t xml:space="preserve">You are the seller. </w:t>
      </w:r>
      <w:r>
        <w:rPr>
          <w:rFonts w:eastAsia="Muli" w:cs="Muli" w:asciiTheme="majorHAnsi" w:hAnsiTheme="majorHAnsi"/>
          <w:sz w:val="20"/>
          <w:szCs w:val="20"/>
        </w:rPr>
        <w:t>You are the supplier and contracting party for every Sale Contract. You must clearly identify yourself to each Consumer as the seller, as set out in Schedule 2, including your legal or trading name, ABN/ACN where required, contact details, price, GST treatment, delivery terms, cancellation terms and refund process. You must not represent that TWCW is the seller, manufacturer, insurer, employer or guarantor of you or your goods or services, or that TWCW has inspected, endorsed, certified or insured you or your offer.</w:t>
      </w:r>
    </w:p>
    <w:p w14:paraId="4C8FE4E7">
      <w:pPr>
        <w:pStyle w:val="20"/>
        <w:numPr>
          <w:ilvl w:val="1"/>
          <w:numId w:val="3"/>
        </w:numPr>
        <w:spacing w:before="0" w:after="140"/>
        <w:contextualSpacing w:val="0"/>
      </w:pPr>
      <w:r>
        <w:rPr>
          <w:rFonts w:eastAsia="Muli" w:cs="Muli" w:asciiTheme="majorHAnsi" w:hAnsiTheme="majorHAnsi"/>
          <w:b/>
          <w:bCs/>
          <w:sz w:val="20"/>
          <w:szCs w:val="20"/>
        </w:rPr>
        <w:t xml:space="preserve">Legal compliance. </w:t>
      </w:r>
      <w:r>
        <w:rPr>
          <w:rFonts w:eastAsia="Muli" w:cs="Muli" w:asciiTheme="majorHAnsi" w:hAnsiTheme="majorHAnsi"/>
          <w:sz w:val="20"/>
          <w:szCs w:val="20"/>
        </w:rPr>
        <w:t>You must comply with all Applicable Law affecting your business, goods, services and advertising, including the ACL, the Competition and Consumer Act 2010 (Cth), the Corporations Act 2001 (Cth) (where applicable), privacy and spam laws, taxation and GST laws, product-safety laws, licensing laws, workplace, health-and-safety and anti-discrimination laws, and ACCC guidance. If you trade with customers outside Australia you must also comply with mandatory laws of those places. Nothing in these Terms limits any Regulator’s powers.</w:t>
      </w:r>
    </w:p>
    <w:p w14:paraId="2F43ACDF">
      <w:pPr>
        <w:pStyle w:val="20"/>
        <w:numPr>
          <w:ilvl w:val="1"/>
          <w:numId w:val="3"/>
        </w:numPr>
        <w:spacing w:before="0" w:after="140"/>
        <w:contextualSpacing w:val="0"/>
      </w:pPr>
      <w:r>
        <w:rPr>
          <w:rFonts w:eastAsia="Muli" w:cs="Muli" w:asciiTheme="majorHAnsi" w:hAnsiTheme="majorHAnsi"/>
          <w:b/>
          <w:bCs/>
          <w:sz w:val="20"/>
          <w:szCs w:val="20"/>
        </w:rPr>
        <w:t xml:space="preserve">What you advertise is what you deliver. </w:t>
      </w:r>
      <w:r>
        <w:rPr>
          <w:rFonts w:eastAsia="Muli" w:cs="Muli" w:asciiTheme="majorHAnsi" w:hAnsiTheme="majorHAnsi"/>
          <w:sz w:val="20"/>
          <w:szCs w:val="20"/>
        </w:rPr>
        <w:t>You must supply the goods and services you advertise on the terms you display at checkout or in your listing, and honour the price, scope, quality, delivery, cancellation, refund and warranty terms agreed. You must not materially change those terms after agreement without the customer’s informed consent and any remedy required by law. If you advertise a qualification, licence, accreditation or capability, you must hold it and be able to produce evidence on request.</w:t>
      </w:r>
    </w:p>
    <w:p w14:paraId="72F641B5">
      <w:pPr>
        <w:pStyle w:val="20"/>
        <w:numPr>
          <w:ilvl w:val="1"/>
          <w:numId w:val="3"/>
        </w:numPr>
        <w:spacing w:before="0" w:after="140"/>
        <w:contextualSpacing w:val="0"/>
      </w:pPr>
      <w:r>
        <w:rPr>
          <w:rFonts w:eastAsia="Muli" w:cs="Muli" w:asciiTheme="majorHAnsi" w:hAnsiTheme="majorHAnsi"/>
          <w:b/>
          <w:bCs/>
          <w:sz w:val="20"/>
          <w:szCs w:val="20"/>
        </w:rPr>
        <w:t xml:space="preserve">Fulfilment, responses and remedies. </w:t>
      </w:r>
      <w:r>
        <w:rPr>
          <w:rFonts w:eastAsia="Muli" w:cs="Muli" w:asciiTheme="majorHAnsi" w:hAnsiTheme="majorHAnsi"/>
          <w:sz w:val="20"/>
          <w:szCs w:val="20"/>
        </w:rPr>
        <w:t>You must accept and fulfil Orders, communicate delays, and provide every refund, replacement, repair, cancellation or other remedy required by the ACL or Applicable Law. You must acknowledge Consumer enquiries and disputes within 3 business days and keep adequate systems and staff to do so. A failure to resolve a dispute within 14 days may trigger Platform escalation under clause 10.4. That escalation does not replace your legal duties.</w:t>
      </w:r>
    </w:p>
    <w:p w14:paraId="6DC9D067">
      <w:pPr>
        <w:pStyle w:val="20"/>
        <w:numPr>
          <w:ilvl w:val="1"/>
          <w:numId w:val="3"/>
        </w:numPr>
        <w:spacing w:before="0" w:after="140"/>
        <w:contextualSpacing w:val="0"/>
      </w:pPr>
      <w:r>
        <w:rPr>
          <w:rFonts w:eastAsia="Muli" w:cs="Muli" w:asciiTheme="majorHAnsi" w:hAnsiTheme="majorHAnsi"/>
          <w:b/>
          <w:bCs/>
          <w:sz w:val="20"/>
          <w:szCs w:val="20"/>
        </w:rPr>
        <w:t xml:space="preserve">Your policies. </w:t>
      </w:r>
      <w:r>
        <w:rPr>
          <w:rFonts w:eastAsia="Muli" w:cs="Muli" w:asciiTheme="majorHAnsi" w:hAnsiTheme="majorHAnsi"/>
          <w:sz w:val="20"/>
          <w:szCs w:val="20"/>
        </w:rPr>
        <w:t>You must display a returns, refund and cancellation policy in each listing or at checkout that is accurate and does not reduce a Consumer’s non-excludable rights.</w:t>
      </w:r>
    </w:p>
    <w:p w14:paraId="26430A35">
      <w:pPr>
        <w:pStyle w:val="20"/>
        <w:numPr>
          <w:ilvl w:val="1"/>
          <w:numId w:val="3"/>
        </w:numPr>
        <w:spacing w:before="0" w:after="140"/>
        <w:contextualSpacing w:val="0"/>
      </w:pPr>
      <w:r>
        <w:rPr>
          <w:rFonts w:eastAsia="Muli" w:cs="Muli" w:asciiTheme="majorHAnsi" w:hAnsiTheme="majorHAnsi"/>
          <w:b/>
          <w:bCs/>
          <w:sz w:val="20"/>
          <w:szCs w:val="20"/>
        </w:rPr>
        <w:t xml:space="preserve">Taxes and records. </w:t>
      </w:r>
      <w:r>
        <w:rPr>
          <w:rFonts w:eastAsia="Muli" w:cs="Muli" w:asciiTheme="majorHAnsi" w:hAnsiTheme="majorHAnsi"/>
          <w:sz w:val="20"/>
          <w:szCs w:val="20"/>
        </w:rPr>
        <w:t>You are responsible for your taxes (including GST), invoices, records, employees, contractors and statutory obligations. TWCW does not provide tax or accounting advice.</w:t>
      </w:r>
    </w:p>
    <w:p w14:paraId="284C068E">
      <w:pPr>
        <w:pStyle w:val="20"/>
        <w:numPr>
          <w:ilvl w:val="1"/>
          <w:numId w:val="3"/>
        </w:numPr>
        <w:spacing w:before="0" w:after="140"/>
        <w:contextualSpacing w:val="0"/>
      </w:pPr>
      <w:r>
        <w:rPr>
          <w:rFonts w:eastAsia="Muli" w:cs="Muli" w:asciiTheme="majorHAnsi" w:hAnsiTheme="majorHAnsi"/>
          <w:b/>
          <w:bCs/>
          <w:sz w:val="20"/>
          <w:szCs w:val="20"/>
        </w:rPr>
        <w:t xml:space="preserve">Records of agreed terms. </w:t>
      </w:r>
      <w:r>
        <w:rPr>
          <w:rFonts w:eastAsia="Muli" w:cs="Muli" w:asciiTheme="majorHAnsi" w:hAnsiTheme="majorHAnsi"/>
          <w:sz w:val="20"/>
          <w:szCs w:val="20"/>
        </w:rPr>
        <w:t>Before an Order is accepted you must ensure the Consumer can review the material trading terms and correct errors. You must keep a reliable record of the accepted terms (listing or quotation, price, taxes, delivery or performance terms, cancellation terms and any customer-specific agreement), give it to the Consumer, and give it to TWCW on reasonable request for dispute or compliance purposes.</w:t>
      </w:r>
    </w:p>
    <w:p w14:paraId="75D0FB34">
      <w:pPr>
        <w:pStyle w:val="20"/>
        <w:numPr>
          <w:ilvl w:val="1"/>
          <w:numId w:val="3"/>
        </w:numPr>
        <w:spacing w:before="0" w:after="140"/>
        <w:contextualSpacing w:val="0"/>
      </w:pPr>
      <w:r>
        <w:rPr>
          <w:rFonts w:eastAsia="Muli" w:cs="Muli" w:asciiTheme="majorHAnsi" w:hAnsiTheme="majorHAnsi"/>
          <w:b/>
          <w:bCs/>
          <w:sz w:val="20"/>
          <w:szCs w:val="20"/>
        </w:rPr>
        <w:t xml:space="preserve">Gift cards, vouchers, deposits and recurring offers. </w:t>
      </w:r>
      <w:r>
        <w:rPr>
          <w:rFonts w:eastAsia="Muli" w:cs="Muli" w:asciiTheme="majorHAnsi" w:hAnsiTheme="majorHAnsi"/>
          <w:sz w:val="20"/>
          <w:szCs w:val="20"/>
        </w:rPr>
        <w:t>If you offer gift cards, vouchers, deposits, lay-by, pre-orders, prepayment for services, memberships or automatically renewing arrangements through the Platform, you must comply with the ACL and other Applicable Law that applies to them (including the ACL requirements for gift-card expiry dates and fees, lay-by agreements, unsolicited consumer agreements and subscription contracts). You must state their terms clearly before the customer commits and must not rely on a term that Applicable Law makes void.</w:t>
      </w:r>
    </w:p>
    <w:p w14:paraId="2FACC3BE">
      <w:pPr>
        <w:pStyle w:val="20"/>
        <w:numPr>
          <w:ilvl w:val="1"/>
          <w:numId w:val="3"/>
        </w:numPr>
        <w:spacing w:before="0" w:after="140"/>
        <w:contextualSpacing w:val="0"/>
      </w:pPr>
      <w:r>
        <w:rPr>
          <w:rFonts w:eastAsia="Muli" w:cs="Muli" w:asciiTheme="majorHAnsi" w:hAnsiTheme="majorHAnsi"/>
          <w:b/>
          <w:bCs/>
          <w:sz w:val="20"/>
          <w:szCs w:val="20"/>
        </w:rPr>
        <w:t xml:space="preserve">Warranties against defects. </w:t>
      </w:r>
      <w:r>
        <w:rPr>
          <w:rFonts w:eastAsia="Muli" w:cs="Muli" w:asciiTheme="majorHAnsi" w:hAnsiTheme="majorHAnsi"/>
          <w:sz w:val="20"/>
          <w:szCs w:val="20"/>
        </w:rPr>
        <w:t>Any express warranty you give must comply with the ACL requirements for warranties against defects (including the mandatory wording) and must not purport to exclude, restrict or modify a consumer guarantee.</w:t>
      </w:r>
    </w:p>
    <w:p w14:paraId="41088AC7">
      <w:pPr>
        <w:pStyle w:val="20"/>
        <w:keepNext/>
        <w:numPr>
          <w:ilvl w:val="0"/>
          <w:numId w:val="3"/>
        </w:numPr>
        <w:spacing w:before="300" w:after="140"/>
        <w:contextualSpacing w:val="0"/>
        <w:rPr>
          <w:rFonts w:eastAsia="Muli" w:cs="Muli" w:asciiTheme="majorHAnsi" w:hAnsiTheme="majorHAnsi"/>
          <w:b/>
          <w:bCs/>
          <w:spacing w:val="20"/>
          <w:sz w:val="20"/>
          <w:szCs w:val="20"/>
          <w:u w:val="single"/>
        </w:rPr>
      </w:pPr>
      <w:r>
        <w:rPr>
          <w:rFonts w:eastAsia="Muli" w:cs="Muli" w:asciiTheme="majorHAnsi" w:hAnsiTheme="majorHAnsi"/>
          <w:b/>
          <w:bCs/>
          <w:spacing w:val="20"/>
          <w:sz w:val="20"/>
          <w:szCs w:val="20"/>
          <w:u w:val="single"/>
        </w:rPr>
        <w:t>BUSINESS-TO-BUSINESS TRANSACTIONS</w:t>
      </w:r>
    </w:p>
    <w:p w14:paraId="7C0F3B32">
      <w:pPr>
        <w:pStyle w:val="20"/>
        <w:numPr>
          <w:ilvl w:val="1"/>
          <w:numId w:val="3"/>
        </w:numPr>
        <w:spacing w:before="0" w:after="140"/>
        <w:contextualSpacing w:val="0"/>
      </w:pPr>
      <w:r>
        <w:rPr>
          <w:rFonts w:eastAsia="Muli" w:cs="Muli" w:asciiTheme="majorHAnsi" w:hAnsiTheme="majorHAnsi"/>
          <w:b/>
          <w:bCs/>
          <w:sz w:val="20"/>
          <w:szCs w:val="20"/>
        </w:rPr>
        <w:t xml:space="preserve">Application. </w:t>
      </w:r>
      <w:r>
        <w:rPr>
          <w:rFonts w:eastAsia="Muli" w:cs="Muli" w:asciiTheme="majorHAnsi" w:hAnsiTheme="majorHAnsi"/>
          <w:sz w:val="20"/>
          <w:szCs w:val="20"/>
        </w:rPr>
        <w:t xml:space="preserve">A Business may also use the Platform to buy goods or services from another Business for use in its own business (a </w:t>
      </w:r>
      <w:r>
        <w:rPr>
          <w:rFonts w:eastAsia="Muli" w:cs="Muli" w:asciiTheme="majorHAnsi" w:hAnsiTheme="majorHAnsi"/>
          <w:b/>
          <w:bCs/>
          <w:sz w:val="20"/>
          <w:szCs w:val="20"/>
        </w:rPr>
        <w:t>Business Buyer</w:t>
      </w:r>
      <w:r>
        <w:rPr>
          <w:rFonts w:eastAsia="Muli" w:cs="Muli" w:asciiTheme="majorHAnsi" w:hAnsiTheme="majorHAnsi"/>
          <w:sz w:val="20"/>
          <w:szCs w:val="20"/>
        </w:rPr>
        <w:t>). This clause applies to those transactions. Clauses 7, 8, 9 and 10 also apply to a Business Buyer as if it were a Consumer, except where this clause says otherwise.</w:t>
      </w:r>
    </w:p>
    <w:p w14:paraId="4A5C617F">
      <w:pPr>
        <w:pStyle w:val="20"/>
        <w:numPr>
          <w:ilvl w:val="1"/>
          <w:numId w:val="3"/>
        </w:numPr>
        <w:spacing w:before="0" w:after="140"/>
        <w:contextualSpacing w:val="0"/>
      </w:pPr>
      <w:r>
        <w:rPr>
          <w:rFonts w:eastAsia="Muli" w:cs="Muli" w:asciiTheme="majorHAnsi" w:hAnsiTheme="majorHAnsi"/>
          <w:b/>
          <w:bCs/>
          <w:sz w:val="20"/>
          <w:szCs w:val="20"/>
        </w:rPr>
        <w:t xml:space="preserve">The seller is responsible. </w:t>
      </w:r>
      <w:r>
        <w:rPr>
          <w:rFonts w:eastAsia="Muli" w:cs="Muli" w:asciiTheme="majorHAnsi" w:hAnsiTheme="majorHAnsi"/>
          <w:sz w:val="20"/>
          <w:szCs w:val="20"/>
        </w:rPr>
        <w:t>A sale to a Business Buyer is a Sale Contract between the two Businesses only. The selling Business is the supplier and is responsible for the goods or services as clauses 1.3 and 13 describe. TWCW is not a party to the Sale Contract.</w:t>
      </w:r>
    </w:p>
    <w:p w14:paraId="03531587">
      <w:pPr>
        <w:pStyle w:val="20"/>
        <w:numPr>
          <w:ilvl w:val="1"/>
          <w:numId w:val="3"/>
        </w:numPr>
        <w:spacing w:before="0" w:after="140"/>
        <w:contextualSpacing w:val="0"/>
      </w:pPr>
      <w:r>
        <w:rPr>
          <w:rFonts w:eastAsia="Muli" w:cs="Muli" w:asciiTheme="majorHAnsi" w:hAnsiTheme="majorHAnsi"/>
          <w:b/>
          <w:bCs/>
          <w:sz w:val="20"/>
          <w:szCs w:val="20"/>
        </w:rPr>
        <w:t xml:space="preserve">Your legal rights still apply. </w:t>
      </w:r>
      <w:r>
        <w:rPr>
          <w:rFonts w:eastAsia="Muli" w:cs="Muli" w:asciiTheme="majorHAnsi" w:hAnsiTheme="majorHAnsi"/>
          <w:sz w:val="20"/>
          <w:szCs w:val="20"/>
        </w:rPr>
        <w:t>Nothing in these Terms excludes the ACL consumer guarantees or any other right that a Business Buyer has under the ACL (which can apply to a business purchase, including where the goods or services cost less than the monetary threshold set by the ACL), or the unfair contract terms and other protections that apply to small businesses.</w:t>
      </w:r>
    </w:p>
    <w:p w14:paraId="428105D2">
      <w:pPr>
        <w:pStyle w:val="20"/>
        <w:numPr>
          <w:ilvl w:val="1"/>
          <w:numId w:val="3"/>
        </w:numPr>
        <w:spacing w:before="0" w:after="140"/>
        <w:contextualSpacing w:val="0"/>
      </w:pPr>
      <w:r>
        <w:rPr>
          <w:rFonts w:eastAsia="Muli" w:cs="Muli" w:asciiTheme="majorHAnsi" w:hAnsiTheme="majorHAnsi"/>
          <w:b/>
          <w:bCs/>
          <w:sz w:val="20"/>
          <w:szCs w:val="20"/>
        </w:rPr>
        <w:t xml:space="preserve">Business Buyer's responsibilities. </w:t>
      </w:r>
      <w:r>
        <w:rPr>
          <w:rFonts w:eastAsia="Muli" w:cs="Muli" w:asciiTheme="majorHAnsi" w:hAnsiTheme="majorHAnsi"/>
          <w:sz w:val="20"/>
          <w:szCs w:val="20"/>
        </w:rPr>
        <w:t>A Business Buyer must:</w:t>
      </w:r>
    </w:p>
    <w:p w14:paraId="631F15D9">
      <w:pPr>
        <w:pStyle w:val="20"/>
        <w:numPr>
          <w:ilvl w:val="2"/>
          <w:numId w:val="3"/>
        </w:numPr>
        <w:spacing w:before="0" w:after="100"/>
        <w:contextualSpacing w:val="0"/>
      </w:pPr>
      <w:r>
        <w:rPr>
          <w:rFonts w:eastAsia="Muli" w:cs="Muli" w:asciiTheme="majorHAnsi" w:hAnsiTheme="majorHAnsi"/>
          <w:sz w:val="20"/>
          <w:szCs w:val="20"/>
        </w:rPr>
        <w:t>give its correct legal name, ABN and GST status and a valid delivery address;</w:t>
      </w:r>
    </w:p>
    <w:p w14:paraId="6174C35C">
      <w:pPr>
        <w:pStyle w:val="20"/>
        <w:numPr>
          <w:ilvl w:val="2"/>
          <w:numId w:val="3"/>
        </w:numPr>
        <w:spacing w:before="0" w:after="100"/>
        <w:contextualSpacing w:val="0"/>
      </w:pPr>
      <w:r>
        <w:rPr>
          <w:rFonts w:eastAsia="Muli" w:cs="Muli" w:asciiTheme="majorHAnsi" w:hAnsiTheme="majorHAnsi"/>
          <w:sz w:val="20"/>
          <w:szCs w:val="20"/>
        </w:rPr>
        <w:t>have authority to make the purchase on behalf of the business;</w:t>
      </w:r>
    </w:p>
    <w:p w14:paraId="4988DDAF">
      <w:pPr>
        <w:pStyle w:val="20"/>
        <w:numPr>
          <w:ilvl w:val="2"/>
          <w:numId w:val="3"/>
        </w:numPr>
        <w:spacing w:before="0" w:after="100"/>
        <w:contextualSpacing w:val="0"/>
      </w:pPr>
      <w:r>
        <w:rPr>
          <w:rFonts w:eastAsia="Muli" w:cs="Muli" w:asciiTheme="majorHAnsi" w:hAnsiTheme="majorHAnsi"/>
          <w:sz w:val="20"/>
          <w:szCs w:val="20"/>
        </w:rPr>
        <w:t>check the listing and the seller's trading terms before it places an Order;</w:t>
      </w:r>
    </w:p>
    <w:p w14:paraId="121962F4">
      <w:pPr>
        <w:pStyle w:val="20"/>
        <w:numPr>
          <w:ilvl w:val="2"/>
          <w:numId w:val="3"/>
        </w:numPr>
        <w:spacing w:before="0" w:after="100"/>
        <w:contextualSpacing w:val="0"/>
      </w:pPr>
      <w:r>
        <w:rPr>
          <w:rFonts w:eastAsia="Muli" w:cs="Muli" w:asciiTheme="majorHAnsi" w:hAnsiTheme="majorHAnsi"/>
          <w:sz w:val="20"/>
          <w:szCs w:val="20"/>
        </w:rPr>
        <w:t>pay through the Platform; and</w:t>
      </w:r>
    </w:p>
    <w:p w14:paraId="0A25BB3E">
      <w:pPr>
        <w:pStyle w:val="20"/>
        <w:numPr>
          <w:ilvl w:val="2"/>
          <w:numId w:val="3"/>
        </w:numPr>
        <w:spacing w:before="0" w:after="100"/>
        <w:contextualSpacing w:val="0"/>
      </w:pPr>
      <w:r>
        <w:rPr>
          <w:rFonts w:eastAsia="Muli" w:cs="Muli" w:asciiTheme="majorHAnsi" w:hAnsiTheme="majorHAnsi"/>
          <w:sz w:val="20"/>
          <w:szCs w:val="20"/>
        </w:rPr>
        <w:t>comply with Applicable Law, including competition law (clause 20.2), when dealing with another Business.</w:t>
      </w:r>
    </w:p>
    <w:p w14:paraId="39D6C25D">
      <w:pPr>
        <w:pStyle w:val="20"/>
        <w:numPr>
          <w:ilvl w:val="1"/>
          <w:numId w:val="3"/>
        </w:numPr>
        <w:spacing w:before="0" w:after="140"/>
        <w:contextualSpacing w:val="0"/>
      </w:pPr>
      <w:r>
        <w:rPr>
          <w:rFonts w:eastAsia="Muli" w:cs="Muli" w:asciiTheme="majorHAnsi" w:hAnsiTheme="majorHAnsi"/>
          <w:b/>
          <w:bCs/>
          <w:sz w:val="20"/>
          <w:szCs w:val="20"/>
        </w:rPr>
        <w:t xml:space="preserve">Trading terms and tax invoices. </w:t>
      </w:r>
      <w:r>
        <w:rPr>
          <w:rFonts w:eastAsia="Muli" w:cs="Muli" w:asciiTheme="majorHAnsi" w:hAnsiTheme="majorHAnsi"/>
          <w:sz w:val="20"/>
          <w:szCs w:val="20"/>
        </w:rPr>
        <w:t>A selling Business may publish its own trading terms for sales to Business Buyers (for example minimum order quantities, lead times, warranty and returns terms). Those terms apply to the Sale Contract if they are shown to the Business Buyer before it places the Order, but not to the extent that they are inconsistent with these Terms or Applicable Law. The selling Business must issue a valid tax invoice to a Business Buyer that is registered for GST, and the Business Buyer must give its ABN and the details needed for the invoice.</w:t>
      </w:r>
    </w:p>
    <w:p w14:paraId="6AB624D3">
      <w:pPr>
        <w:pStyle w:val="20"/>
        <w:numPr>
          <w:ilvl w:val="1"/>
          <w:numId w:val="3"/>
        </w:numPr>
        <w:spacing w:before="0" w:after="140"/>
        <w:contextualSpacing w:val="0"/>
      </w:pPr>
      <w:r>
        <w:rPr>
          <w:rFonts w:eastAsia="Muli" w:cs="Muli" w:asciiTheme="majorHAnsi" w:hAnsiTheme="majorHAnsi"/>
          <w:b/>
          <w:bCs/>
          <w:sz w:val="20"/>
          <w:szCs w:val="20"/>
        </w:rPr>
        <w:t xml:space="preserve">Payment and credit. </w:t>
      </w:r>
      <w:r>
        <w:rPr>
          <w:rFonts w:eastAsia="Muli" w:cs="Muli" w:asciiTheme="majorHAnsi" w:hAnsiTheme="majorHAnsi"/>
          <w:sz w:val="20"/>
          <w:szCs w:val="20"/>
        </w:rPr>
        <w:t>Payment for an Order from a Business Buyer is made through the Platform when the Order is placed, unless the Platform expressly offers another method. TWCW does not provide credit, invoice finance, trade terms or payment guarantees to Business Buyers or selling Businesses and does not guarantee that either will pay or perform. A Business Buyer must not set off, withhold or reverse a payment made through the Platform except as Applicable Law or the Platform's dispute process allows (see clauses 8.5 and 16.4).</w:t>
      </w:r>
    </w:p>
    <w:p w14:paraId="79C38920">
      <w:pPr>
        <w:pStyle w:val="20"/>
        <w:numPr>
          <w:ilvl w:val="1"/>
          <w:numId w:val="3"/>
        </w:numPr>
        <w:spacing w:before="0" w:after="140"/>
        <w:contextualSpacing w:val="0"/>
      </w:pPr>
      <w:r>
        <w:rPr>
          <w:rFonts w:eastAsia="Muli" w:cs="Muli" w:asciiTheme="majorHAnsi" w:hAnsiTheme="majorHAnsi"/>
          <w:b/>
          <w:bCs/>
          <w:sz w:val="20"/>
          <w:szCs w:val="20"/>
        </w:rPr>
        <w:t xml:space="preserve">Disputes between Businesses. </w:t>
      </w:r>
      <w:r>
        <w:rPr>
          <w:rFonts w:eastAsia="Muli" w:cs="Muli" w:asciiTheme="majorHAnsi" w:hAnsiTheme="majorHAnsi"/>
          <w:sz w:val="20"/>
          <w:szCs w:val="20"/>
        </w:rPr>
        <w:t>A dispute between a selling Business and a Business Buyer must first be raised with the other Business through the Platform, and clause 10.3 applies with the necessary changes. TWCW may, in its discretion, offer the Platform review under clause 10.4 for these Orders (and may limit it by value), but is not obliged to, and its role is limited as clause 10.4 describes. Nothing stops a Business from using a court, tribunal, mediation or any small-business dispute resolution service.</w:t>
      </w:r>
    </w:p>
    <w:p w14:paraId="28CF0A19">
      <w:pPr>
        <w:pStyle w:val="20"/>
        <w:numPr>
          <w:ilvl w:val="1"/>
          <w:numId w:val="3"/>
        </w:numPr>
        <w:spacing w:before="0" w:after="140"/>
        <w:contextualSpacing w:val="0"/>
      </w:pPr>
      <w:r>
        <w:rPr>
          <w:rFonts w:eastAsia="Muli" w:cs="Muli" w:asciiTheme="majorHAnsi" w:hAnsiTheme="majorHAnsi"/>
          <w:b/>
          <w:bCs/>
          <w:sz w:val="20"/>
          <w:szCs w:val="20"/>
        </w:rPr>
        <w:t xml:space="preserve">Independence and competition. </w:t>
      </w:r>
      <w:r>
        <w:rPr>
          <w:rFonts w:eastAsia="Muli" w:cs="Muli" w:asciiTheme="majorHAnsi" w:hAnsiTheme="majorHAnsi"/>
          <w:sz w:val="20"/>
          <w:szCs w:val="20"/>
        </w:rPr>
        <w:t>Each Business must set its own prices and terms independently when dealing with another Business. Clause 20.2 applies to dealings between Businesses on the Platform, and a Business must not use those dealings to get around the AMAPP (clause 22.3).</w:t>
      </w:r>
    </w:p>
    <w:p w14:paraId="3A9DEA07">
      <w:pPr>
        <w:pStyle w:val="20"/>
        <w:numPr>
          <w:ilvl w:val="1"/>
          <w:numId w:val="3"/>
        </w:numPr>
        <w:spacing w:before="0" w:after="140"/>
        <w:contextualSpacing w:val="0"/>
      </w:pPr>
      <w:r>
        <w:rPr>
          <w:rFonts w:eastAsia="Muli" w:cs="Muli" w:asciiTheme="majorHAnsi" w:hAnsiTheme="majorHAnsi"/>
          <w:b/>
          <w:bCs/>
          <w:sz w:val="20"/>
          <w:szCs w:val="20"/>
        </w:rPr>
        <w:t xml:space="preserve">Liability. </w:t>
      </w:r>
      <w:r>
        <w:rPr>
          <w:rFonts w:eastAsia="Muli" w:cs="Muli" w:asciiTheme="majorHAnsi" w:hAnsiTheme="majorHAnsi"/>
          <w:sz w:val="20"/>
          <w:szCs w:val="20"/>
        </w:rPr>
        <w:t>To the extent permitted by law, TWCW is not liable to a selling Business or a Business Buyer for loss arising from a transaction between them, including loss of profit, stock, contracts or goodwill. Clause 33.2 applies.</w:t>
      </w:r>
    </w:p>
    <w:p w14:paraId="12DD4784">
      <w:pPr>
        <w:pStyle w:val="20"/>
        <w:keepNext/>
        <w:numPr>
          <w:ilvl w:val="0"/>
          <w:numId w:val="3"/>
        </w:numPr>
        <w:spacing w:before="300" w:after="140"/>
        <w:contextualSpacing w:val="0"/>
        <w:rPr>
          <w:rFonts w:eastAsia="Muli" w:cs="Muli" w:asciiTheme="majorHAnsi" w:hAnsiTheme="majorHAnsi"/>
          <w:b/>
          <w:bCs/>
          <w:spacing w:val="20"/>
          <w:sz w:val="20"/>
          <w:szCs w:val="20"/>
          <w:u w:val="single"/>
        </w:rPr>
      </w:pPr>
      <w:r>
        <w:rPr>
          <w:rFonts w:eastAsia="Muli" w:cs="Muli" w:asciiTheme="majorHAnsi" w:hAnsiTheme="majorHAnsi"/>
          <w:b/>
          <w:bCs/>
          <w:spacing w:val="20"/>
          <w:sz w:val="20"/>
          <w:szCs w:val="20"/>
          <w:u w:val="single"/>
        </w:rPr>
        <w:t>SUBSCRIPTIONS, FREE TRIALS AND BILLING</w:t>
      </w:r>
    </w:p>
    <w:p w14:paraId="1D691F4A">
      <w:pPr>
        <w:pStyle w:val="20"/>
        <w:numPr>
          <w:ilvl w:val="1"/>
          <w:numId w:val="3"/>
        </w:numPr>
        <w:spacing w:before="0" w:after="140"/>
        <w:contextualSpacing w:val="0"/>
      </w:pPr>
      <w:r>
        <w:rPr>
          <w:rFonts w:eastAsia="Muli" w:cs="Muli" w:asciiTheme="majorHAnsi" w:hAnsiTheme="majorHAnsi"/>
          <w:b/>
          <w:bCs/>
          <w:sz w:val="20"/>
          <w:szCs w:val="20"/>
        </w:rPr>
        <w:t xml:space="preserve">Plans and fees. </w:t>
      </w:r>
      <w:r>
        <w:rPr>
          <w:rFonts w:eastAsia="Muli" w:cs="Muli" w:asciiTheme="majorHAnsi" w:hAnsiTheme="majorHAnsi"/>
          <w:sz w:val="20"/>
          <w:szCs w:val="20"/>
        </w:rPr>
        <w:t>The plans, features and fees are set out in Schedule 1 and in the Platform at the time you subscribe. The price and inclusions shown in the Platform at checkout, or in a signed order form, apply to you. A Subscription gives you access to the relevant Platform features only.</w:t>
      </w:r>
    </w:p>
    <w:p w14:paraId="179A6D73">
      <w:pPr>
        <w:pStyle w:val="20"/>
        <w:numPr>
          <w:ilvl w:val="1"/>
          <w:numId w:val="3"/>
        </w:numPr>
        <w:spacing w:before="0" w:after="140"/>
        <w:contextualSpacing w:val="0"/>
      </w:pPr>
      <w:r>
        <w:rPr>
          <w:rFonts w:eastAsia="Muli" w:cs="Muli" w:asciiTheme="majorHAnsi" w:hAnsiTheme="majorHAnsi"/>
          <w:b/>
          <w:bCs/>
          <w:sz w:val="20"/>
          <w:szCs w:val="20"/>
        </w:rPr>
        <w:t xml:space="preserve">Payment through the app stores. </w:t>
      </w:r>
      <w:r>
        <w:rPr>
          <w:rFonts w:eastAsia="Muli" w:cs="Muli" w:asciiTheme="majorHAnsi" w:hAnsiTheme="majorHAnsi"/>
          <w:sz w:val="20"/>
          <w:szCs w:val="20"/>
        </w:rPr>
        <w:t>Subscriptions are billed through the Apple App Store (iOS) or Google Play (Android) as in-app purchases, and the app store operator’s terms govern those payments, including how subscriptions are managed, how billing issues are handled and how refunds are requested. TWCW does not receive or store your app-store payment credentials. Where a separate invoice arrangement is expressly agreed in writing, payment is due within 14 days of invoice.</w:t>
      </w:r>
    </w:p>
    <w:p w14:paraId="03FBEAB6">
      <w:pPr>
        <w:pStyle w:val="20"/>
        <w:numPr>
          <w:ilvl w:val="1"/>
          <w:numId w:val="3"/>
        </w:numPr>
        <w:spacing w:before="0" w:after="140"/>
        <w:contextualSpacing w:val="0"/>
      </w:pPr>
      <w:r>
        <w:rPr>
          <w:rFonts w:eastAsia="Muli" w:cs="Muli" w:asciiTheme="majorHAnsi" w:hAnsiTheme="majorHAnsi"/>
          <w:b/>
          <w:bCs/>
          <w:sz w:val="20"/>
          <w:szCs w:val="20"/>
        </w:rPr>
        <w:t xml:space="preserve">Free trial. </w:t>
      </w:r>
      <w:r>
        <w:rPr>
          <w:rFonts w:eastAsia="Muli" w:cs="Muli" w:asciiTheme="majorHAnsi" w:hAnsiTheme="majorHAnsi"/>
          <w:sz w:val="20"/>
          <w:szCs w:val="20"/>
        </w:rPr>
        <w:t xml:space="preserve">Eligible new Businesses may receive a free trial of </w:t>
      </w:r>
      <w:r>
        <w:rPr>
          <w:rFonts w:eastAsia="Muli" w:cs="Muli" w:asciiTheme="majorHAnsi" w:hAnsiTheme="majorHAnsi"/>
          <w:sz w:val="20"/>
          <w:szCs w:val="20"/>
          <w:highlight w:val="lightGray"/>
        </w:rPr>
        <w:t>[three]</w:t>
      </w:r>
      <w:r>
        <w:rPr>
          <w:rFonts w:eastAsia="Muli" w:cs="Muli" w:asciiTheme="majorHAnsi" w:hAnsiTheme="majorHAnsi"/>
          <w:sz w:val="20"/>
          <w:szCs w:val="20"/>
        </w:rPr>
        <w:t xml:space="preserve"> months from account activation. Trial eligibility is limited to one trial per Business, ownership group, payment method or device, and TWCW may end a trial for misuse, ineligibility, fraud or non-compliance. If TWCW offers a longer or different pre-launch promotional period to Businesses who registered before launch, the terms of that offer as published at the time it was made apply to that Business, and clause 15.4 applies to the conversion.</w:t>
      </w:r>
    </w:p>
    <w:p w14:paraId="1D356BDD">
      <w:pPr>
        <w:pStyle w:val="20"/>
        <w:numPr>
          <w:ilvl w:val="1"/>
          <w:numId w:val="3"/>
        </w:numPr>
        <w:spacing w:before="0" w:after="140"/>
        <w:contextualSpacing w:val="0"/>
      </w:pPr>
      <w:r>
        <w:rPr>
          <w:rFonts w:eastAsia="Muli" w:cs="Muli" w:asciiTheme="majorHAnsi" w:hAnsiTheme="majorHAnsi"/>
          <w:b/>
          <w:bCs/>
          <w:sz w:val="20"/>
          <w:szCs w:val="20"/>
        </w:rPr>
        <w:t xml:space="preserve">Automatic conversion and your consent. </w:t>
      </w:r>
      <w:r>
        <w:rPr>
          <w:rFonts w:eastAsia="Muli" w:cs="Muli" w:asciiTheme="majorHAnsi" w:hAnsiTheme="majorHAnsi"/>
          <w:sz w:val="20"/>
          <w:szCs w:val="20"/>
        </w:rPr>
        <w:t>Before the trial starts, we will clearly show you: the trial length; the paid plan and price that applies afterwards; the date or method by which billing will begin; how to cancel; and that the trial converts to a paid Subscription unless you cancel. You must give clear consent to that conversion before the trial starts. To avoid being charged, cancel before the trial ends through your app-store subscription settings, within the deadline the app store applies (which may be earlier than the last day of the trial).</w:t>
      </w:r>
    </w:p>
    <w:p w14:paraId="703A2EED">
      <w:pPr>
        <w:pStyle w:val="20"/>
        <w:numPr>
          <w:ilvl w:val="1"/>
          <w:numId w:val="3"/>
        </w:numPr>
        <w:spacing w:before="0" w:after="140"/>
        <w:contextualSpacing w:val="0"/>
      </w:pPr>
      <w:r>
        <w:rPr>
          <w:rFonts w:eastAsia="Muli" w:cs="Muli" w:asciiTheme="majorHAnsi" w:hAnsiTheme="majorHAnsi"/>
          <w:b/>
          <w:bCs/>
          <w:sz w:val="20"/>
          <w:szCs w:val="20"/>
        </w:rPr>
        <w:t xml:space="preserve">Billing. </w:t>
      </w:r>
      <w:r>
        <w:rPr>
          <w:rFonts w:eastAsia="Muli" w:cs="Muli" w:asciiTheme="majorHAnsi" w:hAnsiTheme="majorHAnsi"/>
          <w:sz w:val="20"/>
          <w:szCs w:val="20"/>
        </w:rPr>
        <w:t>Subscriptions are charged monthly in advance. You must keep your payment method current and pay all undisputed amounts when due. If payment fails or is disputed, TWCW may suspend access or remove listings until the account is up to date, subject to Applicable Law.</w:t>
      </w:r>
    </w:p>
    <w:p w14:paraId="53B4BA03">
      <w:pPr>
        <w:pStyle w:val="20"/>
        <w:numPr>
          <w:ilvl w:val="1"/>
          <w:numId w:val="3"/>
        </w:numPr>
        <w:spacing w:before="0" w:after="140"/>
        <w:contextualSpacing w:val="0"/>
      </w:pPr>
      <w:r>
        <w:rPr>
          <w:rFonts w:eastAsia="Muli" w:cs="Muli" w:asciiTheme="majorHAnsi" w:hAnsiTheme="majorHAnsi"/>
          <w:b/>
          <w:bCs/>
          <w:sz w:val="20"/>
          <w:szCs w:val="20"/>
        </w:rPr>
        <w:t xml:space="preserve">Cancellation and renewal. </w:t>
      </w:r>
      <w:r>
        <w:rPr>
          <w:rFonts w:eastAsia="Muli" w:cs="Muli" w:asciiTheme="majorHAnsi" w:hAnsiTheme="majorHAnsi"/>
          <w:sz w:val="20"/>
          <w:szCs w:val="20"/>
        </w:rPr>
        <w:t>Unless the app store or order form says otherwise, a Subscription renews monthly until cancelled, and cancellation takes effect at the end of the current paid period. Your listings and Advertising Content may be removed at the end of the paid period. Cancellation does not affect your responsibility for Orders, refunds, disputes, chargebacks, data obligations and other liabilities arising before or after it. Closing or deleting your 1Stop account does not cancel a Subscription billed through the Apple App Store or Google Play. You must cancel it in your app-store subscription settings, and TWCW cannot cancel it for you.</w:t>
      </w:r>
    </w:p>
    <w:p w14:paraId="2D6729B5">
      <w:pPr>
        <w:pStyle w:val="20"/>
        <w:numPr>
          <w:ilvl w:val="1"/>
          <w:numId w:val="3"/>
        </w:numPr>
        <w:spacing w:before="0" w:after="140"/>
        <w:contextualSpacing w:val="0"/>
      </w:pPr>
      <w:r>
        <w:rPr>
          <w:rFonts w:eastAsia="Muli" w:cs="Muli" w:asciiTheme="majorHAnsi" w:hAnsiTheme="majorHAnsi"/>
          <w:b/>
          <w:bCs/>
          <w:sz w:val="20"/>
          <w:szCs w:val="20"/>
        </w:rPr>
        <w:t xml:space="preserve">Refunds of Subscription fees. </w:t>
      </w:r>
      <w:r>
        <w:rPr>
          <w:rFonts w:eastAsia="Muli" w:cs="Muli" w:asciiTheme="majorHAnsi" w:hAnsiTheme="majorHAnsi"/>
          <w:sz w:val="20"/>
          <w:szCs w:val="20"/>
        </w:rPr>
        <w:t>Fees for a period already begun are generally not refunded, except where required by law or expressly agreed. If a trial converts to a paid Subscription and you cancel within 7 days of the first paid charge without having used paid features, you may ask for consideration of a refund of the first month by emailing team@1stopapp.com (or by following the app store’s refund process). This is at TWCW’s discretion and does not limit your rights under the ACL.</w:t>
      </w:r>
    </w:p>
    <w:p w14:paraId="65F3D4CF">
      <w:pPr>
        <w:pStyle w:val="20"/>
        <w:numPr>
          <w:ilvl w:val="1"/>
          <w:numId w:val="3"/>
        </w:numPr>
        <w:spacing w:before="0" w:after="140"/>
        <w:contextualSpacing w:val="0"/>
      </w:pPr>
      <w:r>
        <w:rPr>
          <w:rFonts w:eastAsia="Muli" w:cs="Muli" w:asciiTheme="majorHAnsi" w:hAnsiTheme="majorHAnsi"/>
          <w:b/>
          <w:bCs/>
          <w:sz w:val="20"/>
          <w:szCs w:val="20"/>
        </w:rPr>
        <w:t xml:space="preserve">Price changes. </w:t>
      </w:r>
      <w:r>
        <w:rPr>
          <w:rFonts w:eastAsia="Muli" w:cs="Muli" w:asciiTheme="majorHAnsi" w:hAnsiTheme="majorHAnsi"/>
          <w:sz w:val="20"/>
          <w:szCs w:val="20"/>
        </w:rPr>
        <w:t>TWCW may change Subscription prices or inclusions by giving at least 30 days’ notice. You may cancel before the new price applies. If we discontinue the Platform or a paid feature you have already paid for (other than because of your breach), we will refund the unused part of any prepaid fee that we are able to refund.</w:t>
      </w:r>
    </w:p>
    <w:p w14:paraId="43C13CBF">
      <w:pPr>
        <w:pStyle w:val="20"/>
        <w:numPr>
          <w:ilvl w:val="1"/>
          <w:numId w:val="3"/>
        </w:numPr>
        <w:spacing w:before="0" w:after="140"/>
        <w:contextualSpacing w:val="0"/>
      </w:pPr>
      <w:r>
        <w:rPr>
          <w:rFonts w:eastAsia="Muli" w:cs="Muli" w:asciiTheme="majorHAnsi" w:hAnsiTheme="majorHAnsi"/>
          <w:b/>
          <w:bCs/>
          <w:sz w:val="20"/>
          <w:szCs w:val="20"/>
        </w:rPr>
        <w:t xml:space="preserve">No guarantee of results. </w:t>
      </w:r>
      <w:r>
        <w:rPr>
          <w:rFonts w:eastAsia="Muli" w:cs="Muli" w:asciiTheme="majorHAnsi" w:hAnsiTheme="majorHAnsi"/>
          <w:sz w:val="20"/>
          <w:szCs w:val="20"/>
        </w:rPr>
        <w:t>A Subscription does not guarantee any minimum number of views, leads, Orders, sales, rankings, revenue or profit. Dashboard metrics are indicative only.</w:t>
      </w:r>
    </w:p>
    <w:p w14:paraId="1DAB04C9">
      <w:pPr>
        <w:pStyle w:val="20"/>
        <w:numPr>
          <w:ilvl w:val="1"/>
          <w:numId w:val="3"/>
        </w:numPr>
        <w:spacing w:before="0" w:after="140"/>
        <w:contextualSpacing w:val="0"/>
      </w:pPr>
      <w:r>
        <w:rPr>
          <w:rFonts w:eastAsia="Muli" w:cs="Muli" w:asciiTheme="majorHAnsi" w:hAnsiTheme="majorHAnsi"/>
          <w:b/>
          <w:bCs/>
          <w:sz w:val="20"/>
          <w:szCs w:val="20"/>
        </w:rPr>
        <w:t xml:space="preserve">Subscription transparency and cancellation. </w:t>
      </w:r>
      <w:r>
        <w:rPr>
          <w:rFonts w:eastAsia="Muli" w:cs="Muli" w:asciiTheme="majorHAnsi" w:hAnsiTheme="majorHAnsi"/>
          <w:sz w:val="20"/>
          <w:szCs w:val="20"/>
        </w:rPr>
        <w:t>Before you subscribe we will show you, in clear terms, that the arrangement is a recurring Subscription, its price and any other charges, the billing period, how it renews and how to cancel. We will not make cancellation unreasonably difficult, and we will not require you to give feedback, make a call or attend a place in order to cancel. We will comply with the subscription-contract requirements of the ACL as they apply to the Subscription from time to time.</w:t>
      </w:r>
    </w:p>
    <w:p w14:paraId="1281F479">
      <w:pPr>
        <w:pStyle w:val="20"/>
        <w:keepNext/>
        <w:numPr>
          <w:ilvl w:val="0"/>
          <w:numId w:val="3"/>
        </w:numPr>
        <w:spacing w:before="300" w:after="140"/>
        <w:contextualSpacing w:val="0"/>
        <w:rPr>
          <w:rFonts w:eastAsia="Muli" w:cs="Muli" w:asciiTheme="majorHAnsi" w:hAnsiTheme="majorHAnsi"/>
          <w:b/>
          <w:bCs/>
          <w:spacing w:val="20"/>
          <w:sz w:val="20"/>
          <w:szCs w:val="20"/>
          <w:u w:val="single"/>
        </w:rPr>
      </w:pPr>
      <w:r>
        <w:rPr>
          <w:rFonts w:eastAsia="Muli" w:cs="Muli" w:asciiTheme="majorHAnsi" w:hAnsiTheme="majorHAnsi"/>
          <w:b/>
          <w:bCs/>
          <w:spacing w:val="20"/>
          <w:sz w:val="20"/>
          <w:szCs w:val="20"/>
          <w:u w:val="single"/>
        </w:rPr>
        <w:t>PAYMENTS, PAYOUTS, REFUNDS AND CHARGEBACKS</w:t>
      </w:r>
    </w:p>
    <w:p w14:paraId="25169C85">
      <w:pPr>
        <w:pStyle w:val="20"/>
        <w:numPr>
          <w:ilvl w:val="1"/>
          <w:numId w:val="3"/>
        </w:numPr>
        <w:spacing w:before="0" w:after="140"/>
        <w:contextualSpacing w:val="0"/>
      </w:pPr>
      <w:r>
        <w:rPr>
          <w:rFonts w:eastAsia="Muli" w:cs="Muli" w:asciiTheme="majorHAnsi" w:hAnsiTheme="majorHAnsi"/>
          <w:b/>
          <w:bCs/>
          <w:sz w:val="20"/>
          <w:szCs w:val="20"/>
        </w:rPr>
        <w:t xml:space="preserve">Payment Provider onboarding. </w:t>
      </w:r>
      <w:r>
        <w:rPr>
          <w:rFonts w:eastAsia="Muli" w:cs="Muli" w:asciiTheme="majorHAnsi" w:hAnsiTheme="majorHAnsi"/>
          <w:sz w:val="20"/>
          <w:szCs w:val="20"/>
        </w:rPr>
        <w:t>To receive payment for Orders you must complete onboarding with the Payment Provider (currently Stripe), accept its connected-account and other applicable terms, and pass its identity and compliance checks. You authorise TWCW to share information with the Payment Provider for that purpose. If you do not complete onboarding or the Payment Provider closes or restricts your account, TWCW may suspend your ability to accept Orders. Your bank and payout details are entered directly with Stripe during onboarding and are never received or stored by TWCW.</w:t>
      </w:r>
    </w:p>
    <w:p w14:paraId="55D696C3">
      <w:pPr>
        <w:pStyle w:val="20"/>
        <w:numPr>
          <w:ilvl w:val="1"/>
          <w:numId w:val="3"/>
        </w:numPr>
        <w:spacing w:before="0" w:after="140"/>
        <w:contextualSpacing w:val="0"/>
      </w:pPr>
      <w:r>
        <w:rPr>
          <w:rFonts w:eastAsia="Muli" w:cs="Muli" w:asciiTheme="majorHAnsi" w:hAnsiTheme="majorHAnsi"/>
          <w:b/>
          <w:bCs/>
          <w:sz w:val="20"/>
          <w:szCs w:val="20"/>
        </w:rPr>
        <w:t>Settlement.</w:t>
      </w:r>
      <w:r>
        <w:rPr>
          <w:rFonts w:eastAsia="Muli" w:cs="Muli" w:asciiTheme="majorHAnsi" w:hAnsiTheme="majorHAnsi"/>
          <w:sz w:val="20"/>
          <w:szCs w:val="20"/>
        </w:rPr>
        <w:t xml:space="preserve"> Subject to this clause, TWCW will arrange for the part of the amount paid by the Consumer that represents the price of the goods or services to be settled to you, less refunds, chargebacks, Payment Provider fees and other amounts you owe TWCW. The Platform Fee is paid by the Consumer to TWCW and is not part of your settlement. Settlement timing is set by the Payment Provider and your account status. TWCW is not liable for Payment Provider delays, errors or outages.</w:t>
      </w:r>
    </w:p>
    <w:p w14:paraId="14E6E4D6">
      <w:pPr>
        <w:pStyle w:val="20"/>
        <w:numPr>
          <w:ilvl w:val="1"/>
          <w:numId w:val="3"/>
        </w:numPr>
        <w:spacing w:before="0" w:after="140"/>
        <w:contextualSpacing w:val="0"/>
      </w:pPr>
      <w:r>
        <w:rPr>
          <w:rFonts w:eastAsia="Muli" w:cs="Muli" w:asciiTheme="majorHAnsi" w:hAnsiTheme="majorHAnsi"/>
          <w:b/>
          <w:bCs/>
          <w:sz w:val="20"/>
          <w:szCs w:val="20"/>
        </w:rPr>
        <w:t xml:space="preserve">Fees. </w:t>
      </w:r>
      <w:r>
        <w:rPr>
          <w:rFonts w:eastAsia="Muli" w:cs="Muli" w:asciiTheme="majorHAnsi" w:hAnsiTheme="majorHAnsi"/>
          <w:sz w:val="20"/>
          <w:szCs w:val="20"/>
        </w:rPr>
        <w:t>Platform Fees and any commission payable by a Business on Orders will be disclosed in Schedule 1 or in the Platform before they apply. TWCW may change them for future Orders on at least 30 days’ notice.</w:t>
      </w:r>
    </w:p>
    <w:p w14:paraId="678D7AE6">
      <w:pPr>
        <w:pStyle w:val="20"/>
        <w:numPr>
          <w:ilvl w:val="1"/>
          <w:numId w:val="3"/>
        </w:numPr>
        <w:spacing w:before="0" w:after="140"/>
        <w:contextualSpacing w:val="0"/>
      </w:pPr>
      <w:r>
        <w:rPr>
          <w:rFonts w:eastAsia="Muli" w:cs="Muli" w:asciiTheme="majorHAnsi" w:hAnsiTheme="majorHAnsi"/>
          <w:b/>
          <w:bCs/>
          <w:sz w:val="20"/>
          <w:szCs w:val="20"/>
        </w:rPr>
        <w:t xml:space="preserve">Refunds, chargebacks and set-off. </w:t>
      </w:r>
      <w:r>
        <w:rPr>
          <w:rFonts w:eastAsia="Muli" w:cs="Muli" w:asciiTheme="majorHAnsi" w:hAnsiTheme="majorHAnsi"/>
          <w:sz w:val="20"/>
          <w:szCs w:val="20"/>
        </w:rPr>
        <w:t>You are liable for every refund, chargeback, reversal, dispute fee, card-scheme penalty and Payment Provider charge arising from your Orders, including any amount refunded to a Consumer under clause 10.4. TWCW may deduct or set off those amounts against any money otherwise payable to you, and if they exceed what is payable you must pay the shortfall within 14 days of our notice.</w:t>
      </w:r>
    </w:p>
    <w:p w14:paraId="350F0822">
      <w:pPr>
        <w:pStyle w:val="20"/>
        <w:numPr>
          <w:ilvl w:val="1"/>
          <w:numId w:val="3"/>
        </w:numPr>
        <w:spacing w:before="0" w:after="140"/>
        <w:contextualSpacing w:val="0"/>
      </w:pPr>
      <w:r>
        <w:rPr>
          <w:rFonts w:eastAsia="Muli" w:cs="Muli" w:asciiTheme="majorHAnsi" w:hAnsiTheme="majorHAnsi"/>
          <w:b/>
          <w:bCs/>
          <w:sz w:val="20"/>
          <w:szCs w:val="20"/>
        </w:rPr>
        <w:t xml:space="preserve">Holds and reserves. </w:t>
      </w:r>
      <w:r>
        <w:rPr>
          <w:rFonts w:eastAsia="Muli" w:cs="Muli" w:asciiTheme="majorHAnsi" w:hAnsiTheme="majorHAnsi"/>
          <w:sz w:val="20"/>
          <w:szCs w:val="20"/>
        </w:rPr>
        <w:t>TWCW and the Payment Provider may withhold, delay or reserve settlements where reasonably necessary because of suspected fraud, elevated refund or chargeback rates, a breach or suspected breach of these Terms or the AMAPP, a Regulator or court requirement, or a risk of loss to Consumers or TWCW.</w:t>
      </w:r>
    </w:p>
    <w:p w14:paraId="56631450">
      <w:pPr>
        <w:pStyle w:val="20"/>
        <w:numPr>
          <w:ilvl w:val="1"/>
          <w:numId w:val="3"/>
        </w:numPr>
        <w:spacing w:before="0" w:after="140"/>
        <w:contextualSpacing w:val="0"/>
      </w:pPr>
      <w:r>
        <w:rPr>
          <w:rFonts w:eastAsia="Muli" w:cs="Muli" w:asciiTheme="majorHAnsi" w:hAnsiTheme="majorHAnsi"/>
          <w:b/>
          <w:bCs/>
          <w:sz w:val="20"/>
          <w:szCs w:val="20"/>
        </w:rPr>
        <w:t xml:space="preserve">Tax and reporting. </w:t>
      </w:r>
      <w:r>
        <w:rPr>
          <w:rFonts w:eastAsia="Muli" w:cs="Muli" w:asciiTheme="majorHAnsi" w:hAnsiTheme="majorHAnsi"/>
          <w:sz w:val="20"/>
          <w:szCs w:val="20"/>
        </w:rPr>
        <w:t>You are responsible for all taxes on your sales. TWCW may report information about you and your transactions to the ATO or another Regulator where required by Applicable Law.</w:t>
      </w:r>
    </w:p>
    <w:p w14:paraId="33A648D0">
      <w:pPr>
        <w:pStyle w:val="20"/>
        <w:numPr>
          <w:ilvl w:val="1"/>
          <w:numId w:val="3"/>
        </w:numPr>
        <w:spacing w:before="0" w:after="140"/>
        <w:contextualSpacing w:val="0"/>
      </w:pPr>
      <w:r>
        <w:rPr>
          <w:rFonts w:eastAsia="Muli" w:cs="Muli" w:asciiTheme="majorHAnsi" w:hAnsiTheme="majorHAnsi"/>
          <w:b/>
          <w:bCs/>
          <w:sz w:val="20"/>
          <w:szCs w:val="20"/>
        </w:rPr>
        <w:t xml:space="preserve">GST. </w:t>
      </w:r>
      <w:r>
        <w:rPr>
          <w:rFonts w:eastAsia="Muli" w:cs="Muli" w:asciiTheme="majorHAnsi" w:hAnsiTheme="majorHAnsi"/>
          <w:sz w:val="20"/>
          <w:szCs w:val="20"/>
        </w:rPr>
        <w:t>Unless a price or fee is stated to include GST, an amount payable under these Terms for a taxable supply is exclusive of GST, and the recipient must pay an additional amount equal to the GST on the supply at the same time as it pays the consideration. A Platform Fee shown to a Consumer includes GST. TWCW will issue a tax invoice or adjustment note for a Platform Fee, Subscription or other supply that it makes where the law requires. Each Business is responsible for its own GST registration, reporting and invoicing and for deciding whether its supplies are taxable. If TWCW later issues invoices on a Business's behalf, a separate recipient-created tax invoice arrangement will apply.</w:t>
      </w:r>
    </w:p>
    <w:p w14:paraId="71AD94A6">
      <w:pPr>
        <w:pStyle w:val="20"/>
        <w:numPr>
          <w:ilvl w:val="1"/>
          <w:numId w:val="3"/>
        </w:numPr>
        <w:spacing w:before="0" w:after="140"/>
        <w:contextualSpacing w:val="0"/>
      </w:pPr>
      <w:r>
        <w:rPr>
          <w:rFonts w:eastAsia="Muli" w:cs="Muli" w:asciiTheme="majorHAnsi" w:hAnsiTheme="majorHAnsi"/>
          <w:b/>
          <w:bCs/>
          <w:sz w:val="20"/>
          <w:szCs w:val="20"/>
        </w:rPr>
        <w:t xml:space="preserve">Payment Provider terms. </w:t>
      </w:r>
      <w:r>
        <w:rPr>
          <w:rFonts w:eastAsia="Muli" w:cs="Muli" w:asciiTheme="majorHAnsi" w:hAnsiTheme="majorHAnsi"/>
          <w:sz w:val="20"/>
          <w:szCs w:val="20"/>
        </w:rPr>
        <w:t>Your use of the Payment Provider's services is governed by the Stripe Terms in addition to these Terms. If there is an inconsistency about the processing of a payment, the Stripe Terms prevail as between you and the Payment Provider, and these Terms prevail as between you and TWCW. TWCW is not a party to the Stripe Terms and does not guarantee the Payment Provider's performance. If the Payment Provider suspends, restricts, closes or reverses your Connected Account or a payment, TWCW may take corresponding action under these Terms.</w:t>
      </w:r>
    </w:p>
    <w:p w14:paraId="67DB4543">
      <w:pPr>
        <w:pStyle w:val="20"/>
        <w:numPr>
          <w:ilvl w:val="1"/>
          <w:numId w:val="3"/>
        </w:numPr>
        <w:spacing w:before="0" w:after="140"/>
        <w:contextualSpacing w:val="0"/>
      </w:pPr>
      <w:r>
        <w:rPr>
          <w:rFonts w:eastAsia="Muli" w:cs="Muli" w:asciiTheme="majorHAnsi" w:hAnsiTheme="majorHAnsi"/>
          <w:b/>
          <w:bCs/>
          <w:sz w:val="20"/>
          <w:szCs w:val="20"/>
        </w:rPr>
        <w:t xml:space="preserve">Prohibited and restricted businesses. </w:t>
      </w:r>
      <w:r>
        <w:rPr>
          <w:rFonts w:eastAsia="Muli" w:cs="Muli" w:asciiTheme="majorHAnsi" w:hAnsiTheme="majorHAnsi"/>
          <w:sz w:val="20"/>
          <w:szCs w:val="20"/>
        </w:rPr>
        <w:t>You must not use the Platform or a Connected Account to sell, or to receive payment for, goods or services that the Payment Provider or a card scheme prohibits or restricts (including under Stripe's lists of prohibited and restricted businesses as updated from time to time), even where clause 17 would otherwise allow them. TWCW may remove a listing or suspend payments for that reason.</w:t>
      </w:r>
    </w:p>
    <w:p w14:paraId="433B5E15">
      <w:pPr>
        <w:pStyle w:val="20"/>
        <w:numPr>
          <w:ilvl w:val="1"/>
          <w:numId w:val="3"/>
        </w:numPr>
        <w:spacing w:before="0" w:after="140"/>
        <w:contextualSpacing w:val="0"/>
      </w:pPr>
      <w:r>
        <w:rPr>
          <w:rFonts w:eastAsia="Muli" w:cs="Muli" w:asciiTheme="majorHAnsi" w:hAnsiTheme="majorHAnsi"/>
          <w:b/>
          <w:bCs/>
          <w:sz w:val="20"/>
          <w:szCs w:val="20"/>
        </w:rPr>
        <w:t xml:space="preserve">How funds move. </w:t>
      </w:r>
      <w:r>
        <w:rPr>
          <w:rFonts w:eastAsia="Muli" w:cs="Muli" w:asciiTheme="majorHAnsi" w:hAnsiTheme="majorHAnsi"/>
          <w:sz w:val="20"/>
          <w:szCs w:val="20"/>
        </w:rPr>
        <w:t>TWCW uses Stripe Connect. Money paid by a Consumer or Business Buyer is received, held and settled by Stripe under the Stripe Terms, and TWCW's own revenue (the Platform Fee and Subscription fees) is also collected through Stripe. TWCW does not receive or hold Users' money for Orders in its own account, pay interest on it, or provide a deposit, stored-value or banking service. Clause 8.4 describes TWCW's limited role as the Business's agent for receiving payment. It does not mean that TWCW holds the money. TWCW is not a bank or authorised deposit-taking institution.</w:t>
      </w:r>
    </w:p>
    <w:p w14:paraId="3B56B25D">
      <w:pPr>
        <w:pStyle w:val="20"/>
        <w:numPr>
          <w:ilvl w:val="1"/>
          <w:numId w:val="3"/>
        </w:numPr>
        <w:spacing w:before="0" w:after="140"/>
        <w:contextualSpacing w:val="0"/>
      </w:pPr>
      <w:r>
        <w:rPr>
          <w:rFonts w:eastAsia="Muli" w:cs="Muli" w:asciiTheme="majorHAnsi" w:hAnsiTheme="majorHAnsi"/>
          <w:b/>
          <w:bCs/>
          <w:sz w:val="20"/>
          <w:szCs w:val="20"/>
        </w:rPr>
        <w:t xml:space="preserve">Regulatory change. </w:t>
      </w:r>
      <w:r>
        <w:rPr>
          <w:rFonts w:eastAsia="Muli" w:cs="Muli" w:asciiTheme="majorHAnsi" w:hAnsiTheme="majorHAnsi"/>
          <w:sz w:val="20"/>
          <w:szCs w:val="20"/>
        </w:rPr>
        <w:t>The laws that regulate payment services and platforms are changing. TWCW may, on notice where practicable, change how payments are collected, held, settled or reported; appoint, replace or add a Payment Provider; require you to re-verify your identity or accept new terms; or suspend payment functions, in each case to the extent reasonably necessary to comply with Applicable Law (including any licensing, registration or reporting requirement that applies to TWCW or the Platform).</w:t>
      </w:r>
    </w:p>
    <w:p w14:paraId="542059C6">
      <w:pPr>
        <w:pStyle w:val="20"/>
        <w:numPr>
          <w:ilvl w:val="1"/>
          <w:numId w:val="3"/>
        </w:numPr>
        <w:spacing w:before="0" w:after="140"/>
        <w:contextualSpacing w:val="0"/>
      </w:pPr>
      <w:r>
        <w:rPr>
          <w:rFonts w:eastAsia="Muli" w:cs="Muli" w:asciiTheme="majorHAnsi" w:hAnsiTheme="majorHAnsi"/>
          <w:b/>
          <w:bCs/>
          <w:sz w:val="20"/>
          <w:szCs w:val="20"/>
        </w:rPr>
        <w:t xml:space="preserve">Unclaimed money. </w:t>
      </w:r>
      <w:r>
        <w:rPr>
          <w:rFonts w:eastAsia="Muli" w:cs="Muli" w:asciiTheme="majorHAnsi" w:hAnsiTheme="majorHAnsi"/>
          <w:sz w:val="20"/>
          <w:szCs w:val="20"/>
        </w:rPr>
        <w:t>If a payment or settlement to you cannot be completed (for example because your Connected Account is closed or your details are out of date), TWCW or the Payment Provider will try to contact you. Money that remains unclaimed is dealt with under the Stripe Terms and any unclaimed-money law that applies.</w:t>
      </w:r>
    </w:p>
    <w:p w14:paraId="799B29E7">
      <w:pPr>
        <w:pStyle w:val="20"/>
        <w:keepNext/>
        <w:numPr>
          <w:ilvl w:val="0"/>
          <w:numId w:val="3"/>
        </w:numPr>
        <w:spacing w:before="300" w:after="140"/>
        <w:contextualSpacing w:val="0"/>
        <w:rPr>
          <w:rFonts w:eastAsia="Muli" w:cs="Muli" w:asciiTheme="majorHAnsi" w:hAnsiTheme="majorHAnsi"/>
          <w:b/>
          <w:bCs/>
          <w:spacing w:val="20"/>
          <w:sz w:val="20"/>
          <w:szCs w:val="20"/>
          <w:u w:val="single"/>
        </w:rPr>
      </w:pPr>
      <w:r>
        <w:rPr>
          <w:rFonts w:eastAsia="Muli" w:cs="Muli" w:asciiTheme="majorHAnsi" w:hAnsiTheme="majorHAnsi"/>
          <w:b/>
          <w:bCs/>
          <w:spacing w:val="20"/>
          <w:sz w:val="20"/>
          <w:szCs w:val="20"/>
          <w:u w:val="single"/>
        </w:rPr>
        <w:t>LISTINGS AND ADVERTISING CONTENT</w:t>
      </w:r>
    </w:p>
    <w:p w14:paraId="5E149411">
      <w:pPr>
        <w:pStyle w:val="20"/>
        <w:numPr>
          <w:ilvl w:val="1"/>
          <w:numId w:val="3"/>
        </w:numPr>
        <w:spacing w:before="0" w:after="140"/>
        <w:contextualSpacing w:val="0"/>
      </w:pPr>
      <w:r>
        <w:rPr>
          <w:rFonts w:eastAsia="Muli" w:cs="Muli" w:asciiTheme="majorHAnsi" w:hAnsiTheme="majorHAnsi"/>
          <w:b/>
          <w:bCs/>
          <w:sz w:val="20"/>
          <w:szCs w:val="20"/>
        </w:rPr>
        <w:t xml:space="preserve">Independent-business purpose. </w:t>
      </w:r>
      <w:r>
        <w:rPr>
          <w:rFonts w:eastAsia="Muli" w:cs="Muli" w:asciiTheme="majorHAnsi" w:hAnsiTheme="majorHAnsi"/>
          <w:sz w:val="20"/>
          <w:szCs w:val="20"/>
        </w:rPr>
        <w:t>The Platform exists to give independently owned businesses a fair discovery and advertising channel that does not rely on cost-per-click bidding. It is not a cost-per-click advertising channel unless TWCW expressly introduces and discloses a separate product of that kind.</w:t>
      </w:r>
    </w:p>
    <w:p w14:paraId="5EA49E3F">
      <w:pPr>
        <w:pStyle w:val="20"/>
        <w:numPr>
          <w:ilvl w:val="1"/>
          <w:numId w:val="3"/>
        </w:numPr>
        <w:spacing w:before="0" w:after="140"/>
        <w:contextualSpacing w:val="0"/>
      </w:pPr>
      <w:r>
        <w:rPr>
          <w:rFonts w:eastAsia="Muli" w:cs="Muli" w:asciiTheme="majorHAnsi" w:hAnsiTheme="majorHAnsi"/>
          <w:b/>
          <w:bCs/>
          <w:sz w:val="20"/>
          <w:szCs w:val="20"/>
        </w:rPr>
        <w:t xml:space="preserve">Accuracy and your responsibility. </w:t>
      </w:r>
      <w:r>
        <w:rPr>
          <w:rFonts w:eastAsia="Muli" w:cs="Muli" w:asciiTheme="majorHAnsi" w:hAnsiTheme="majorHAnsi"/>
          <w:sz w:val="20"/>
          <w:szCs w:val="20"/>
        </w:rPr>
        <w:t>You are responsible for all Advertising Content you submit, commission, fund or cause another person to submit. Each listing and advertisement must be:</w:t>
      </w:r>
    </w:p>
    <w:p w14:paraId="07007B63">
      <w:pPr>
        <w:pStyle w:val="20"/>
        <w:numPr>
          <w:ilvl w:val="2"/>
          <w:numId w:val="3"/>
        </w:numPr>
        <w:spacing w:before="0" w:after="100"/>
        <w:contextualSpacing w:val="0"/>
      </w:pPr>
      <w:r>
        <w:rPr>
          <w:rFonts w:eastAsia="Muli" w:cs="Muli" w:asciiTheme="majorHAnsi" w:hAnsiTheme="majorHAnsi"/>
          <w:sz w:val="20"/>
          <w:szCs w:val="20"/>
        </w:rPr>
        <w:t>accurate, complete, current and not misleading or deceptive;</w:t>
      </w:r>
    </w:p>
    <w:p w14:paraId="16B2A1CC">
      <w:pPr>
        <w:pStyle w:val="20"/>
        <w:numPr>
          <w:ilvl w:val="2"/>
          <w:numId w:val="3"/>
        </w:numPr>
        <w:spacing w:before="0" w:after="100"/>
        <w:contextualSpacing w:val="0"/>
      </w:pPr>
      <w:r>
        <w:rPr>
          <w:rFonts w:eastAsia="Muli" w:cs="Muli" w:asciiTheme="majorHAnsi" w:hAnsiTheme="majorHAnsi"/>
          <w:sz w:val="20"/>
          <w:szCs w:val="20"/>
        </w:rPr>
        <w:t>clear about price (including GST and any other mandatory charge), availability, delivery, limitations, inclusions and exclusions;</w:t>
      </w:r>
    </w:p>
    <w:p w14:paraId="609F2017">
      <w:pPr>
        <w:pStyle w:val="20"/>
        <w:numPr>
          <w:ilvl w:val="2"/>
          <w:numId w:val="3"/>
        </w:numPr>
        <w:spacing w:before="0" w:after="100"/>
        <w:contextualSpacing w:val="0"/>
      </w:pPr>
      <w:r>
        <w:rPr>
          <w:rFonts w:eastAsia="Muli" w:cs="Muli" w:asciiTheme="majorHAnsi" w:hAnsiTheme="majorHAnsi"/>
          <w:sz w:val="20"/>
          <w:szCs w:val="20"/>
        </w:rPr>
        <w:t>lawful and suitable for the intended audience;</w:t>
      </w:r>
    </w:p>
    <w:p w14:paraId="6753F0FA">
      <w:pPr>
        <w:pStyle w:val="20"/>
        <w:numPr>
          <w:ilvl w:val="2"/>
          <w:numId w:val="3"/>
        </w:numPr>
        <w:spacing w:before="0" w:after="100"/>
        <w:contextualSpacing w:val="0"/>
      </w:pPr>
      <w:r>
        <w:rPr>
          <w:rFonts w:eastAsia="Muli" w:cs="Muli" w:asciiTheme="majorHAnsi" w:hAnsiTheme="majorHAnsi"/>
          <w:sz w:val="20"/>
          <w:szCs w:val="20"/>
        </w:rPr>
        <w:t>supported by evidence where it makes a claim (and you must keep that evidence); and</w:t>
      </w:r>
    </w:p>
    <w:p w14:paraId="576D9E23">
      <w:pPr>
        <w:pStyle w:val="20"/>
        <w:numPr>
          <w:ilvl w:val="2"/>
          <w:numId w:val="3"/>
        </w:numPr>
        <w:spacing w:before="0" w:after="100"/>
        <w:contextualSpacing w:val="0"/>
      </w:pPr>
      <w:r>
        <w:rPr>
          <w:rFonts w:eastAsia="Muli" w:cs="Muli" w:asciiTheme="majorHAnsi" w:hAnsiTheme="majorHAnsi"/>
          <w:sz w:val="20"/>
          <w:szCs w:val="20"/>
        </w:rPr>
        <w:t>capable of being fulfilled on the terms offered.</w:t>
      </w:r>
    </w:p>
    <w:p w14:paraId="19781EF5">
      <w:pPr>
        <w:pStyle w:val="20"/>
        <w:spacing w:before="0" w:after="140"/>
        <w:ind w:left="1134"/>
        <w:contextualSpacing w:val="0"/>
      </w:pPr>
      <w:r>
        <w:rPr>
          <w:rFonts w:eastAsia="Muli" w:cs="Muli" w:asciiTheme="majorHAnsi" w:hAnsiTheme="majorHAnsi"/>
          <w:sz w:val="20"/>
          <w:szCs w:val="20"/>
        </w:rPr>
        <w:t>You must promptly update or remove unavailable goods, incorrect prices, expired promotions, closed locations and services you can no longer provide, and withdraw or correct Advertising Content that becomes inaccurate, unlawful, unsafe or misleading. False or misleading information can expose you and responsible individuals to Regulator action, penalties and compensation claims.</w:t>
      </w:r>
    </w:p>
    <w:p w14:paraId="2959E4B4">
      <w:pPr>
        <w:pStyle w:val="20"/>
        <w:numPr>
          <w:ilvl w:val="1"/>
          <w:numId w:val="3"/>
        </w:numPr>
        <w:spacing w:before="0" w:after="140"/>
        <w:contextualSpacing w:val="0"/>
      </w:pPr>
      <w:r>
        <w:rPr>
          <w:rFonts w:eastAsia="Muli" w:cs="Muli" w:asciiTheme="majorHAnsi" w:hAnsiTheme="majorHAnsi"/>
          <w:b/>
          <w:bCs/>
          <w:sz w:val="20"/>
          <w:szCs w:val="20"/>
        </w:rPr>
        <w:t xml:space="preserve">Content that is not allowed. </w:t>
      </w:r>
      <w:r>
        <w:rPr>
          <w:rFonts w:eastAsia="Muli" w:cs="Muli" w:asciiTheme="majorHAnsi" w:hAnsiTheme="majorHAnsi"/>
          <w:sz w:val="20"/>
          <w:szCs w:val="20"/>
        </w:rPr>
        <w:t>You must not submit, or allow to be displayed through the Platform:</w:t>
      </w:r>
    </w:p>
    <w:p w14:paraId="08DB1132">
      <w:pPr>
        <w:pStyle w:val="20"/>
        <w:numPr>
          <w:ilvl w:val="2"/>
          <w:numId w:val="3"/>
        </w:numPr>
        <w:spacing w:before="0" w:after="100"/>
        <w:contextualSpacing w:val="0"/>
      </w:pPr>
      <w:r>
        <w:rPr>
          <w:rFonts w:eastAsia="Muli" w:cs="Muli" w:asciiTheme="majorHAnsi" w:hAnsiTheme="majorHAnsi"/>
          <w:sz w:val="20"/>
          <w:szCs w:val="20"/>
        </w:rPr>
        <w:t>pornographic, sexually explicit or sexually graphic material, including explicit nudity, sexual acts, fetish content, or advertisements for sexual services or exploitation;</w:t>
      </w:r>
    </w:p>
    <w:p w14:paraId="03510B14">
      <w:pPr>
        <w:pStyle w:val="20"/>
        <w:numPr>
          <w:ilvl w:val="2"/>
          <w:numId w:val="3"/>
        </w:numPr>
        <w:spacing w:before="0" w:after="100"/>
        <w:contextualSpacing w:val="0"/>
      </w:pPr>
      <w:r>
        <w:rPr>
          <w:rFonts w:eastAsia="Muli" w:cs="Muli" w:asciiTheme="majorHAnsi" w:hAnsiTheme="majorHAnsi"/>
          <w:sz w:val="20"/>
          <w:szCs w:val="20"/>
        </w:rPr>
        <w:t>child sexual abuse material, grooming, trafficking or any content that sexualises or endangers a child (we will remove it and report it to law enforcement without notice);</w:t>
      </w:r>
    </w:p>
    <w:p w14:paraId="1759CD4A">
      <w:pPr>
        <w:pStyle w:val="20"/>
        <w:numPr>
          <w:ilvl w:val="2"/>
          <w:numId w:val="3"/>
        </w:numPr>
        <w:spacing w:before="0" w:after="100"/>
        <w:contextualSpacing w:val="0"/>
      </w:pPr>
      <w:r>
        <w:rPr>
          <w:rFonts w:eastAsia="Muli" w:cs="Muli" w:asciiTheme="majorHAnsi" w:hAnsiTheme="majorHAnsi"/>
          <w:sz w:val="20"/>
          <w:szCs w:val="20"/>
        </w:rPr>
        <w:t>content that is unlawful, obscene, or that promotes or facilitates criminal activity;</w:t>
      </w:r>
    </w:p>
    <w:p w14:paraId="01BD7A6F">
      <w:pPr>
        <w:pStyle w:val="20"/>
        <w:numPr>
          <w:ilvl w:val="2"/>
          <w:numId w:val="3"/>
        </w:numPr>
        <w:spacing w:before="0" w:after="100"/>
        <w:contextualSpacing w:val="0"/>
      </w:pPr>
      <w:r>
        <w:rPr>
          <w:rFonts w:eastAsia="Muli" w:cs="Muli" w:asciiTheme="majorHAnsi" w:hAnsiTheme="majorHAnsi"/>
          <w:sz w:val="20"/>
          <w:szCs w:val="20"/>
        </w:rPr>
        <w:t>illegal drugs, drug paraphernalia, counterfeit or stolen goods, weapons or explosives you are not licensed to sell, goods banned or subject to a mandatory standard that is not met, or anything that cannot lawfully be supplied in the relevant place;</w:t>
      </w:r>
    </w:p>
    <w:p w14:paraId="15DF3309">
      <w:pPr>
        <w:pStyle w:val="20"/>
        <w:numPr>
          <w:ilvl w:val="2"/>
          <w:numId w:val="3"/>
        </w:numPr>
        <w:spacing w:before="0" w:after="100"/>
        <w:contextualSpacing w:val="0"/>
      </w:pPr>
      <w:r>
        <w:rPr>
          <w:rFonts w:eastAsia="Muli" w:cs="Muli" w:asciiTheme="majorHAnsi" w:hAnsiTheme="majorHAnsi"/>
          <w:sz w:val="20"/>
          <w:szCs w:val="20"/>
        </w:rPr>
        <w:t>tobacco and nicotine products (including vaping goods), prescription-only medicines, and any other goods or services whose advertising to the public is prohibited by Applicable Law;</w:t>
      </w:r>
    </w:p>
    <w:p w14:paraId="72FE35B3">
      <w:pPr>
        <w:pStyle w:val="20"/>
        <w:numPr>
          <w:ilvl w:val="2"/>
          <w:numId w:val="3"/>
        </w:numPr>
        <w:spacing w:before="0" w:after="100"/>
        <w:contextualSpacing w:val="0"/>
      </w:pPr>
      <w:r>
        <w:rPr>
          <w:rFonts w:eastAsia="Muli" w:cs="Muli" w:asciiTheme="majorHAnsi" w:hAnsiTheme="majorHAnsi"/>
          <w:sz w:val="20"/>
          <w:szCs w:val="20"/>
        </w:rPr>
        <w:t>content promoting terrorism, unlawful violence, suicide, self-harm, abuse, exploitation, or hatred of or discrimination against a person or group;</w:t>
      </w:r>
    </w:p>
    <w:p w14:paraId="19205C5A">
      <w:pPr>
        <w:pStyle w:val="20"/>
        <w:numPr>
          <w:ilvl w:val="2"/>
          <w:numId w:val="3"/>
        </w:numPr>
        <w:spacing w:before="0" w:after="100"/>
        <w:contextualSpacing w:val="0"/>
      </w:pPr>
      <w:r>
        <w:rPr>
          <w:rFonts w:eastAsia="Muli" w:cs="Muli" w:asciiTheme="majorHAnsi" w:hAnsiTheme="majorHAnsi"/>
          <w:sz w:val="20"/>
          <w:szCs w:val="20"/>
        </w:rPr>
        <w:t>fraudulent, deceptive or unsubstantiated advertising, including fake reviews, fabricated testimonials, fake discounts, bait advertising, false scarcity, hidden mandatory charges, false endorsements, impersonation, and unsubstantiated health, therapeutic, environmental, performance or financial claims;</w:t>
      </w:r>
    </w:p>
    <w:p w14:paraId="162B167C">
      <w:pPr>
        <w:pStyle w:val="20"/>
        <w:numPr>
          <w:ilvl w:val="2"/>
          <w:numId w:val="3"/>
        </w:numPr>
        <w:spacing w:before="0" w:after="100"/>
        <w:contextualSpacing w:val="0"/>
      </w:pPr>
      <w:r>
        <w:rPr>
          <w:rFonts w:eastAsia="Muli" w:cs="Muli" w:asciiTheme="majorHAnsi" w:hAnsiTheme="majorHAnsi"/>
          <w:sz w:val="20"/>
          <w:szCs w:val="20"/>
        </w:rPr>
        <w:t>content that infringes copyright, trade marks, patents, confidential information, privacy or publicity rights, including unlicensed music in videos and the image or likeness of a person without their consent;</w:t>
      </w:r>
    </w:p>
    <w:p w14:paraId="7AED3A7D">
      <w:pPr>
        <w:pStyle w:val="20"/>
        <w:numPr>
          <w:ilvl w:val="2"/>
          <w:numId w:val="3"/>
        </w:numPr>
        <w:spacing w:before="0" w:after="100"/>
        <w:contextualSpacing w:val="0"/>
      </w:pPr>
      <w:r>
        <w:rPr>
          <w:rFonts w:eastAsia="Muli" w:cs="Muli" w:asciiTheme="majorHAnsi" w:hAnsiTheme="majorHAnsi"/>
          <w:sz w:val="20"/>
          <w:szCs w:val="20"/>
        </w:rPr>
        <w:t>malware, phishing, malicious code, harmful downloads, unauthorised tracking, or links intended to compromise a device, account or payment method;</w:t>
      </w:r>
    </w:p>
    <w:p w14:paraId="36DB5D04">
      <w:pPr>
        <w:pStyle w:val="20"/>
        <w:numPr>
          <w:ilvl w:val="2"/>
          <w:numId w:val="3"/>
        </w:numPr>
        <w:spacing w:before="0" w:after="100"/>
        <w:contextualSpacing w:val="0"/>
      </w:pPr>
      <w:r>
        <w:rPr>
          <w:rFonts w:eastAsia="Muli" w:cs="Muli" w:asciiTheme="majorHAnsi" w:hAnsiTheme="majorHAnsi"/>
          <w:sz w:val="20"/>
          <w:szCs w:val="20"/>
        </w:rPr>
        <w:t>content that facilitates discrimination, harassment, stalking, doxxing or the disclosure of personal information without a lawful basis; and</w:t>
      </w:r>
    </w:p>
    <w:p w14:paraId="4AEC8851">
      <w:pPr>
        <w:pStyle w:val="20"/>
        <w:numPr>
          <w:ilvl w:val="2"/>
          <w:numId w:val="3"/>
        </w:numPr>
        <w:spacing w:before="0" w:after="100"/>
        <w:contextualSpacing w:val="0"/>
      </w:pPr>
      <w:r>
        <w:rPr>
          <w:rFonts w:eastAsia="Muli" w:cs="Muli" w:asciiTheme="majorHAnsi" w:hAnsiTheme="majorHAnsi"/>
          <w:sz w:val="20"/>
          <w:szCs w:val="20"/>
        </w:rPr>
        <w:t>advertising funded, placed, sponsored or indirectly controlled by a multinational corporation, or that circumvents the AMAPP through an agent, affiliate, shell entity, franchise or related business.</w:t>
      </w:r>
    </w:p>
    <w:p w14:paraId="385076A4">
      <w:pPr>
        <w:pStyle w:val="20"/>
        <w:numPr>
          <w:ilvl w:val="1"/>
          <w:numId w:val="3"/>
        </w:numPr>
        <w:spacing w:before="0" w:after="140"/>
        <w:contextualSpacing w:val="0"/>
      </w:pPr>
      <w:r>
        <w:rPr>
          <w:rFonts w:eastAsia="Muli" w:cs="Muli" w:asciiTheme="majorHAnsi" w:hAnsiTheme="majorHAnsi"/>
          <w:b/>
          <w:bCs/>
          <w:sz w:val="20"/>
          <w:szCs w:val="20"/>
        </w:rPr>
        <w:t xml:space="preserve">Content allowed only with controls. </w:t>
      </w:r>
      <w:r>
        <w:rPr>
          <w:rFonts w:eastAsia="Muli" w:cs="Muli" w:asciiTheme="majorHAnsi" w:hAnsiTheme="majorHAnsi"/>
          <w:sz w:val="20"/>
          <w:szCs w:val="20"/>
        </w:rPr>
        <w:t>The following may be advertised only where lawful, accurately described, appropriately targeted and compliant with every licensing, age, warning, labelling and advertising requirement, and TWCW may restrict or refuse them in its discretion:</w:t>
      </w:r>
    </w:p>
    <w:p w14:paraId="3577A822">
      <w:pPr>
        <w:pStyle w:val="20"/>
        <w:numPr>
          <w:ilvl w:val="2"/>
          <w:numId w:val="3"/>
        </w:numPr>
        <w:spacing w:before="0" w:after="100"/>
        <w:contextualSpacing w:val="0"/>
      </w:pPr>
      <w:r>
        <w:rPr>
          <w:rFonts w:eastAsia="Muli" w:cs="Muli" w:asciiTheme="majorHAnsi" w:hAnsiTheme="majorHAnsi"/>
          <w:sz w:val="20"/>
          <w:szCs w:val="20"/>
        </w:rPr>
        <w:t>alcohol (you must hold a valid liquor licence for the relevant place, and must have effective age verification at sale and delivery);</w:t>
      </w:r>
    </w:p>
    <w:p w14:paraId="3C9555FC">
      <w:pPr>
        <w:pStyle w:val="20"/>
        <w:numPr>
          <w:ilvl w:val="2"/>
          <w:numId w:val="3"/>
        </w:numPr>
        <w:spacing w:before="0" w:after="100"/>
        <w:contextualSpacing w:val="0"/>
      </w:pPr>
      <w:r>
        <w:rPr>
          <w:rFonts w:eastAsia="Muli" w:cs="Muli" w:asciiTheme="majorHAnsi" w:hAnsiTheme="majorHAnsi"/>
          <w:sz w:val="20"/>
          <w:szCs w:val="20"/>
        </w:rPr>
        <w:t>over-the-counter medicines, supplements, therapeutic goods and health services (you must comply with the Therapeutic Goods Act 1989 (Cth), TGA advertising rules and professional registration requirements);</w:t>
      </w:r>
    </w:p>
    <w:p w14:paraId="33429605">
      <w:pPr>
        <w:pStyle w:val="20"/>
        <w:numPr>
          <w:ilvl w:val="2"/>
          <w:numId w:val="3"/>
        </w:numPr>
        <w:spacing w:before="0" w:after="100"/>
        <w:contextualSpacing w:val="0"/>
      </w:pPr>
      <w:r>
        <w:rPr>
          <w:rFonts w:eastAsia="Muli" w:cs="Muli" w:asciiTheme="majorHAnsi" w:hAnsiTheme="majorHAnsi"/>
          <w:sz w:val="20"/>
          <w:szCs w:val="20"/>
        </w:rPr>
        <w:t>gambling, competitions and prize promotions (you must hold all permits and publish all required terms);</w:t>
      </w:r>
    </w:p>
    <w:p w14:paraId="0CC6387A">
      <w:pPr>
        <w:pStyle w:val="20"/>
        <w:numPr>
          <w:ilvl w:val="2"/>
          <w:numId w:val="3"/>
        </w:numPr>
        <w:spacing w:before="0" w:after="100"/>
        <w:contextualSpacing w:val="0"/>
      </w:pPr>
      <w:r>
        <w:rPr>
          <w:rFonts w:eastAsia="Muli" w:cs="Muli" w:asciiTheme="majorHAnsi" w:hAnsiTheme="majorHAnsi"/>
          <w:sz w:val="20"/>
          <w:szCs w:val="20"/>
        </w:rPr>
        <w:t>financial products, credit, investments and insurance (you must hold the required Australian Financial Services Licence or Australian credit licence);</w:t>
      </w:r>
    </w:p>
    <w:p w14:paraId="4DA7D36D">
      <w:pPr>
        <w:pStyle w:val="20"/>
        <w:numPr>
          <w:ilvl w:val="2"/>
          <w:numId w:val="3"/>
        </w:numPr>
        <w:spacing w:before="0" w:after="100"/>
        <w:contextualSpacing w:val="0"/>
      </w:pPr>
      <w:r>
        <w:rPr>
          <w:rFonts w:eastAsia="Muli" w:cs="Muli" w:asciiTheme="majorHAnsi" w:hAnsiTheme="majorHAnsi"/>
          <w:sz w:val="20"/>
          <w:szCs w:val="20"/>
        </w:rPr>
        <w:t>mature or sensitive products that are not pornographic, provided the content is discreet, non-graphic, not directed at minors and does not promote exploitation; and</w:t>
      </w:r>
    </w:p>
    <w:p w14:paraId="4DFEDE88">
      <w:pPr>
        <w:pStyle w:val="20"/>
        <w:numPr>
          <w:ilvl w:val="2"/>
          <w:numId w:val="3"/>
        </w:numPr>
        <w:spacing w:before="0" w:after="100"/>
        <w:contextualSpacing w:val="0"/>
      </w:pPr>
      <w:r>
        <w:rPr>
          <w:rFonts w:eastAsia="Muli" w:cs="Muli" w:asciiTheme="majorHAnsi" w:hAnsiTheme="majorHAnsi"/>
          <w:sz w:val="20"/>
          <w:szCs w:val="20"/>
        </w:rPr>
        <w:t>products or services with age, location or delivery restrictions, where those restrictions are clearly stated and effectively enforced.</w:t>
      </w:r>
    </w:p>
    <w:p w14:paraId="48FA1F47">
      <w:pPr>
        <w:pStyle w:val="20"/>
        <w:numPr>
          <w:ilvl w:val="1"/>
          <w:numId w:val="3"/>
        </w:numPr>
        <w:spacing w:before="0" w:after="140"/>
        <w:contextualSpacing w:val="0"/>
      </w:pPr>
      <w:r>
        <w:rPr>
          <w:rFonts w:eastAsia="Muli" w:cs="Muli" w:asciiTheme="majorHAnsi" w:hAnsiTheme="majorHAnsi"/>
          <w:b/>
          <w:bCs/>
          <w:sz w:val="20"/>
          <w:szCs w:val="20"/>
        </w:rPr>
        <w:t xml:space="preserve">Video, music, people and endorsements. </w:t>
      </w:r>
      <w:r>
        <w:rPr>
          <w:rFonts w:eastAsia="Muli" w:cs="Muli" w:asciiTheme="majorHAnsi" w:hAnsiTheme="majorHAnsi"/>
          <w:sz w:val="20"/>
          <w:szCs w:val="20"/>
        </w:rPr>
        <w:t>You must hold all rights and consents needed for Business Content, including licences for any music or third-party footage, written consent from any identifiable person who appears in it (and from a parent or guardian for any minor), and any permission needed for locations and brands. You must clearly disclose paid endorsements, sponsorships, gifted products and material connections. You must disclose where content is synthetic or AI-generated if a reasonable viewer could be misled without that disclosure.</w:t>
      </w:r>
    </w:p>
    <w:p w14:paraId="271FFA07">
      <w:pPr>
        <w:pStyle w:val="20"/>
        <w:numPr>
          <w:ilvl w:val="1"/>
          <w:numId w:val="3"/>
        </w:numPr>
        <w:spacing w:before="0" w:after="140"/>
        <w:contextualSpacing w:val="0"/>
      </w:pPr>
      <w:r>
        <w:rPr>
          <w:rFonts w:eastAsia="Muli" w:cs="Muli" w:asciiTheme="majorHAnsi" w:hAnsiTheme="majorHAnsi"/>
          <w:b/>
          <w:bCs/>
          <w:sz w:val="20"/>
          <w:szCs w:val="20"/>
        </w:rPr>
        <w:t xml:space="preserve">Our review and enforcement rights. </w:t>
      </w:r>
      <w:r>
        <w:rPr>
          <w:rFonts w:eastAsia="Muli" w:cs="Muli" w:asciiTheme="majorHAnsi" w:hAnsiTheme="majorHAnsi"/>
          <w:sz w:val="20"/>
          <w:szCs w:val="20"/>
        </w:rPr>
        <w:t xml:space="preserve">TWCW may pre-screen, review, label, limit, reject, remove, de-rank, disable, age-gate, geo-restrict or report any Advertising Content at any time, with or without notice, where it reasonably considers the Content may breach these Terms, the AMAPP, Applicable Law, a Regulator’s requirement, a third party’s rights, or the safety of Users or the Platform. TWCW may require evidence of identity, ownership, licensing, substantiation, consent or lawful authority before approving or restoring Content. TWCW has no duty to monitor Content. Publishing, reviewing or allowing Content to remain does </w:t>
      </w:r>
      <w:r>
        <w:rPr>
          <w:rFonts w:eastAsia="Muli" w:cs="Muli" w:asciiTheme="majorHAnsi" w:hAnsiTheme="majorHAnsi"/>
          <w:b/>
          <w:bCs/>
          <w:sz w:val="20"/>
          <w:szCs w:val="20"/>
        </w:rPr>
        <w:t>not</w:t>
      </w:r>
      <w:r>
        <w:rPr>
          <w:rFonts w:eastAsia="Muli" w:cs="Muli" w:asciiTheme="majorHAnsi" w:hAnsiTheme="majorHAnsi"/>
          <w:sz w:val="20"/>
          <w:szCs w:val="20"/>
        </w:rPr>
        <w:t xml:space="preserve"> approve, endorse, certify or guarantee it. Repeated or serious breaches may lead to suspension, termination, removal of listings and referral to a Regulator.</w:t>
      </w:r>
    </w:p>
    <w:p w14:paraId="0CC9B302">
      <w:pPr>
        <w:pStyle w:val="20"/>
        <w:numPr>
          <w:ilvl w:val="1"/>
          <w:numId w:val="3"/>
        </w:numPr>
        <w:spacing w:before="0" w:after="140"/>
        <w:contextualSpacing w:val="0"/>
      </w:pPr>
      <w:r>
        <w:rPr>
          <w:rFonts w:eastAsia="Muli" w:cs="Muli" w:asciiTheme="majorHAnsi" w:hAnsiTheme="majorHAnsi"/>
          <w:b/>
          <w:bCs/>
          <w:sz w:val="20"/>
          <w:szCs w:val="20"/>
        </w:rPr>
        <w:t xml:space="preserve">Advertising standards and industry codes. </w:t>
      </w:r>
      <w:r>
        <w:rPr>
          <w:rFonts w:eastAsia="Muli" w:cs="Muli" w:asciiTheme="majorHAnsi" w:hAnsiTheme="majorHAnsi"/>
          <w:sz w:val="20"/>
          <w:szCs w:val="20"/>
        </w:rPr>
        <w:t>Advertising Content must comply with Applicable Law and with the advertising codes and standards that apply to it, including the AANA Code of Ethics and its related codes, the Therapeutic Goods Advertising Code, the Alcohol Beverages Advertising Code (ABAC) and any State or Territory advertising rules. Comparative advertising must be accurate and fair and must not disparage another trader or misuse its trade marks. Any testimonial, rating or superlative claim (such as "best", "cheapest" or "No. 1") must be true, current and substantiated.</w:t>
      </w:r>
    </w:p>
    <w:p w14:paraId="47634D18">
      <w:pPr>
        <w:pStyle w:val="20"/>
        <w:numPr>
          <w:ilvl w:val="1"/>
          <w:numId w:val="3"/>
        </w:numPr>
        <w:spacing w:before="0" w:after="140"/>
        <w:contextualSpacing w:val="0"/>
      </w:pPr>
      <w:r>
        <w:rPr>
          <w:rFonts w:eastAsia="Muli" w:cs="Muli" w:asciiTheme="majorHAnsi" w:hAnsiTheme="majorHAnsi"/>
          <w:b/>
          <w:bCs/>
          <w:sz w:val="20"/>
          <w:szCs w:val="20"/>
        </w:rPr>
        <w:t xml:space="preserve">Targeting and audiences. </w:t>
      </w:r>
      <w:r>
        <w:rPr>
          <w:rFonts w:eastAsia="Muli" w:cs="Muli" w:asciiTheme="majorHAnsi" w:hAnsiTheme="majorHAnsi"/>
          <w:sz w:val="20"/>
          <w:szCs w:val="20"/>
        </w:rPr>
        <w:t>A Business must not use the Platform to direct advertising at a child under 16, to target a person using sensitive information (such as health, religion, sexual orientation or financial hardship), or to target in a way that discriminates unlawfully. TWCW may limit targeting options to meet Applicable Law. TWCW does not give Consumer Data to a Business for targeting (clause 29.2) Advertising is matched using In-App Preferences only (Schedule 3), and TWCW does not guarantee that advertising will reach a particular audience.</w:t>
      </w:r>
    </w:p>
    <w:p w14:paraId="308B883A">
      <w:pPr>
        <w:pStyle w:val="20"/>
        <w:numPr>
          <w:ilvl w:val="1"/>
          <w:numId w:val="3"/>
        </w:numPr>
        <w:spacing w:before="0" w:after="140"/>
        <w:contextualSpacing w:val="0"/>
      </w:pPr>
      <w:r>
        <w:rPr>
          <w:rFonts w:eastAsia="Muli" w:cs="Muli" w:asciiTheme="majorHAnsi" w:hAnsiTheme="majorHAnsi"/>
          <w:b/>
          <w:bCs/>
          <w:sz w:val="20"/>
          <w:szCs w:val="20"/>
        </w:rPr>
        <w:t xml:space="preserve">Advertising and promotional services. </w:t>
      </w:r>
      <w:r>
        <w:rPr>
          <w:rFonts w:eastAsia="Muli" w:cs="Muli" w:asciiTheme="majorHAnsi" w:hAnsiTheme="majorHAnsi"/>
          <w:sz w:val="20"/>
          <w:szCs w:val="20"/>
        </w:rPr>
        <w:t>TWCW supplies advertising and promotional placement to a Business as a service. TWCW may decline, limit, re-order or remove any advertising or placement, change how and where advertising is displayed, and label it as promoted. TWCW does not guarantee reach, impressions, clicks, leads, ranking or return on spend (clause 15.9). Performance metrics are estimates provided as available and may exclude invalid or automated activity that TWCW filters out.</w:t>
      </w:r>
    </w:p>
    <w:p w14:paraId="7B83972E">
      <w:pPr>
        <w:pStyle w:val="20"/>
        <w:numPr>
          <w:ilvl w:val="1"/>
          <w:numId w:val="3"/>
        </w:numPr>
        <w:spacing w:before="0" w:after="140"/>
        <w:contextualSpacing w:val="0"/>
      </w:pPr>
      <w:r>
        <w:rPr>
          <w:rFonts w:eastAsia="Muli" w:cs="Muli" w:asciiTheme="majorHAnsi" w:hAnsiTheme="majorHAnsi"/>
          <w:b/>
          <w:bCs/>
          <w:sz w:val="20"/>
          <w:szCs w:val="20"/>
        </w:rPr>
        <w:t xml:space="preserve">Regulated professions and industries. </w:t>
      </w:r>
      <w:r>
        <w:rPr>
          <w:rFonts w:eastAsia="Muli" w:cs="Muli" w:asciiTheme="majorHAnsi" w:hAnsiTheme="majorHAnsi"/>
          <w:sz w:val="20"/>
          <w:szCs w:val="20"/>
        </w:rPr>
        <w:t>A Business in a regulated profession or industry (for example health practitioners, legal practitioners, financial advisers, credit providers, migration agents, real-estate agents, tradespeople and childcare providers) must comply with the advertising, licensing, registration and conduct rules of that profession or industry, must display any licence or registration number that the law requires, and must not use the Platform to advertise services it is not licensed to provide.</w:t>
      </w:r>
    </w:p>
    <w:p w14:paraId="322E65A5">
      <w:pPr>
        <w:pStyle w:val="20"/>
        <w:keepNext/>
        <w:numPr>
          <w:ilvl w:val="0"/>
          <w:numId w:val="3"/>
        </w:numPr>
        <w:spacing w:before="300" w:after="140"/>
        <w:contextualSpacing w:val="0"/>
        <w:rPr>
          <w:rFonts w:eastAsia="Muli" w:cs="Muli" w:asciiTheme="majorHAnsi" w:hAnsiTheme="majorHAnsi"/>
          <w:b/>
          <w:bCs/>
          <w:spacing w:val="20"/>
          <w:sz w:val="20"/>
          <w:szCs w:val="20"/>
          <w:u w:val="single"/>
        </w:rPr>
      </w:pPr>
      <w:r>
        <w:rPr>
          <w:rFonts w:eastAsia="Muli" w:cs="Muli" w:asciiTheme="majorHAnsi" w:hAnsiTheme="majorHAnsi"/>
          <w:b/>
          <w:bCs/>
          <w:spacing w:val="20"/>
          <w:sz w:val="20"/>
          <w:szCs w:val="20"/>
          <w:u w:val="single"/>
        </w:rPr>
        <w:t>PRODUCT SAFETY, RECALLS AND REGULATED GOODS</w:t>
      </w:r>
    </w:p>
    <w:p w14:paraId="48F22C08">
      <w:pPr>
        <w:pStyle w:val="20"/>
        <w:numPr>
          <w:ilvl w:val="1"/>
          <w:numId w:val="3"/>
        </w:numPr>
        <w:spacing w:before="0" w:after="140"/>
        <w:contextualSpacing w:val="0"/>
      </w:pPr>
      <w:r>
        <w:rPr>
          <w:rFonts w:eastAsia="Muli" w:cs="Muli" w:asciiTheme="majorHAnsi" w:hAnsiTheme="majorHAnsi"/>
          <w:b/>
          <w:bCs/>
          <w:sz w:val="20"/>
          <w:szCs w:val="20"/>
        </w:rPr>
        <w:t xml:space="preserve">Your obligations. </w:t>
      </w:r>
      <w:r>
        <w:rPr>
          <w:rFonts w:eastAsia="Muli" w:cs="Muli" w:asciiTheme="majorHAnsi" w:hAnsiTheme="majorHAnsi"/>
          <w:sz w:val="20"/>
          <w:szCs w:val="20"/>
        </w:rPr>
        <w:t>You must only supply goods that comply with all mandatory safety standards, bans, labelling and country-of-origin requirements, and you are responsible for any claims you make about origin, composition or performance. You must comply with ACL product-safety duties, including mandatory reporting of serious injury or illness associated with your goods and any recall obligations.</w:t>
      </w:r>
    </w:p>
    <w:p w14:paraId="72CD7CA5">
      <w:pPr>
        <w:pStyle w:val="20"/>
        <w:numPr>
          <w:ilvl w:val="1"/>
          <w:numId w:val="3"/>
        </w:numPr>
        <w:spacing w:before="0" w:after="140"/>
        <w:contextualSpacing w:val="0"/>
      </w:pPr>
      <w:r>
        <w:rPr>
          <w:rFonts w:eastAsia="Muli" w:cs="Muli" w:asciiTheme="majorHAnsi" w:hAnsiTheme="majorHAnsi"/>
          <w:b/>
          <w:bCs/>
          <w:sz w:val="20"/>
          <w:szCs w:val="20"/>
        </w:rPr>
        <w:t xml:space="preserve">Notify us. </w:t>
      </w:r>
      <w:r>
        <w:rPr>
          <w:rFonts w:eastAsia="Muli" w:cs="Muli" w:asciiTheme="majorHAnsi" w:hAnsiTheme="majorHAnsi"/>
          <w:sz w:val="20"/>
          <w:szCs w:val="20"/>
        </w:rPr>
        <w:t>You must tell TWCW within 24 hours of becoming aware of a safety incident, a recall (voluntary or compulsory), a Regulator notice or a significant consumer complaint concerning goods or services you have sold or listed through the Platform, and cooperate with TWCW and Regulators.</w:t>
      </w:r>
    </w:p>
    <w:p w14:paraId="7418484A">
      <w:pPr>
        <w:pStyle w:val="20"/>
        <w:numPr>
          <w:ilvl w:val="1"/>
          <w:numId w:val="3"/>
        </w:numPr>
        <w:spacing w:before="0" w:after="140"/>
        <w:contextualSpacing w:val="0"/>
      </w:pPr>
      <w:r>
        <w:rPr>
          <w:rFonts w:eastAsia="Muli" w:cs="Muli" w:asciiTheme="majorHAnsi" w:hAnsiTheme="majorHAnsi"/>
          <w:b/>
          <w:bCs/>
          <w:sz w:val="20"/>
          <w:szCs w:val="20"/>
        </w:rPr>
        <w:t xml:space="preserve">Our rights. </w:t>
      </w:r>
      <w:r>
        <w:rPr>
          <w:rFonts w:eastAsia="Muli" w:cs="Muli" w:asciiTheme="majorHAnsi" w:hAnsiTheme="majorHAnsi"/>
          <w:sz w:val="20"/>
          <w:szCs w:val="20"/>
        </w:rPr>
        <w:t>TWCW may remove or suspend any listing, notify affected Consumers, and give information to a Regulator if it considers goods unsafe, banned, recalled or unlawfully supplied. You bear all costs of any recall, refund, notification or corrective action relating to your goods.</w:t>
      </w:r>
    </w:p>
    <w:p w14:paraId="57141D46">
      <w:pPr>
        <w:pStyle w:val="20"/>
        <w:numPr>
          <w:ilvl w:val="1"/>
          <w:numId w:val="3"/>
        </w:numPr>
        <w:spacing w:before="0" w:after="140"/>
        <w:contextualSpacing w:val="0"/>
      </w:pPr>
      <w:r>
        <w:rPr>
          <w:rFonts w:eastAsia="Muli" w:cs="Muli" w:asciiTheme="majorHAnsi" w:hAnsiTheme="majorHAnsi"/>
          <w:b/>
          <w:bCs/>
          <w:sz w:val="20"/>
          <w:szCs w:val="20"/>
        </w:rPr>
        <w:t xml:space="preserve">Marketplace safety measures. </w:t>
      </w:r>
      <w:r>
        <w:rPr>
          <w:rFonts w:eastAsia="Muli" w:cs="Muli" w:asciiTheme="majorHAnsi" w:hAnsiTheme="majorHAnsi"/>
          <w:sz w:val="20"/>
          <w:szCs w:val="20"/>
        </w:rPr>
        <w:t>TWCW may adopt product-safety measures for the Platform, including processes that are consistent with the voluntary Australian Product Safety Pledge and with any mandatory obligations that apply to online marketplaces. A Business must respond within 24 hours (or any shorter period a Regulator requires) to a safety notice, recall request, takedown request or request for product information, and must give TWCW the information it reasonably needs to remove, label or report an unsafe listing.</w:t>
      </w:r>
    </w:p>
    <w:p w14:paraId="3C8204C7">
      <w:pPr>
        <w:pStyle w:val="20"/>
        <w:keepNext/>
        <w:numPr>
          <w:ilvl w:val="0"/>
          <w:numId w:val="3"/>
        </w:numPr>
        <w:spacing w:before="300" w:after="140"/>
        <w:contextualSpacing w:val="0"/>
        <w:rPr>
          <w:rFonts w:eastAsia="Muli" w:cs="Muli" w:asciiTheme="majorHAnsi" w:hAnsiTheme="majorHAnsi"/>
          <w:b/>
          <w:bCs/>
          <w:spacing w:val="20"/>
          <w:sz w:val="20"/>
          <w:szCs w:val="20"/>
          <w:u w:val="single"/>
        </w:rPr>
      </w:pPr>
      <w:r>
        <w:rPr>
          <w:rFonts w:eastAsia="Muli" w:cs="Muli" w:asciiTheme="majorHAnsi" w:hAnsiTheme="majorHAnsi"/>
          <w:b/>
          <w:bCs/>
          <w:spacing w:val="20"/>
          <w:sz w:val="20"/>
          <w:szCs w:val="20"/>
          <w:u w:val="single"/>
        </w:rPr>
        <w:t>CONSUMER DATA AND PRIVACY OBLIGATIONS</w:t>
      </w:r>
    </w:p>
    <w:p w14:paraId="5AF80A9B">
      <w:pPr>
        <w:pStyle w:val="20"/>
        <w:numPr>
          <w:ilvl w:val="1"/>
          <w:numId w:val="3"/>
        </w:numPr>
        <w:spacing w:before="0" w:after="140"/>
        <w:contextualSpacing w:val="0"/>
      </w:pPr>
      <w:r>
        <w:rPr>
          <w:rFonts w:eastAsia="Muli" w:cs="Muli" w:asciiTheme="majorHAnsi" w:hAnsiTheme="majorHAnsi"/>
          <w:b/>
          <w:bCs/>
          <w:sz w:val="20"/>
          <w:szCs w:val="20"/>
        </w:rPr>
        <w:t xml:space="preserve">Limited purpose. </w:t>
      </w:r>
      <w:r>
        <w:rPr>
          <w:rFonts w:eastAsia="Muli" w:cs="Muli" w:asciiTheme="majorHAnsi" w:hAnsiTheme="majorHAnsi"/>
          <w:sz w:val="20"/>
          <w:szCs w:val="20"/>
        </w:rPr>
        <w:t>A Business may access Consumer Data only to the extent necessary to communicate with the Consumer, fulfil Orders, provide support and comply with law. Access to Consumer Data does not give you ownership of it.</w:t>
      </w:r>
    </w:p>
    <w:p w14:paraId="18DB73FC">
      <w:pPr>
        <w:pStyle w:val="20"/>
        <w:numPr>
          <w:ilvl w:val="1"/>
          <w:numId w:val="3"/>
        </w:numPr>
        <w:spacing w:before="0" w:after="140"/>
        <w:contextualSpacing w:val="0"/>
      </w:pPr>
      <w:r>
        <w:rPr>
          <w:rFonts w:eastAsia="Muli" w:cs="Muli" w:asciiTheme="majorHAnsi" w:hAnsiTheme="majorHAnsi"/>
          <w:b/>
          <w:bCs/>
          <w:sz w:val="20"/>
          <w:szCs w:val="20"/>
        </w:rPr>
        <w:t xml:space="preserve">What you must do. </w:t>
      </w:r>
      <w:r>
        <w:rPr>
          <w:rFonts w:eastAsia="Muli" w:cs="Muli" w:asciiTheme="majorHAnsi" w:hAnsiTheme="majorHAnsi"/>
          <w:sz w:val="20"/>
          <w:szCs w:val="20"/>
        </w:rPr>
        <w:t>You must:</w:t>
      </w:r>
    </w:p>
    <w:p w14:paraId="3D8E8889">
      <w:pPr>
        <w:pStyle w:val="20"/>
        <w:numPr>
          <w:ilvl w:val="2"/>
          <w:numId w:val="3"/>
        </w:numPr>
        <w:spacing w:before="0" w:after="100"/>
        <w:contextualSpacing w:val="0"/>
      </w:pPr>
      <w:r>
        <w:rPr>
          <w:rFonts w:eastAsia="Muli" w:cs="Muli" w:asciiTheme="majorHAnsi" w:hAnsiTheme="majorHAnsi"/>
          <w:sz w:val="20"/>
          <w:szCs w:val="20"/>
        </w:rPr>
        <w:t>handle Consumer Data securely and confidentially and use it only for the purpose for which it was provided or another lawful purpose the Consumer has agreed to;</w:t>
      </w:r>
    </w:p>
    <w:p w14:paraId="0D8049DE">
      <w:pPr>
        <w:pStyle w:val="20"/>
        <w:numPr>
          <w:ilvl w:val="2"/>
          <w:numId w:val="3"/>
        </w:numPr>
        <w:spacing w:before="0" w:after="100"/>
        <w:contextualSpacing w:val="0"/>
      </w:pPr>
      <w:r>
        <w:rPr>
          <w:rFonts w:eastAsia="Muli" w:cs="Muli" w:asciiTheme="majorHAnsi" w:hAnsiTheme="majorHAnsi"/>
          <w:sz w:val="20"/>
          <w:szCs w:val="20"/>
        </w:rPr>
        <w:t>comply with the Privacy Act 1988 (Cth) and the Australian Privacy Principles (treating yourself as bound by them even if you would otherwise be exempt as a small business), the Spam Act 2003 (Cth), the Do Not Call Register Act 2006 (Cth) and other privacy and marketing laws;</w:t>
      </w:r>
    </w:p>
    <w:p w14:paraId="02AF4914">
      <w:pPr>
        <w:pStyle w:val="20"/>
        <w:numPr>
          <w:ilvl w:val="2"/>
          <w:numId w:val="3"/>
        </w:numPr>
        <w:spacing w:before="0" w:after="100"/>
        <w:contextualSpacing w:val="0"/>
      </w:pPr>
      <w:r>
        <w:rPr>
          <w:rFonts w:eastAsia="Muli" w:cs="Muli" w:asciiTheme="majorHAnsi" w:hAnsiTheme="majorHAnsi"/>
          <w:sz w:val="20"/>
          <w:szCs w:val="20"/>
        </w:rPr>
        <w:t>maintain your own privacy notice and data-handling practices;</w:t>
      </w:r>
    </w:p>
    <w:p w14:paraId="60FE387F">
      <w:pPr>
        <w:pStyle w:val="20"/>
        <w:numPr>
          <w:ilvl w:val="2"/>
          <w:numId w:val="3"/>
        </w:numPr>
        <w:spacing w:before="0" w:after="100"/>
        <w:contextualSpacing w:val="0"/>
      </w:pPr>
      <w:r>
        <w:rPr>
          <w:rFonts w:eastAsia="Muli" w:cs="Muli" w:asciiTheme="majorHAnsi" w:hAnsiTheme="majorHAnsi"/>
          <w:sz w:val="20"/>
          <w:szCs w:val="20"/>
        </w:rPr>
        <w:t>not sell, rent, scrape, profile, enrich or use Consumer Data for unrelated marketing, list-building or resale, and not contact a Consumer outside the agreed transaction unless the Consumer has consented;</w:t>
      </w:r>
    </w:p>
    <w:p w14:paraId="4DE49661">
      <w:pPr>
        <w:pStyle w:val="20"/>
        <w:numPr>
          <w:ilvl w:val="2"/>
          <w:numId w:val="3"/>
        </w:numPr>
        <w:spacing w:before="0" w:after="100"/>
        <w:contextualSpacing w:val="0"/>
      </w:pPr>
      <w:r>
        <w:rPr>
          <w:rFonts w:eastAsia="Muli" w:cs="Muli" w:asciiTheme="majorHAnsi" w:hAnsiTheme="majorHAnsi"/>
          <w:sz w:val="20"/>
          <w:szCs w:val="20"/>
        </w:rPr>
        <w:t>not upload Consumer Data to another service unless that is authorised and lawful; and</w:t>
      </w:r>
    </w:p>
    <w:p w14:paraId="7CDA5406">
      <w:pPr>
        <w:pStyle w:val="20"/>
        <w:numPr>
          <w:ilvl w:val="2"/>
          <w:numId w:val="3"/>
        </w:numPr>
        <w:spacing w:before="0" w:after="100"/>
        <w:contextualSpacing w:val="0"/>
      </w:pPr>
      <w:r>
        <w:rPr>
          <w:rFonts w:eastAsia="Muli" w:cs="Muli" w:asciiTheme="majorHAnsi" w:hAnsiTheme="majorHAnsi"/>
          <w:sz w:val="20"/>
          <w:szCs w:val="20"/>
        </w:rPr>
        <w:t>securely delete or return Platform data when it is no longer required or when your access ends, except where you must keep it by law.</w:t>
      </w:r>
    </w:p>
    <w:p w14:paraId="61845DCA">
      <w:pPr>
        <w:pStyle w:val="20"/>
        <w:numPr>
          <w:ilvl w:val="1"/>
          <w:numId w:val="3"/>
        </w:numPr>
        <w:spacing w:before="0" w:after="140"/>
        <w:contextualSpacing w:val="0"/>
      </w:pPr>
      <w:r>
        <w:rPr>
          <w:rFonts w:eastAsia="Muli" w:cs="Muli" w:asciiTheme="majorHAnsi" w:hAnsiTheme="majorHAnsi"/>
          <w:b/>
          <w:bCs/>
          <w:sz w:val="20"/>
          <w:szCs w:val="20"/>
        </w:rPr>
        <w:t xml:space="preserve">Incidents. </w:t>
      </w:r>
      <w:r>
        <w:rPr>
          <w:rFonts w:eastAsia="Muli" w:cs="Muli" w:asciiTheme="majorHAnsi" w:hAnsiTheme="majorHAnsi"/>
          <w:sz w:val="20"/>
          <w:szCs w:val="20"/>
        </w:rPr>
        <w:t>You must tell TWCW without delay, and in any event within 24 hours of becoming aware, of any actual or suspected unauthorised access, disclosure, loss, misuse or compromise involving Platform data or Consumer Data. You must preserve evidence, cooperate with TWCW’s investigation, take reasonable containment steps, notify affected individuals and the OAIC where legally required, and not make a public statement about an incident involving TWCW or Platform data without first coordinating with TWCW (unless the law requires otherwise). TWCW may suspend your access immediately if it reasonably believes data is at risk.</w:t>
      </w:r>
    </w:p>
    <w:p w14:paraId="60CD6834">
      <w:pPr>
        <w:pStyle w:val="20"/>
        <w:numPr>
          <w:ilvl w:val="1"/>
          <w:numId w:val="3"/>
        </w:numPr>
        <w:spacing w:before="0" w:after="140"/>
        <w:contextualSpacing w:val="0"/>
      </w:pPr>
      <w:r>
        <w:rPr>
          <w:rFonts w:eastAsia="Muli" w:cs="Muli" w:asciiTheme="majorHAnsi" w:hAnsiTheme="majorHAnsi"/>
          <w:b/>
          <w:bCs/>
          <w:sz w:val="20"/>
          <w:szCs w:val="20"/>
        </w:rPr>
        <w:t xml:space="preserve">Audit. </w:t>
      </w:r>
      <w:r>
        <w:rPr>
          <w:rFonts w:eastAsia="Muli" w:cs="Muli" w:asciiTheme="majorHAnsi" w:hAnsiTheme="majorHAnsi"/>
          <w:sz w:val="20"/>
          <w:szCs w:val="20"/>
        </w:rPr>
        <w:t>On reasonable notice, you must give TWCW information reasonably needed to confirm your compliance with this clause.</w:t>
      </w:r>
    </w:p>
    <w:p w14:paraId="63832068">
      <w:pPr>
        <w:pStyle w:val="20"/>
        <w:numPr>
          <w:ilvl w:val="1"/>
          <w:numId w:val="3"/>
        </w:numPr>
        <w:spacing w:before="0" w:after="140"/>
        <w:contextualSpacing w:val="0"/>
      </w:pPr>
      <w:r>
        <w:rPr>
          <w:rFonts w:eastAsia="Muli" w:cs="Muli" w:asciiTheme="majorHAnsi" w:hAnsiTheme="majorHAnsi"/>
          <w:b/>
          <w:bCs/>
          <w:sz w:val="20"/>
          <w:szCs w:val="20"/>
        </w:rPr>
        <w:t xml:space="preserve">Credentials and access. </w:t>
      </w:r>
      <w:r>
        <w:rPr>
          <w:rFonts w:eastAsia="Muli" w:cs="Muli" w:asciiTheme="majorHAnsi" w:hAnsiTheme="majorHAnsi"/>
          <w:sz w:val="20"/>
          <w:szCs w:val="20"/>
        </w:rPr>
        <w:t>You must keep your Platform login details and any API keys or access tokens confidential, and must not share them or store them in source code, public repositories or unsecured messages. You must give access to the Platform only to staff who need it for their role, and remove that access promptly when they leave or change role.</w:t>
      </w:r>
    </w:p>
    <w:p w14:paraId="2ED73163">
      <w:pPr>
        <w:pStyle w:val="20"/>
        <w:numPr>
          <w:ilvl w:val="1"/>
          <w:numId w:val="3"/>
        </w:numPr>
        <w:spacing w:before="0" w:after="140"/>
        <w:contextualSpacing w:val="0"/>
      </w:pPr>
      <w:r>
        <w:rPr>
          <w:rFonts w:eastAsia="Muli" w:cs="Muli" w:asciiTheme="majorHAnsi" w:hAnsiTheme="majorHAnsi"/>
          <w:b/>
          <w:bCs/>
          <w:sz w:val="20"/>
          <w:szCs w:val="20"/>
        </w:rPr>
        <w:t xml:space="preserve">Messaging and marketing. </w:t>
      </w:r>
      <w:r>
        <w:rPr>
          <w:rFonts w:eastAsia="Muli" w:cs="Muli" w:asciiTheme="majorHAnsi" w:hAnsiTheme="majorHAnsi"/>
          <w:sz w:val="20"/>
          <w:szCs w:val="20"/>
        </w:rPr>
        <w:t>A Business that sends a Marketing Message through or in connection with the Platform (including to a Consumer or to a Business Buyer's staff) must have the consent that the Spam Act 2003 (Cth) requires, identify itself as the sender, include a working unsubscribe facility, keep evidence of consent, and respect the Do Not Call Register. TWCW may block, limit or remove any message that it reasonably believes breaches these requirements or clause 19.2.</w:t>
      </w:r>
    </w:p>
    <w:p w14:paraId="50E17073">
      <w:pPr>
        <w:pStyle w:val="20"/>
        <w:numPr>
          <w:ilvl w:val="1"/>
          <w:numId w:val="3"/>
        </w:numPr>
        <w:spacing w:before="0" w:after="140"/>
        <w:contextualSpacing w:val="0"/>
      </w:pPr>
      <w:r>
        <w:rPr>
          <w:rFonts w:eastAsia="Muli" w:cs="Muli" w:asciiTheme="majorHAnsi" w:hAnsiTheme="majorHAnsi"/>
          <w:b/>
          <w:bCs/>
          <w:sz w:val="20"/>
          <w:szCs w:val="20"/>
        </w:rPr>
        <w:t>Protecting data you receive.</w:t>
      </w:r>
      <w:r>
        <w:rPr>
          <w:rFonts w:eastAsia="Muli" w:cs="Muli" w:asciiTheme="majorHAnsi" w:hAnsiTheme="majorHAnsi"/>
          <w:sz w:val="20"/>
          <w:szCs w:val="20"/>
        </w:rPr>
        <w:t xml:space="preserve"> You must protect Consumer Data and Platform data with security measures appropriate to its sensitivity, including keeping devices and software up to date, using device passcodes and (where offered) multi-factor authentication, limiting access to staff who need it, and not sharing it through unsecured messages or storing it on personal or shared devices. A Business can see only the Orders and information for its own shop. You must not try to access anything else, and you must tell us at once if you can see data that is not yours. You are responsible for loss caused by your failure to follow this clause.</w:t>
      </w:r>
    </w:p>
    <w:p w14:paraId="008824C5">
      <w:pPr>
        <w:pStyle w:val="20"/>
        <w:keepNext/>
        <w:numPr>
          <w:ilvl w:val="0"/>
          <w:numId w:val="3"/>
        </w:numPr>
        <w:spacing w:before="300" w:after="140"/>
        <w:contextualSpacing w:val="0"/>
        <w:rPr>
          <w:rFonts w:eastAsia="Muli" w:cs="Muli" w:asciiTheme="majorHAnsi" w:hAnsiTheme="majorHAnsi"/>
          <w:b/>
          <w:bCs/>
          <w:spacing w:val="20"/>
          <w:sz w:val="20"/>
          <w:szCs w:val="20"/>
          <w:u w:val="single"/>
        </w:rPr>
      </w:pPr>
      <w:r>
        <w:rPr>
          <w:rFonts w:eastAsia="Muli" w:cs="Muli" w:asciiTheme="majorHAnsi" w:hAnsiTheme="majorHAnsi"/>
          <w:b/>
          <w:bCs/>
          <w:spacing w:val="20"/>
          <w:sz w:val="20"/>
          <w:szCs w:val="20"/>
          <w:u w:val="single"/>
        </w:rPr>
        <w:t>FAIR DEALING, COMPETITION AND ANTI-CIRCUMVENTION</w:t>
      </w:r>
    </w:p>
    <w:p w14:paraId="5619F184">
      <w:pPr>
        <w:pStyle w:val="20"/>
        <w:numPr>
          <w:ilvl w:val="1"/>
          <w:numId w:val="3"/>
        </w:numPr>
        <w:spacing w:before="0" w:after="140"/>
        <w:contextualSpacing w:val="0"/>
      </w:pPr>
      <w:r>
        <w:rPr>
          <w:rFonts w:eastAsia="Muli" w:cs="Muli" w:asciiTheme="majorHAnsi" w:hAnsiTheme="majorHAnsi"/>
          <w:b/>
          <w:bCs/>
          <w:sz w:val="20"/>
          <w:szCs w:val="20"/>
        </w:rPr>
        <w:t xml:space="preserve">Fair trading. </w:t>
      </w:r>
      <w:r>
        <w:rPr>
          <w:rFonts w:eastAsia="Muli" w:cs="Muli" w:asciiTheme="majorHAnsi" w:hAnsiTheme="majorHAnsi"/>
          <w:sz w:val="20"/>
          <w:szCs w:val="20"/>
        </w:rPr>
        <w:t>You must not engage in misleading or deceptive conduct, unconscionable conduct, bait advertising, false scarcity, fake discounts, drip pricing, or any conduct that breaches the ACL or other consumer or competition law.</w:t>
      </w:r>
    </w:p>
    <w:p w14:paraId="5F2CA531">
      <w:pPr>
        <w:pStyle w:val="20"/>
        <w:numPr>
          <w:ilvl w:val="1"/>
          <w:numId w:val="3"/>
        </w:numPr>
        <w:spacing w:before="0" w:after="140"/>
        <w:contextualSpacing w:val="0"/>
      </w:pPr>
      <w:r>
        <w:rPr>
          <w:rFonts w:eastAsia="Muli" w:cs="Muli" w:asciiTheme="majorHAnsi" w:hAnsiTheme="majorHAnsi"/>
          <w:b/>
          <w:bCs/>
          <w:sz w:val="20"/>
          <w:szCs w:val="20"/>
        </w:rPr>
        <w:t xml:space="preserve">Competition law. </w:t>
      </w:r>
      <w:r>
        <w:rPr>
          <w:rFonts w:eastAsia="Muli" w:cs="Muli" w:asciiTheme="majorHAnsi" w:hAnsiTheme="majorHAnsi"/>
          <w:sz w:val="20"/>
          <w:szCs w:val="20"/>
        </w:rPr>
        <w:t>You must set your own prices and trading terms independently and must not use the Platform to coordinate with another Business on prices, markets, customers, bids or terms, or to engage in cartel conduct, price-fixing, bid-rigging, market allocation, resale-price maintenance or any other conduct prohibited by competition law. TWCW may remove Content, restrict accounts and report suspected unlawful conduct.</w:t>
      </w:r>
    </w:p>
    <w:p w14:paraId="3F922139">
      <w:pPr>
        <w:pStyle w:val="20"/>
        <w:numPr>
          <w:ilvl w:val="1"/>
          <w:numId w:val="3"/>
        </w:numPr>
        <w:spacing w:before="0" w:after="140"/>
        <w:contextualSpacing w:val="0"/>
      </w:pPr>
      <w:r>
        <w:rPr>
          <w:rFonts w:eastAsia="Muli" w:cs="Muli" w:asciiTheme="majorHAnsi" w:hAnsiTheme="majorHAnsi"/>
          <w:b/>
          <w:bCs/>
          <w:sz w:val="20"/>
          <w:szCs w:val="20"/>
        </w:rPr>
        <w:t xml:space="preserve">Reviews and rankings. </w:t>
      </w:r>
      <w:r>
        <w:rPr>
          <w:rFonts w:eastAsia="Muli" w:cs="Muli" w:asciiTheme="majorHAnsi" w:hAnsiTheme="majorHAnsi"/>
          <w:sz w:val="20"/>
          <w:szCs w:val="20"/>
        </w:rPr>
        <w:t>You must not create or buy fake reviews or engagement, offer a benefit for a particular review outcome, create duplicate listings or accounts, or otherwise manipulate rankings.</w:t>
      </w:r>
    </w:p>
    <w:p w14:paraId="167933C7">
      <w:pPr>
        <w:pStyle w:val="20"/>
        <w:numPr>
          <w:ilvl w:val="1"/>
          <w:numId w:val="3"/>
        </w:numPr>
        <w:spacing w:before="0" w:after="140"/>
        <w:contextualSpacing w:val="0"/>
      </w:pPr>
      <w:r>
        <w:rPr>
          <w:rFonts w:eastAsia="Muli" w:cs="Muli" w:asciiTheme="majorHAnsi" w:hAnsiTheme="majorHAnsi"/>
          <w:b/>
          <w:bCs/>
          <w:sz w:val="20"/>
          <w:szCs w:val="20"/>
        </w:rPr>
        <w:t xml:space="preserve">No diversion to avoid fees. </w:t>
      </w:r>
      <w:r>
        <w:rPr>
          <w:rFonts w:eastAsia="Muli" w:cs="Muli" w:asciiTheme="majorHAnsi" w:hAnsiTheme="majorHAnsi"/>
          <w:sz w:val="20"/>
          <w:szCs w:val="20"/>
        </w:rPr>
        <w:t>You must not divert a Consumer away from the Platform to avoid a disclosed Platform Fee or Platform payment flow for a transaction that began on the Platform, manipulate a transaction record, or use Platform data for an unrelated purpose without a lawful basis and any required consent. This does not stop you dealing directly with your existing customers for transactions that did not originate on the Platform.</w:t>
      </w:r>
    </w:p>
    <w:p w14:paraId="6FF0BDE5">
      <w:pPr>
        <w:pStyle w:val="20"/>
        <w:keepNext/>
        <w:numPr>
          <w:ilvl w:val="0"/>
          <w:numId w:val="3"/>
        </w:numPr>
        <w:spacing w:before="300" w:after="140"/>
        <w:contextualSpacing w:val="0"/>
        <w:rPr>
          <w:rFonts w:eastAsia="Muli" w:cs="Muli" w:asciiTheme="majorHAnsi" w:hAnsiTheme="majorHAnsi"/>
          <w:b/>
          <w:bCs/>
          <w:spacing w:val="20"/>
          <w:sz w:val="20"/>
          <w:szCs w:val="20"/>
          <w:u w:val="single"/>
        </w:rPr>
      </w:pPr>
      <w:r>
        <w:rPr>
          <w:rFonts w:eastAsia="Muli" w:cs="Muli" w:asciiTheme="majorHAnsi" w:hAnsiTheme="majorHAnsi"/>
          <w:b/>
          <w:bCs/>
          <w:spacing w:val="20"/>
          <w:sz w:val="20"/>
          <w:szCs w:val="20"/>
          <w:u w:val="single"/>
        </w:rPr>
        <w:t>INSURANCE AND RECORDS</w:t>
      </w:r>
    </w:p>
    <w:p w14:paraId="349BFC01">
      <w:pPr>
        <w:pStyle w:val="20"/>
        <w:numPr>
          <w:ilvl w:val="1"/>
          <w:numId w:val="3"/>
        </w:numPr>
        <w:spacing w:before="0" w:after="140"/>
        <w:contextualSpacing w:val="0"/>
      </w:pPr>
      <w:r>
        <w:rPr>
          <w:rFonts w:eastAsia="Muli" w:cs="Muli" w:asciiTheme="majorHAnsi" w:hAnsiTheme="majorHAnsi"/>
          <w:b/>
          <w:bCs/>
          <w:sz w:val="20"/>
          <w:szCs w:val="20"/>
        </w:rPr>
        <w:t xml:space="preserve">Insurance. </w:t>
      </w:r>
      <w:r>
        <w:rPr>
          <w:rFonts w:eastAsia="Muli" w:cs="Muli" w:asciiTheme="majorHAnsi" w:hAnsiTheme="majorHAnsi"/>
          <w:sz w:val="20"/>
          <w:szCs w:val="20"/>
        </w:rPr>
        <w:t xml:space="preserve">You must hold and maintain, for as long as you use the Platform and for </w:t>
      </w:r>
      <w:r>
        <w:rPr>
          <w:rFonts w:eastAsia="Muli" w:cs="Muli" w:asciiTheme="majorHAnsi" w:hAnsiTheme="majorHAnsi"/>
          <w:sz w:val="20"/>
          <w:szCs w:val="20"/>
          <w:highlight w:val="lightGray"/>
        </w:rPr>
        <w:t>[12]</w:t>
      </w:r>
      <w:r>
        <w:rPr>
          <w:rFonts w:eastAsia="Muli" w:cs="Muli" w:asciiTheme="majorHAnsi" w:hAnsiTheme="majorHAnsi"/>
          <w:sz w:val="20"/>
          <w:szCs w:val="20"/>
        </w:rPr>
        <w:t xml:space="preserve"> months afterwards, public liability and (where you supply goods) product liability insurance of at least</w:t>
      </w:r>
      <w:r>
        <w:rPr>
          <w:rFonts w:hint="default" w:eastAsia="Muli" w:cs="Muli" w:asciiTheme="majorHAnsi" w:hAnsiTheme="majorHAnsi"/>
          <w:sz w:val="20"/>
          <w:szCs w:val="20"/>
          <w:lang w:val="en-US"/>
        </w:rPr>
        <w:t xml:space="preserve">, $250,000 AUD </w:t>
      </w:r>
      <w:r>
        <w:rPr>
          <w:rFonts w:eastAsia="Muli" w:cs="Muli" w:asciiTheme="majorHAnsi" w:hAnsiTheme="majorHAnsi"/>
          <w:sz w:val="20"/>
          <w:szCs w:val="20"/>
        </w:rPr>
        <w:t>per claim, and any other insurance Applicable Law requires, and give TWCW a certificate of currency on request.</w:t>
      </w:r>
    </w:p>
    <w:p w14:paraId="4259B16F">
      <w:pPr>
        <w:pStyle w:val="20"/>
        <w:numPr>
          <w:ilvl w:val="1"/>
          <w:numId w:val="3"/>
        </w:numPr>
        <w:spacing w:before="0" w:after="140"/>
        <w:contextualSpacing w:val="0"/>
      </w:pPr>
      <w:r>
        <w:rPr>
          <w:rFonts w:eastAsia="Muli" w:cs="Muli" w:asciiTheme="majorHAnsi" w:hAnsiTheme="majorHAnsi"/>
          <w:b/>
          <w:bCs/>
          <w:sz w:val="20"/>
          <w:szCs w:val="20"/>
        </w:rPr>
        <w:t xml:space="preserve">Records. </w:t>
      </w:r>
      <w:r>
        <w:rPr>
          <w:rFonts w:eastAsia="Muli" w:cs="Muli" w:asciiTheme="majorHAnsi" w:hAnsiTheme="majorHAnsi"/>
          <w:sz w:val="20"/>
          <w:szCs w:val="20"/>
        </w:rPr>
        <w:t>You must keep complete and accurate records of your listings, evidence supporting your claims, Orders, customer communications, refunds, tax and licences for at least 7 years (or any longer period Applicable Law requires), and produce them to TWCW within 5 business days of a request made for a dispute, compliance or Regulator purpose.</w:t>
      </w:r>
    </w:p>
    <w:p w14:paraId="0D611821">
      <w:pPr>
        <w:pStyle w:val="20"/>
        <w:keepNext/>
        <w:numPr>
          <w:ilvl w:val="0"/>
          <w:numId w:val="3"/>
        </w:numPr>
        <w:spacing w:before="300" w:after="140"/>
        <w:contextualSpacing w:val="0"/>
        <w:rPr>
          <w:rFonts w:eastAsia="Muli" w:cs="Muli" w:asciiTheme="majorHAnsi" w:hAnsiTheme="majorHAnsi"/>
          <w:b/>
          <w:bCs/>
          <w:spacing w:val="20"/>
          <w:sz w:val="20"/>
          <w:szCs w:val="20"/>
          <w:u w:val="single"/>
        </w:rPr>
      </w:pPr>
      <w:r>
        <w:rPr>
          <w:rFonts w:eastAsia="Muli" w:cs="Muli" w:asciiTheme="majorHAnsi" w:hAnsiTheme="majorHAnsi"/>
          <w:b/>
          <w:bCs/>
          <w:spacing w:val="20"/>
          <w:sz w:val="20"/>
          <w:szCs w:val="20"/>
          <w:u w:val="single"/>
        </w:rPr>
        <w:t>AMAPP — INDEPENDENT-BUSINESS PARTICIPATION</w:t>
      </w:r>
    </w:p>
    <w:p w14:paraId="793FCDA0">
      <w:pPr>
        <w:pStyle w:val="20"/>
        <w:numPr>
          <w:ilvl w:val="1"/>
          <w:numId w:val="3"/>
        </w:numPr>
        <w:spacing w:before="0" w:after="140"/>
        <w:contextualSpacing w:val="0"/>
      </w:pPr>
      <w:r>
        <w:rPr>
          <w:rFonts w:eastAsia="Muli" w:cs="Muli" w:asciiTheme="majorHAnsi" w:hAnsiTheme="majorHAnsi"/>
          <w:b/>
          <w:bCs/>
          <w:sz w:val="20"/>
          <w:szCs w:val="20"/>
        </w:rPr>
        <w:t xml:space="preserve">Purpose. </w:t>
      </w:r>
      <w:r>
        <w:rPr>
          <w:rFonts w:eastAsia="Muli" w:cs="Muli" w:asciiTheme="majorHAnsi" w:hAnsiTheme="majorHAnsi"/>
          <w:sz w:val="20"/>
          <w:szCs w:val="20"/>
        </w:rPr>
        <w:t>The AMAPP is a core requirement for participation. Its purpose is to keep the Platform a discovery and advertising environment for genuinely independent businesses, free from multinational corporate participation or influence.</w:t>
      </w:r>
    </w:p>
    <w:p w14:paraId="5C827FA8">
      <w:pPr>
        <w:pStyle w:val="20"/>
        <w:numPr>
          <w:ilvl w:val="1"/>
          <w:numId w:val="3"/>
        </w:numPr>
        <w:spacing w:before="0" w:after="140"/>
        <w:contextualSpacing w:val="0"/>
      </w:pPr>
      <w:r>
        <w:rPr>
          <w:rFonts w:eastAsia="Muli" w:cs="Muli" w:asciiTheme="majorHAnsi" w:hAnsiTheme="majorHAnsi"/>
          <w:b/>
          <w:bCs/>
          <w:sz w:val="20"/>
          <w:szCs w:val="20"/>
        </w:rPr>
        <w:t xml:space="preserve">Who is a multinational corporation (MNC). </w:t>
      </w:r>
      <w:r>
        <w:rPr>
          <w:rFonts w:eastAsia="Muli" w:cs="Muli" w:asciiTheme="majorHAnsi" w:hAnsiTheme="majorHAnsi"/>
          <w:sz w:val="20"/>
          <w:szCs w:val="20"/>
        </w:rPr>
        <w:t>A business is treated as an MNC if it, or any related entity or controlling group, meets any of the following:</w:t>
      </w:r>
    </w:p>
    <w:p w14:paraId="4F30D0AD">
      <w:pPr>
        <w:pStyle w:val="20"/>
        <w:numPr>
          <w:ilvl w:val="2"/>
          <w:numId w:val="3"/>
        </w:numPr>
        <w:spacing w:before="0" w:after="100"/>
        <w:contextualSpacing w:val="0"/>
      </w:pPr>
      <w:r>
        <w:rPr>
          <w:rFonts w:eastAsia="Muli" w:cs="Muli" w:asciiTheme="majorHAnsi" w:hAnsiTheme="majorHAnsi"/>
          <w:sz w:val="20"/>
          <w:szCs w:val="20"/>
        </w:rPr>
        <w:t>is listed on a recognised stock exchange in any jurisdiction;</w:t>
      </w:r>
    </w:p>
    <w:p w14:paraId="2AE8FAF9">
      <w:pPr>
        <w:pStyle w:val="20"/>
        <w:numPr>
          <w:ilvl w:val="2"/>
          <w:numId w:val="3"/>
        </w:numPr>
        <w:spacing w:before="0" w:after="100"/>
        <w:contextualSpacing w:val="0"/>
      </w:pPr>
      <w:r>
        <w:rPr>
          <w:rFonts w:eastAsia="Muli" w:cs="Muli" w:asciiTheme="majorHAnsi" w:hAnsiTheme="majorHAnsi"/>
          <w:sz w:val="20"/>
          <w:szCs w:val="20"/>
        </w:rPr>
        <w:t>operates as a franchise or licensed brand under a multinational franchisor or brand owner; or</w:t>
      </w:r>
    </w:p>
    <w:p w14:paraId="1496B17F">
      <w:pPr>
        <w:pStyle w:val="20"/>
        <w:numPr>
          <w:ilvl w:val="2"/>
          <w:numId w:val="3"/>
        </w:numPr>
        <w:spacing w:before="0" w:after="100"/>
        <w:contextualSpacing w:val="0"/>
        <w:rPr>
          <w:highlight w:val="none"/>
        </w:rPr>
      </w:pPr>
      <w:r>
        <w:rPr>
          <w:rFonts w:eastAsia="Muli" w:cs="Muli" w:asciiTheme="majorHAnsi" w:hAnsiTheme="majorHAnsi"/>
          <w:sz w:val="20"/>
          <w:szCs w:val="20"/>
          <w:highlight w:val="none"/>
        </w:rPr>
        <w:t>[owns or controls several brands that were acquired by buying, or buying out, other companies, and is not a small independent operator as defined in the AMAPP].</w:t>
      </w:r>
    </w:p>
    <w:p w14:paraId="3C2D1FE6">
      <w:pPr>
        <w:pStyle w:val="20"/>
        <w:numPr>
          <w:ilvl w:val="1"/>
          <w:numId w:val="3"/>
        </w:numPr>
        <w:spacing w:before="0" w:after="140"/>
        <w:contextualSpacing w:val="0"/>
      </w:pPr>
      <w:r>
        <w:rPr>
          <w:rFonts w:eastAsia="Muli" w:cs="Muli" w:asciiTheme="majorHAnsi" w:hAnsiTheme="majorHAnsi"/>
          <w:b/>
          <w:bCs/>
          <w:sz w:val="20"/>
          <w:szCs w:val="20"/>
        </w:rPr>
        <w:t xml:space="preserve">What is prohibited. </w:t>
      </w:r>
      <w:r>
        <w:rPr>
          <w:rFonts w:eastAsia="Muli" w:cs="Muli" w:asciiTheme="majorHAnsi" w:hAnsiTheme="majorHAnsi"/>
          <w:sz w:val="20"/>
          <w:szCs w:val="20"/>
        </w:rPr>
        <w:t>An MNC must not, directly or indirectly, advertise on, list on, sponsor, fund, co-brand with, or obtain commercial benefit through the Platform. Prohibited conduct includes an MNC: placing, funding or facilitating an advertisement or listing; sponsoring or associating its name or products with a listing; using a subsidiary, shell entity, affiliate, agent, franchisee or Business to circumvent the AMAPP; acquiring control of a listed Business without disclosing it to TWCW; and using a partner or API integration to introduce or facilitate MNC advertising. Employees and principals of an MNC may use the consumer app as ordinary Consumers.</w:t>
      </w:r>
    </w:p>
    <w:p w14:paraId="59E454DE">
      <w:pPr>
        <w:pStyle w:val="20"/>
        <w:numPr>
          <w:ilvl w:val="1"/>
          <w:numId w:val="3"/>
        </w:numPr>
        <w:spacing w:before="0" w:after="140"/>
        <w:contextualSpacing w:val="0"/>
      </w:pPr>
      <w:r>
        <w:rPr>
          <w:rFonts w:eastAsia="Muli" w:cs="Muli" w:asciiTheme="majorHAnsi" w:hAnsiTheme="majorHAnsi"/>
          <w:b/>
          <w:bCs/>
          <w:sz w:val="20"/>
          <w:szCs w:val="20"/>
        </w:rPr>
        <w:t xml:space="preserve">Determinations. </w:t>
      </w:r>
      <w:r>
        <w:rPr>
          <w:rFonts w:eastAsia="Muli" w:cs="Muli" w:asciiTheme="majorHAnsi" w:hAnsiTheme="majorHAnsi"/>
          <w:sz w:val="20"/>
          <w:szCs w:val="20"/>
        </w:rPr>
        <w:t>TWCW may ask a Business for ownership, control, revenue and operating information, may make a reasonable determination from the information available, and may exclude an entity where significant uncertainty remains. You must give a declaration of ownership and control on request.</w:t>
      </w:r>
    </w:p>
    <w:p w14:paraId="4BD540F3">
      <w:pPr>
        <w:pStyle w:val="20"/>
        <w:numPr>
          <w:ilvl w:val="1"/>
          <w:numId w:val="3"/>
        </w:numPr>
        <w:spacing w:before="0" w:after="140"/>
        <w:contextualSpacing w:val="0"/>
      </w:pPr>
      <w:r>
        <w:rPr>
          <w:rFonts w:eastAsia="Muli" w:cs="Muli" w:asciiTheme="majorHAnsi" w:hAnsiTheme="majorHAnsi"/>
          <w:b/>
          <w:bCs/>
          <w:sz w:val="20"/>
          <w:szCs w:val="20"/>
        </w:rPr>
        <w:t xml:space="preserve">Enforcement and objections. </w:t>
      </w:r>
      <w:r>
        <w:rPr>
          <w:rFonts w:eastAsia="Muli" w:cs="Muli" w:asciiTheme="majorHAnsi" w:hAnsiTheme="majorHAnsi"/>
          <w:sz w:val="20"/>
          <w:szCs w:val="20"/>
        </w:rPr>
        <w:t>For a suspected breach, TWCW may issue a notice and corrective-action requirement, suspend access, remove Content, terminate an account, refer the matter to its Advertising Compliance Committee or pursue other lawful remedies. A Business may object under the AMAPP’s written objection procedure (clause 35.4). Where TWCW removes a Business because it misrepresented its eligibility, TWCW need not refund prepaid fees except as the law requires.</w:t>
      </w:r>
    </w:p>
    <w:p w14:paraId="2408CC19">
      <w:pPr>
        <w:pStyle w:val="20"/>
        <w:numPr>
          <w:ilvl w:val="1"/>
          <w:numId w:val="3"/>
        </w:numPr>
        <w:spacing w:before="0" w:after="140"/>
        <w:contextualSpacing w:val="0"/>
      </w:pPr>
      <w:r>
        <w:rPr>
          <w:rFonts w:eastAsia="Muli" w:cs="Muli" w:asciiTheme="majorHAnsi" w:hAnsiTheme="majorHAnsi"/>
          <w:b/>
          <w:bCs/>
          <w:sz w:val="20"/>
          <w:szCs w:val="20"/>
        </w:rPr>
        <w:t xml:space="preserve">Changes. </w:t>
      </w:r>
      <w:r>
        <w:rPr>
          <w:rFonts w:eastAsia="Muli" w:cs="Muli" w:asciiTheme="majorHAnsi" w:hAnsiTheme="majorHAnsi"/>
          <w:sz w:val="20"/>
          <w:szCs w:val="20"/>
        </w:rPr>
        <w:t>Material changes to the AMAPP take effect on at least 30 days’ notice unless Applicable Law requires otherwise.</w:t>
      </w:r>
    </w:p>
    <w:p w14:paraId="32C8DACE">
      <w:pPr>
        <w:pStyle w:val="20"/>
        <w:numPr>
          <w:ilvl w:val="1"/>
          <w:numId w:val="3"/>
        </w:numPr>
        <w:spacing w:before="0" w:after="140"/>
        <w:contextualSpacing w:val="0"/>
      </w:pPr>
      <w:r>
        <w:rPr>
          <w:rFonts w:eastAsia="Muli" w:cs="Muli" w:asciiTheme="majorHAnsi" w:hAnsiTheme="majorHAnsi"/>
          <w:b/>
          <w:bCs/>
          <w:sz w:val="20"/>
          <w:szCs w:val="20"/>
        </w:rPr>
        <w:t xml:space="preserve">Application of the AMAPP. </w:t>
      </w:r>
      <w:r>
        <w:rPr>
          <w:rFonts w:eastAsia="Muli" w:cs="Muli" w:asciiTheme="majorHAnsi" w:hAnsiTheme="majorHAnsi"/>
          <w:sz w:val="20"/>
          <w:szCs w:val="20"/>
        </w:rPr>
        <w:t>TWCW applies the AMAPP in good faith, consistently, and in a way that complies with Applicable Law (including competition and anti-discrimination law), based on the information Businesses give and the checks TWCW reasonably makes. TWCW does not warrant that every Business on the Platform is independent or meets the AMAPP at all times, and a Business must not state or imply that TWCW has certified its independence.</w:t>
      </w:r>
    </w:p>
    <w:p w14:paraId="67C33172">
      <w:pPr>
        <w:keepNext/>
        <w:pBdr>
          <w:bottom w:val="single" w:color="404040" w:sz="6" w:space="4"/>
        </w:pBdr>
        <w:spacing w:before="480" w:after="160"/>
        <w:jc w:val="center"/>
      </w:pPr>
      <w:r>
        <w:rPr>
          <w:rFonts w:eastAsia="Muli" w:cs="Muli" w:asciiTheme="majorHAnsi" w:hAnsiTheme="majorHAnsi"/>
          <w:b/>
          <w:bCs/>
          <w:spacing w:val="20"/>
          <w:sz w:val="20"/>
          <w:szCs w:val="20"/>
        </w:rPr>
        <w:t>PART D — CONTENT AND INTELLECTUAL PROPERTY</w:t>
      </w:r>
    </w:p>
    <w:p w14:paraId="105D830A">
      <w:pPr>
        <w:pStyle w:val="20"/>
        <w:keepNext/>
        <w:numPr>
          <w:ilvl w:val="0"/>
          <w:numId w:val="3"/>
        </w:numPr>
        <w:spacing w:before="300" w:after="140"/>
        <w:contextualSpacing w:val="0"/>
        <w:rPr>
          <w:rFonts w:eastAsia="Muli" w:cs="Muli" w:asciiTheme="majorHAnsi" w:hAnsiTheme="majorHAnsi"/>
          <w:b/>
          <w:bCs/>
          <w:spacing w:val="20"/>
          <w:sz w:val="20"/>
          <w:szCs w:val="20"/>
          <w:u w:val="single"/>
        </w:rPr>
      </w:pPr>
      <w:r>
        <w:rPr>
          <w:rFonts w:eastAsia="Muli" w:cs="Muli" w:asciiTheme="majorHAnsi" w:hAnsiTheme="majorHAnsi"/>
          <w:b/>
          <w:bCs/>
          <w:spacing w:val="20"/>
          <w:sz w:val="20"/>
          <w:szCs w:val="20"/>
          <w:u w:val="single"/>
        </w:rPr>
        <w:t>TWCW’S INTELLECTUAL PROPERTY</w:t>
      </w:r>
    </w:p>
    <w:p w14:paraId="5762A680">
      <w:pPr>
        <w:pStyle w:val="20"/>
        <w:numPr>
          <w:ilvl w:val="1"/>
          <w:numId w:val="3"/>
        </w:numPr>
        <w:spacing w:before="0" w:after="140"/>
        <w:contextualSpacing w:val="0"/>
      </w:pPr>
      <w:r>
        <w:rPr>
          <w:rFonts w:eastAsia="Muli" w:cs="Muli" w:asciiTheme="majorHAnsi" w:hAnsiTheme="majorHAnsi"/>
          <w:b/>
          <w:bCs/>
          <w:sz w:val="20"/>
          <w:szCs w:val="20"/>
        </w:rPr>
        <w:t xml:space="preserve">Ownership. </w:t>
      </w:r>
      <w:r>
        <w:rPr>
          <w:rFonts w:eastAsia="Muli" w:cs="Muli" w:asciiTheme="majorHAnsi" w:hAnsiTheme="majorHAnsi"/>
          <w:sz w:val="20"/>
          <w:szCs w:val="20"/>
        </w:rPr>
        <w:t>The Platform, including its software, design, layout, databases, algorithms, search and discovery systems, trade marks, logos, branding, documentation and TWCW-created Content, is owned by or licensed to TWCW. These Terms do not transfer any ownership to you. You may use our trade marks only as permitted by our written brand guidelines or with our prior written permission.</w:t>
      </w:r>
    </w:p>
    <w:p w14:paraId="17394121">
      <w:pPr>
        <w:pStyle w:val="20"/>
        <w:numPr>
          <w:ilvl w:val="1"/>
          <w:numId w:val="3"/>
        </w:numPr>
        <w:spacing w:before="0" w:after="140"/>
        <w:contextualSpacing w:val="0"/>
      </w:pPr>
      <w:r>
        <w:rPr>
          <w:rFonts w:eastAsia="Muli" w:cs="Muli" w:asciiTheme="majorHAnsi" w:hAnsiTheme="majorHAnsi"/>
          <w:b/>
          <w:bCs/>
          <w:sz w:val="20"/>
          <w:szCs w:val="20"/>
        </w:rPr>
        <w:t xml:space="preserve">Your licence to use the Platform. </w:t>
      </w:r>
      <w:r>
        <w:rPr>
          <w:rFonts w:eastAsia="Muli" w:cs="Muli" w:asciiTheme="majorHAnsi" w:hAnsiTheme="majorHAnsi"/>
          <w:sz w:val="20"/>
          <w:szCs w:val="20"/>
        </w:rPr>
        <w:t>Subject to these Terms, TWCW grants you a limited, personal, non-exclusive, non-transferable, revocable licence to use the Platform for its intended purpose. You must not copy, resell, sublicense, modify, translate, create derivative works from, decompile, reverse-engineer or commercially exploit the Platform, or use it to build a competing service, except to the extent Applicable Law permits despite this restriction. We reserve all rights not expressly granted.</w:t>
      </w:r>
    </w:p>
    <w:p w14:paraId="30B98A46">
      <w:pPr>
        <w:pStyle w:val="20"/>
        <w:numPr>
          <w:ilvl w:val="1"/>
          <w:numId w:val="3"/>
        </w:numPr>
        <w:spacing w:before="0" w:after="140"/>
        <w:contextualSpacing w:val="0"/>
      </w:pPr>
      <w:r>
        <w:rPr>
          <w:rFonts w:eastAsia="Muli" w:cs="Muli" w:asciiTheme="majorHAnsi" w:hAnsiTheme="majorHAnsi"/>
          <w:b/>
          <w:bCs/>
          <w:sz w:val="20"/>
          <w:szCs w:val="20"/>
        </w:rPr>
        <w:t xml:space="preserve">APIs and integrations. </w:t>
      </w:r>
      <w:r>
        <w:rPr>
          <w:rFonts w:eastAsia="Muli" w:cs="Muli" w:asciiTheme="majorHAnsi" w:hAnsiTheme="majorHAnsi"/>
          <w:sz w:val="20"/>
          <w:szCs w:val="20"/>
        </w:rPr>
        <w:t xml:space="preserve">If TWCW gives you access to an application programming interface, software development kit or integration (an </w:t>
      </w:r>
      <w:r>
        <w:rPr>
          <w:rFonts w:eastAsia="Muli" w:cs="Muli" w:asciiTheme="majorHAnsi" w:hAnsiTheme="majorHAnsi"/>
          <w:b/>
          <w:bCs/>
          <w:sz w:val="20"/>
          <w:szCs w:val="20"/>
        </w:rPr>
        <w:t>API</w:t>
      </w:r>
      <w:r>
        <w:rPr>
          <w:rFonts w:eastAsia="Muli" w:cs="Muli" w:asciiTheme="majorHAnsi" w:hAnsiTheme="majorHAnsi"/>
          <w:sz w:val="20"/>
          <w:szCs w:val="20"/>
        </w:rPr>
        <w:t>), you may use it only as TWCW's documentation and any Supplemental Terms permit, within rate limits, and only for your own use of the Platform. You must keep API credentials secure (clause 19.5), must not use an API to build a competing service or to take Consumer Data beyond clause 19, and acknowledge that TWCW may change, limit, suspend or withdraw an API at any time, giving reasonable notice where practicable.</w:t>
      </w:r>
    </w:p>
    <w:p w14:paraId="439D2B7B">
      <w:pPr>
        <w:pStyle w:val="20"/>
        <w:keepNext/>
        <w:numPr>
          <w:ilvl w:val="0"/>
          <w:numId w:val="3"/>
        </w:numPr>
        <w:spacing w:before="300" w:after="140"/>
        <w:contextualSpacing w:val="0"/>
        <w:rPr>
          <w:rFonts w:eastAsia="Muli" w:cs="Muli" w:asciiTheme="majorHAnsi" w:hAnsiTheme="majorHAnsi"/>
          <w:b/>
          <w:bCs/>
          <w:spacing w:val="20"/>
          <w:sz w:val="20"/>
          <w:szCs w:val="20"/>
          <w:u w:val="single"/>
        </w:rPr>
      </w:pPr>
      <w:r>
        <w:rPr>
          <w:rFonts w:eastAsia="Muli" w:cs="Muli" w:asciiTheme="majorHAnsi" w:hAnsiTheme="majorHAnsi"/>
          <w:b/>
          <w:bCs/>
          <w:spacing w:val="20"/>
          <w:sz w:val="20"/>
          <w:szCs w:val="20"/>
          <w:u w:val="single"/>
        </w:rPr>
        <w:t>YOUR CONTENT AND THE LICENCE YOU GIVE US</w:t>
      </w:r>
    </w:p>
    <w:p w14:paraId="7CA747B2">
      <w:pPr>
        <w:pStyle w:val="20"/>
        <w:numPr>
          <w:ilvl w:val="1"/>
          <w:numId w:val="3"/>
        </w:numPr>
        <w:spacing w:before="0" w:after="140"/>
        <w:contextualSpacing w:val="0"/>
      </w:pPr>
      <w:r>
        <w:rPr>
          <w:rFonts w:eastAsia="Muli" w:cs="Muli" w:asciiTheme="majorHAnsi" w:hAnsiTheme="majorHAnsi"/>
          <w:b/>
          <w:bCs/>
          <w:sz w:val="20"/>
          <w:szCs w:val="20"/>
        </w:rPr>
        <w:t xml:space="preserve">You keep ownership. </w:t>
      </w:r>
      <w:r>
        <w:rPr>
          <w:rFonts w:eastAsia="Muli" w:cs="Muli" w:asciiTheme="majorHAnsi" w:hAnsiTheme="majorHAnsi"/>
          <w:sz w:val="20"/>
          <w:szCs w:val="20"/>
        </w:rPr>
        <w:t>You keep ownership of the intellectual property in Content you create and submit, subject to rights held by others. Nothing in these Terms takes away your rights in your own Content, and you remain free to share it elsewhere.</w:t>
      </w:r>
    </w:p>
    <w:p w14:paraId="3A1C9678">
      <w:pPr>
        <w:pStyle w:val="20"/>
        <w:numPr>
          <w:ilvl w:val="1"/>
          <w:numId w:val="3"/>
        </w:numPr>
        <w:spacing w:before="0" w:after="140"/>
        <w:contextualSpacing w:val="0"/>
      </w:pPr>
      <w:r>
        <w:rPr>
          <w:rFonts w:eastAsia="Muli" w:cs="Muli" w:asciiTheme="majorHAnsi" w:hAnsiTheme="majorHAnsi"/>
          <w:b/>
          <w:bCs/>
          <w:sz w:val="20"/>
          <w:szCs w:val="20"/>
        </w:rPr>
        <w:t xml:space="preserve">Licence to us. </w:t>
      </w:r>
      <w:r>
        <w:rPr>
          <w:rFonts w:eastAsia="Muli" w:cs="Muli" w:asciiTheme="majorHAnsi" w:hAnsiTheme="majorHAnsi"/>
          <w:sz w:val="20"/>
          <w:szCs w:val="20"/>
        </w:rPr>
        <w:t>To operate, secure, support, promote and improve the Platform, you grant TWCW a non-exclusive, worldwide, royalty-free, transferable and sub-licensable licence to host, store, use, reproduce, format, transcode, adapt, modify, translate, communicate, distribute, publicly display and perform, and create derivative works from (for example thumbnails, previews, clips and resized or reformatted versions) the Content you submit, consistent with your privacy and account settings. This includes making your Content available to Consumers and to service providers who support the Platform for us.</w:t>
      </w:r>
    </w:p>
    <w:p w14:paraId="7483BFBC">
      <w:pPr>
        <w:pStyle w:val="20"/>
        <w:numPr>
          <w:ilvl w:val="1"/>
          <w:numId w:val="3"/>
        </w:numPr>
        <w:spacing w:before="0" w:after="140"/>
        <w:contextualSpacing w:val="0"/>
      </w:pPr>
      <w:r>
        <w:rPr>
          <w:rFonts w:eastAsia="Muli" w:cs="Muli" w:asciiTheme="majorHAnsi" w:hAnsiTheme="majorHAnsi"/>
          <w:b/>
          <w:bCs/>
          <w:sz w:val="20"/>
          <w:szCs w:val="20"/>
        </w:rPr>
        <w:t xml:space="preserve">Promotional licence for Businesses. </w:t>
      </w:r>
      <w:r>
        <w:rPr>
          <w:rFonts w:eastAsia="Muli" w:cs="Muli" w:asciiTheme="majorHAnsi" w:hAnsiTheme="majorHAnsi"/>
          <w:sz w:val="20"/>
          <w:szCs w:val="20"/>
        </w:rPr>
        <w:t>A Business also grants TWCW a non-exclusive, worldwide, royalty-free licence to use its name, logo, listings and Advertising Content to promote the Platform, including in TWCW’s marketing, social media and press materials. A Business may withdraw this promotional licence for future uses by written notice, but existing published materials need not be recalled.</w:t>
      </w:r>
    </w:p>
    <w:p w14:paraId="1D783C7A">
      <w:pPr>
        <w:pStyle w:val="20"/>
        <w:numPr>
          <w:ilvl w:val="1"/>
          <w:numId w:val="3"/>
        </w:numPr>
        <w:spacing w:before="0" w:after="140"/>
        <w:contextualSpacing w:val="0"/>
      </w:pPr>
      <w:r>
        <w:rPr>
          <w:rFonts w:eastAsia="Muli" w:cs="Muli" w:asciiTheme="majorHAnsi" w:hAnsiTheme="majorHAnsi"/>
          <w:b/>
          <w:bCs/>
          <w:sz w:val="20"/>
          <w:szCs w:val="20"/>
        </w:rPr>
        <w:t xml:space="preserve">Your promises. </w:t>
      </w:r>
      <w:r>
        <w:rPr>
          <w:rFonts w:eastAsia="Muli" w:cs="Muli" w:asciiTheme="majorHAnsi" w:hAnsiTheme="majorHAnsi"/>
          <w:sz w:val="20"/>
          <w:szCs w:val="20"/>
        </w:rPr>
        <w:t>You promise that you own or have all rights, licences and consents needed to submit your Content and to grant the licences in this clause, and that your Content and our use of it as permitted by these Terms will not infringe any law or any person’s rights.</w:t>
      </w:r>
    </w:p>
    <w:p w14:paraId="437E69AC">
      <w:pPr>
        <w:pStyle w:val="20"/>
        <w:numPr>
          <w:ilvl w:val="1"/>
          <w:numId w:val="3"/>
        </w:numPr>
        <w:spacing w:before="0" w:after="140"/>
        <w:contextualSpacing w:val="0"/>
      </w:pPr>
      <w:r>
        <w:rPr>
          <w:rFonts w:eastAsia="Muli" w:cs="Muli" w:asciiTheme="majorHAnsi" w:hAnsiTheme="majorHAnsi"/>
          <w:b/>
          <w:bCs/>
          <w:sz w:val="20"/>
          <w:szCs w:val="20"/>
        </w:rPr>
        <w:t xml:space="preserve">How long the licence lasts and deleting content. </w:t>
      </w:r>
      <w:r>
        <w:rPr>
          <w:rFonts w:eastAsia="Muli" w:cs="Muli" w:asciiTheme="majorHAnsi" w:hAnsiTheme="majorHAnsi"/>
          <w:sz w:val="20"/>
          <w:szCs w:val="20"/>
        </w:rPr>
        <w:t xml:space="preserve">The licence ends when your Content is deleted from our live systems. You can delete individual items of Content at any time, and deleting your account deletes the Content you posted to your personal account. We will complete deletion from live systems within </w:t>
      </w:r>
      <w:r>
        <w:rPr>
          <w:rFonts w:eastAsia="Muli" w:cs="Muli" w:asciiTheme="majorHAnsi" w:hAnsiTheme="majorHAnsi"/>
          <w:sz w:val="20"/>
          <w:szCs w:val="20"/>
          <w:highlight w:val="lightGray"/>
        </w:rPr>
        <w:t>[30]</w:t>
      </w:r>
      <w:r>
        <w:rPr>
          <w:rFonts w:eastAsia="Muli" w:cs="Muli" w:asciiTheme="majorHAnsi" w:hAnsiTheme="majorHAnsi"/>
          <w:sz w:val="20"/>
          <w:szCs w:val="20"/>
        </w:rPr>
        <w:t xml:space="preserve"> days of the request or account closure, and Content will drop out of backups as the backup cycle rolls over. Deletion may not occur, or may be delayed, where: others have used or copied the Content in line with this licence and have not deleted it; it forms part of a shared record such as an Order, review thread or dispute; deletion is technically infeasible (in which case we will delete as soon as feasible); or we must keep it to investigate unlawful activity or breaches, protect the safety and security of the Platform and its Users, comply with legal record-keeping or a request from a court or Regulator, or defend legal claims. In those cases the licence continues until the Content is fully deleted.</w:t>
      </w:r>
    </w:p>
    <w:p w14:paraId="2E568112">
      <w:pPr>
        <w:pStyle w:val="20"/>
        <w:numPr>
          <w:ilvl w:val="1"/>
          <w:numId w:val="3"/>
        </w:numPr>
        <w:spacing w:before="0" w:after="140"/>
        <w:contextualSpacing w:val="0"/>
      </w:pPr>
      <w:r>
        <w:rPr>
          <w:rFonts w:eastAsia="Muli" w:cs="Muli" w:asciiTheme="majorHAnsi" w:hAnsiTheme="majorHAnsi"/>
          <w:b/>
          <w:bCs/>
          <w:sz w:val="20"/>
          <w:szCs w:val="20"/>
        </w:rPr>
        <w:t xml:space="preserve">Our rights over Content. </w:t>
      </w:r>
      <w:r>
        <w:rPr>
          <w:rFonts w:eastAsia="Muli" w:cs="Muli" w:asciiTheme="majorHAnsi" w:hAnsiTheme="majorHAnsi"/>
          <w:sz w:val="20"/>
          <w:szCs w:val="20"/>
        </w:rPr>
        <w:t>Content posted by Users is their own, and does not represent TWCW’s views. TWCW may remove, restrict or refuse to display any Content under clause 26 and clause 17.6. You are responsible for keeping your own copies of your Content and records. TWCW does not promise to keep or be able to restore any Content.</w:t>
      </w:r>
    </w:p>
    <w:p w14:paraId="5EE2A74F">
      <w:pPr>
        <w:pStyle w:val="20"/>
        <w:numPr>
          <w:ilvl w:val="1"/>
          <w:numId w:val="3"/>
        </w:numPr>
        <w:spacing w:before="0" w:after="140"/>
        <w:contextualSpacing w:val="0"/>
      </w:pPr>
      <w:r>
        <w:rPr>
          <w:rFonts w:eastAsia="Muli" w:cs="Muli" w:asciiTheme="majorHAnsi" w:hAnsiTheme="majorHAnsi"/>
          <w:b/>
          <w:bCs/>
          <w:sz w:val="20"/>
          <w:szCs w:val="20"/>
        </w:rPr>
        <w:t xml:space="preserve">Moral rights. </w:t>
      </w:r>
      <w:r>
        <w:rPr>
          <w:rFonts w:eastAsia="Muli" w:cs="Muli" w:asciiTheme="majorHAnsi" w:hAnsiTheme="majorHAnsi"/>
          <w:sz w:val="20"/>
          <w:szCs w:val="20"/>
        </w:rPr>
        <w:t>To the extent that Content you submit contains a work in which any person has moral rights under the Copyright Act 1968 (Cth), you give (and you promise that each individual author or performer of the work has given) genuine, informed and voluntary written consent to TWCW and its licensees doing anything in relation to the work that would otherwise infringe those moral rights. This includes cropping, editing, resizing, transcoding, captioning, adding labels or watermarks, combining the work with other Content, using clips and thumbnails, and publishing it without attribution, in each case for the purposes of clauses 24.2 and 24.3. The consent covers works you submit now and in the future.</w:t>
      </w:r>
    </w:p>
    <w:p w14:paraId="1ACDED2C">
      <w:pPr>
        <w:pStyle w:val="20"/>
        <w:numPr>
          <w:ilvl w:val="1"/>
          <w:numId w:val="3"/>
        </w:numPr>
        <w:spacing w:before="0" w:after="140"/>
        <w:contextualSpacing w:val="0"/>
      </w:pPr>
      <w:r>
        <w:rPr>
          <w:rFonts w:eastAsia="Muli" w:cs="Muli" w:asciiTheme="majorHAnsi" w:hAnsiTheme="majorHAnsi"/>
          <w:b/>
          <w:bCs/>
          <w:sz w:val="20"/>
          <w:szCs w:val="20"/>
        </w:rPr>
        <w:t>Public Content.</w:t>
      </w:r>
      <w:r>
        <w:rPr>
          <w:rFonts w:eastAsia="Muli" w:cs="Muli" w:asciiTheme="majorHAnsi" w:hAnsiTheme="majorHAnsi"/>
          <w:sz w:val="20"/>
          <w:szCs w:val="20"/>
        </w:rPr>
        <w:t xml:space="preserve"> Listings, advertisement videos, product images and shop media are public by design. They are shown to Consumers and other visitors through a content delivery network, and others may view, copy, record or share them. We cannot prevent every copy and, subject to clause 33.2, we are not responsible for what others do with Content you choose to make public. When you delete public Content we remove it from the Platform, but copies made by others and cached copies may remain for a short time.</w:t>
      </w:r>
    </w:p>
    <w:p w14:paraId="1DAA4B5F">
      <w:pPr>
        <w:pStyle w:val="20"/>
        <w:keepNext/>
        <w:numPr>
          <w:ilvl w:val="0"/>
          <w:numId w:val="3"/>
        </w:numPr>
        <w:spacing w:before="300" w:after="140"/>
        <w:contextualSpacing w:val="0"/>
        <w:rPr>
          <w:rFonts w:eastAsia="Muli" w:cs="Muli" w:asciiTheme="majorHAnsi" w:hAnsiTheme="majorHAnsi"/>
          <w:b/>
          <w:bCs/>
          <w:spacing w:val="20"/>
          <w:sz w:val="20"/>
          <w:szCs w:val="20"/>
          <w:u w:val="single"/>
        </w:rPr>
      </w:pPr>
      <w:r>
        <w:rPr>
          <w:rFonts w:eastAsia="Muli" w:cs="Muli" w:asciiTheme="majorHAnsi" w:hAnsiTheme="majorHAnsi"/>
          <w:b/>
          <w:bCs/>
          <w:spacing w:val="20"/>
          <w:sz w:val="20"/>
          <w:szCs w:val="20"/>
          <w:u w:val="single"/>
        </w:rPr>
        <w:t>INTELLECTUAL PROPERTY COMPLAINTS AND TAKEDOWNS</w:t>
      </w:r>
    </w:p>
    <w:p w14:paraId="0550AD4D">
      <w:pPr>
        <w:pStyle w:val="20"/>
        <w:numPr>
          <w:ilvl w:val="1"/>
          <w:numId w:val="3"/>
        </w:numPr>
        <w:spacing w:before="0" w:after="140"/>
        <w:contextualSpacing w:val="0"/>
      </w:pPr>
      <w:r>
        <w:rPr>
          <w:rFonts w:eastAsia="Muli" w:cs="Muli" w:asciiTheme="majorHAnsi" w:hAnsiTheme="majorHAnsi"/>
          <w:b/>
          <w:bCs/>
          <w:sz w:val="20"/>
          <w:szCs w:val="20"/>
        </w:rPr>
        <w:t xml:space="preserve">Making a complaint. </w:t>
      </w:r>
      <w:r>
        <w:rPr>
          <w:rFonts w:eastAsia="Muli" w:cs="Muli" w:asciiTheme="majorHAnsi" w:hAnsiTheme="majorHAnsi"/>
          <w:sz w:val="20"/>
          <w:szCs w:val="20"/>
        </w:rPr>
        <w:t>If you believe Content infringes your intellectual property rights or is otherwise unlawful, email team@1stopapp.com with: your name and contact details; a description of the work or right claimed; the URL or location of the Content on the Platform; why you say it infringes; a statement that you are the owner or authorised to act for the owner; and a statement that the information is accurate.</w:t>
      </w:r>
    </w:p>
    <w:p w14:paraId="0423F713">
      <w:pPr>
        <w:pStyle w:val="20"/>
        <w:numPr>
          <w:ilvl w:val="1"/>
          <w:numId w:val="3"/>
        </w:numPr>
        <w:spacing w:before="0" w:after="140"/>
        <w:contextualSpacing w:val="0"/>
      </w:pPr>
      <w:r>
        <w:rPr>
          <w:rFonts w:eastAsia="Muli" w:cs="Muli" w:asciiTheme="majorHAnsi" w:hAnsiTheme="majorHAnsi"/>
          <w:b/>
          <w:bCs/>
          <w:sz w:val="20"/>
          <w:szCs w:val="20"/>
        </w:rPr>
        <w:t xml:space="preserve">What we may do. </w:t>
      </w:r>
      <w:r>
        <w:rPr>
          <w:rFonts w:eastAsia="Muli" w:cs="Muli" w:asciiTheme="majorHAnsi" w:hAnsiTheme="majorHAnsi"/>
          <w:sz w:val="20"/>
          <w:szCs w:val="20"/>
        </w:rPr>
        <w:t>We may ask for more evidence, remove or restrict access to the Content, tell the User who submitted it, give that User a chance to respond, restore the Content if a complaint is unsupported, or take no action. We may remove Content on a complaint without deciding whether it infringes. Giving a false or bad-faith complaint is a breach of these Terms.</w:t>
      </w:r>
    </w:p>
    <w:p w14:paraId="0B77E463">
      <w:pPr>
        <w:pStyle w:val="20"/>
        <w:numPr>
          <w:ilvl w:val="1"/>
          <w:numId w:val="3"/>
        </w:numPr>
        <w:spacing w:before="0" w:after="140"/>
        <w:contextualSpacing w:val="0"/>
      </w:pPr>
      <w:r>
        <w:rPr>
          <w:rFonts w:eastAsia="Muli" w:cs="Muli" w:asciiTheme="majorHAnsi" w:hAnsiTheme="majorHAnsi"/>
          <w:b/>
          <w:bCs/>
          <w:sz w:val="20"/>
          <w:szCs w:val="20"/>
        </w:rPr>
        <w:t xml:space="preserve">Repeat infringers. </w:t>
      </w:r>
      <w:r>
        <w:rPr>
          <w:rFonts w:eastAsia="Muli" w:cs="Muli" w:asciiTheme="majorHAnsi" w:hAnsiTheme="majorHAnsi"/>
          <w:sz w:val="20"/>
          <w:szCs w:val="20"/>
        </w:rPr>
        <w:t>We may suspend or terminate the account of a User who repeatedly infringes others’ intellectual property rights.</w:t>
      </w:r>
    </w:p>
    <w:p w14:paraId="783BC775">
      <w:pPr>
        <w:pStyle w:val="20"/>
        <w:keepNext/>
        <w:numPr>
          <w:ilvl w:val="0"/>
          <w:numId w:val="3"/>
        </w:numPr>
        <w:spacing w:before="300" w:after="140"/>
        <w:contextualSpacing w:val="0"/>
        <w:rPr>
          <w:rFonts w:eastAsia="Muli" w:cs="Muli" w:asciiTheme="majorHAnsi" w:hAnsiTheme="majorHAnsi"/>
          <w:b/>
          <w:bCs/>
          <w:spacing w:val="20"/>
          <w:sz w:val="20"/>
          <w:szCs w:val="20"/>
          <w:u w:val="single"/>
        </w:rPr>
      </w:pPr>
      <w:r>
        <w:rPr>
          <w:rFonts w:eastAsia="Muli" w:cs="Muli" w:asciiTheme="majorHAnsi" w:hAnsiTheme="majorHAnsi"/>
          <w:b/>
          <w:bCs/>
          <w:spacing w:val="20"/>
          <w:sz w:val="20"/>
          <w:szCs w:val="20"/>
          <w:u w:val="single"/>
        </w:rPr>
        <w:t>REPORTING, MODERATION AND ONLINE SAFETY</w:t>
      </w:r>
    </w:p>
    <w:p w14:paraId="0A252446">
      <w:pPr>
        <w:pStyle w:val="20"/>
        <w:numPr>
          <w:ilvl w:val="1"/>
          <w:numId w:val="3"/>
        </w:numPr>
        <w:spacing w:before="0" w:after="140"/>
        <w:contextualSpacing w:val="0"/>
      </w:pPr>
      <w:r>
        <w:rPr>
          <w:rFonts w:eastAsia="Muli" w:cs="Muli" w:asciiTheme="majorHAnsi" w:hAnsiTheme="majorHAnsi"/>
          <w:b/>
          <w:bCs/>
          <w:sz w:val="20"/>
          <w:szCs w:val="20"/>
        </w:rPr>
        <w:t xml:space="preserve">Reporting. </w:t>
      </w:r>
      <w:r>
        <w:rPr>
          <w:rFonts w:eastAsia="Muli" w:cs="Muli" w:asciiTheme="majorHAnsi" w:hAnsiTheme="majorHAnsi"/>
          <w:sz w:val="20"/>
          <w:szCs w:val="20"/>
        </w:rPr>
        <w:t>Anyone may report Content or conduct they believe breaches these Terms or the law, using the in-app report tool or by emailing team@1stopapp.com. We review reports through our moderation process, which is run by authorised personnel through our administration tools.</w:t>
      </w:r>
    </w:p>
    <w:p w14:paraId="69977933">
      <w:pPr>
        <w:pStyle w:val="20"/>
        <w:numPr>
          <w:ilvl w:val="1"/>
          <w:numId w:val="3"/>
        </w:numPr>
        <w:spacing w:before="0" w:after="140"/>
        <w:contextualSpacing w:val="0"/>
      </w:pPr>
      <w:r>
        <w:rPr>
          <w:rFonts w:eastAsia="Muli" w:cs="Muli" w:asciiTheme="majorHAnsi" w:hAnsiTheme="majorHAnsi"/>
          <w:b/>
          <w:bCs/>
          <w:sz w:val="20"/>
          <w:szCs w:val="20"/>
        </w:rPr>
        <w:t xml:space="preserve">What we may do. </w:t>
      </w:r>
      <w:r>
        <w:rPr>
          <w:rFonts w:eastAsia="Muli" w:cs="Muli" w:asciiTheme="majorHAnsi" w:hAnsiTheme="majorHAnsi"/>
          <w:sz w:val="20"/>
          <w:szCs w:val="20"/>
        </w:rPr>
        <w:t>We may remove or restrict Content, features or accounts; label or demote Content; require changes; notify the person who posted it or reported it; offer help; and refer matters to a Regulator or law enforcement. We may act on our own initiative as well as on reports. We do not promise to monitor all Content and are not required to.</w:t>
      </w:r>
    </w:p>
    <w:p w14:paraId="44CE89A6">
      <w:pPr>
        <w:pStyle w:val="20"/>
        <w:numPr>
          <w:ilvl w:val="1"/>
          <w:numId w:val="3"/>
        </w:numPr>
        <w:spacing w:before="0" w:after="140"/>
        <w:contextualSpacing w:val="0"/>
      </w:pPr>
      <w:r>
        <w:rPr>
          <w:rFonts w:eastAsia="Muli" w:cs="Muli" w:asciiTheme="majorHAnsi" w:hAnsiTheme="majorHAnsi"/>
          <w:b/>
          <w:bCs/>
          <w:sz w:val="20"/>
          <w:szCs w:val="20"/>
        </w:rPr>
        <w:t xml:space="preserve">Notice and review. </w:t>
      </w:r>
      <w:r>
        <w:rPr>
          <w:rFonts w:eastAsia="Muli" w:cs="Muli" w:asciiTheme="majorHAnsi" w:hAnsiTheme="majorHAnsi"/>
          <w:sz w:val="20"/>
          <w:szCs w:val="20"/>
        </w:rPr>
        <w:t>If we remove Content you posted for breaching these Terms, we will let you know and explain any option you have to ask for a review, unless the breach is serious or repeated, or giving notice may expose us or others to legal liability, harm Users, compromise the integrity or operation of the Platform; we are restricted by technical limits; or we are prohibited from doing so by law. To ask for a review, reply to our notice or email team@1stopapp.com with your reasons. We will consider it within a reasonable time.</w:t>
      </w:r>
    </w:p>
    <w:p w14:paraId="15E1284A">
      <w:pPr>
        <w:pStyle w:val="20"/>
        <w:numPr>
          <w:ilvl w:val="1"/>
          <w:numId w:val="3"/>
        </w:numPr>
        <w:spacing w:before="0" w:after="140"/>
        <w:contextualSpacing w:val="0"/>
      </w:pPr>
      <w:r>
        <w:rPr>
          <w:rFonts w:eastAsia="Muli" w:cs="Muli" w:asciiTheme="majorHAnsi" w:hAnsiTheme="majorHAnsi"/>
          <w:b/>
          <w:bCs/>
          <w:sz w:val="20"/>
          <w:szCs w:val="20"/>
        </w:rPr>
        <w:t xml:space="preserve">Online safety and complaints about Content. </w:t>
      </w:r>
      <w:r>
        <w:rPr>
          <w:rFonts w:eastAsia="Muli" w:cs="Muli" w:asciiTheme="majorHAnsi" w:hAnsiTheme="majorHAnsi"/>
          <w:sz w:val="20"/>
          <w:szCs w:val="20"/>
        </w:rPr>
        <w:t>We cooperate with the eSafety Commissioner and other Regulators and will act on lawful notices, including removal notices. Complaints that Content is defamatory, harassing or otherwise harmful should be made in writing to team@1stopapp.com, identifying the Content, why it is said to be unlawful or harmful, and how the complainant can be contacted. We may pass the complaint on to the person who posted the Content and may remove or restrict the Content while we consider it.</w:t>
      </w:r>
    </w:p>
    <w:p w14:paraId="5E6FAC22">
      <w:pPr>
        <w:pStyle w:val="20"/>
        <w:numPr>
          <w:ilvl w:val="1"/>
          <w:numId w:val="3"/>
        </w:numPr>
        <w:spacing w:before="0" w:after="140"/>
        <w:contextualSpacing w:val="0"/>
      </w:pPr>
      <w:r>
        <w:rPr>
          <w:rFonts w:eastAsia="Muli" w:cs="Muli" w:asciiTheme="majorHAnsi" w:hAnsiTheme="majorHAnsi"/>
          <w:b/>
          <w:bCs/>
          <w:sz w:val="20"/>
          <w:szCs w:val="20"/>
        </w:rPr>
        <w:t xml:space="preserve">Fact-checking and context. </w:t>
      </w:r>
      <w:r>
        <w:rPr>
          <w:rFonts w:eastAsia="Muli" w:cs="Muli" w:asciiTheme="majorHAnsi" w:hAnsiTheme="majorHAnsi"/>
          <w:sz w:val="20"/>
          <w:szCs w:val="20"/>
        </w:rPr>
        <w:t>Where Content, including a claim in Advertising Content, appears misleading, we may add a notice or label to provide context.</w:t>
      </w:r>
    </w:p>
    <w:p w14:paraId="36972341">
      <w:pPr>
        <w:pStyle w:val="20"/>
        <w:numPr>
          <w:ilvl w:val="1"/>
          <w:numId w:val="3"/>
        </w:numPr>
        <w:spacing w:before="0" w:after="140"/>
        <w:contextualSpacing w:val="0"/>
      </w:pPr>
      <w:r>
        <w:rPr>
          <w:rFonts w:eastAsia="Muli" w:cs="Muli" w:asciiTheme="majorHAnsi" w:hAnsiTheme="majorHAnsi"/>
          <w:b/>
          <w:bCs/>
          <w:sz w:val="20"/>
          <w:szCs w:val="20"/>
        </w:rPr>
        <w:t>Automated systems and human review.</w:t>
      </w:r>
      <w:r>
        <w:rPr>
          <w:rFonts w:eastAsia="Muli" w:cs="Muli" w:asciiTheme="majorHAnsi" w:hAnsiTheme="majorHAnsi"/>
          <w:sz w:val="20"/>
          <w:szCs w:val="20"/>
        </w:rPr>
        <w:t xml:space="preserve"> Some decisions on the Platform are made automatically or partly automatically. (a) An advertisement or other Content may be taken down or hidden automatically when the number of reports about it reaches a threshold our administrators set, and our administrators may review it and reinstate it. (b) Listings and advertising in your feed are filtered and matched using the categories and preferences you choose (In-App Preferences); we do not score or profile you. (c) Verification of a Business is decided by a person, not automatically. We may add other automated tools in future and will update these Terms and our Privacy Policy when we do. If an automated decision (for example removing Content or suspending an account) significantly affects you, you may ask for a person at TWCW to review it by following the notice we give you under clause 26.3 or by emailing team@1stopapp.com. Content hidden by an automatic takedown may stay unavailable until the review is complete and, subject to clause 33.2, we are not liable for a takedown made in good faith. Our Privacy Policy describes the kinds of automated decisions we make, as Applicable Law requires.</w:t>
      </w:r>
    </w:p>
    <w:p w14:paraId="7FC5A036">
      <w:pPr>
        <w:pStyle w:val="20"/>
        <w:numPr>
          <w:ilvl w:val="1"/>
          <w:numId w:val="3"/>
        </w:numPr>
        <w:spacing w:before="0" w:after="140"/>
        <w:contextualSpacing w:val="0"/>
      </w:pPr>
      <w:r>
        <w:rPr>
          <w:rFonts w:eastAsia="Muli" w:cs="Muli" w:asciiTheme="majorHAnsi" w:hAnsiTheme="majorHAnsi"/>
          <w:b/>
          <w:bCs/>
          <w:sz w:val="20"/>
          <w:szCs w:val="20"/>
        </w:rPr>
        <w:t xml:space="preserve">Defamation and other harmful Content. </w:t>
      </w:r>
      <w:r>
        <w:rPr>
          <w:rFonts w:eastAsia="Muli" w:cs="Muli" w:asciiTheme="majorHAnsi" w:hAnsiTheme="majorHAnsi"/>
          <w:sz w:val="20"/>
          <w:szCs w:val="20"/>
        </w:rPr>
        <w:t xml:space="preserve">We aim to acknowledge a complaint about defamatory or otherwise unlawful Content within </w:t>
      </w:r>
      <w:r>
        <w:rPr>
          <w:rFonts w:eastAsia="Muli" w:cs="Muli" w:asciiTheme="majorHAnsi" w:hAnsiTheme="majorHAnsi"/>
          <w:sz w:val="20"/>
          <w:szCs w:val="20"/>
          <w:highlight w:val="lightGray"/>
        </w:rPr>
        <w:t>[2]</w:t>
      </w:r>
      <w:r>
        <w:rPr>
          <w:rFonts w:eastAsia="Muli" w:cs="Muli" w:asciiTheme="majorHAnsi" w:hAnsiTheme="majorHAnsi"/>
          <w:sz w:val="20"/>
          <w:szCs w:val="20"/>
        </w:rPr>
        <w:t xml:space="preserve"> Business Days and to take reasonable steps (which may include removing or restricting access to the Content) within </w:t>
      </w:r>
      <w:r>
        <w:rPr>
          <w:rFonts w:eastAsia="Muli" w:cs="Muli" w:asciiTheme="majorHAnsi" w:hAnsiTheme="majorHAnsi"/>
          <w:sz w:val="20"/>
          <w:szCs w:val="20"/>
          <w:highlight w:val="lightGray"/>
        </w:rPr>
        <w:t>[7]</w:t>
      </w:r>
      <w:r>
        <w:rPr>
          <w:rFonts w:eastAsia="Muli" w:cs="Muli" w:asciiTheme="majorHAnsi" w:hAnsiTheme="majorHAnsi"/>
          <w:sz w:val="20"/>
          <w:szCs w:val="20"/>
        </w:rPr>
        <w:t xml:space="preserve"> days of receiving a complaint that contains the information in clause 26.4. Unless clause 26.3 applies, we will tell the person who posted the Content so that they can respond. We are not required to decide whether the Content is in fact unlawful. This clause does not limit any defence available to TWCW as a digital intermediary.</w:t>
      </w:r>
    </w:p>
    <w:p w14:paraId="758525F1">
      <w:pPr>
        <w:pStyle w:val="20"/>
        <w:numPr>
          <w:ilvl w:val="1"/>
          <w:numId w:val="3"/>
        </w:numPr>
        <w:spacing w:before="0" w:after="140"/>
        <w:contextualSpacing w:val="0"/>
      </w:pPr>
      <w:r>
        <w:rPr>
          <w:rFonts w:eastAsia="Muli" w:cs="Muli" w:asciiTheme="majorHAnsi" w:hAnsiTheme="majorHAnsi"/>
          <w:b/>
          <w:bCs/>
          <w:sz w:val="20"/>
          <w:szCs w:val="20"/>
        </w:rPr>
        <w:t xml:space="preserve">Safety features. </w:t>
      </w:r>
      <w:r>
        <w:rPr>
          <w:rFonts w:eastAsia="Muli" w:cs="Muli" w:asciiTheme="majorHAnsi" w:hAnsiTheme="majorHAnsi"/>
          <w:sz w:val="20"/>
          <w:szCs w:val="20"/>
        </w:rPr>
        <w:t>Where the Platform offers a block, mute or report feature, you may use it at any time. We do not tolerate objectionable Content (which includes anything described in clause 17.3) and may restrict or remove Users who repeatedly harass others. We aim to act on reports within a reasonable time, and generally within 24 hours for reports of child safety or imminent harm.</w:t>
      </w:r>
    </w:p>
    <w:p w14:paraId="7A1FC1B9">
      <w:pPr>
        <w:pStyle w:val="20"/>
        <w:numPr>
          <w:ilvl w:val="1"/>
          <w:numId w:val="3"/>
        </w:numPr>
        <w:spacing w:before="0" w:after="140"/>
        <w:contextualSpacing w:val="0"/>
      </w:pPr>
      <w:r>
        <w:rPr>
          <w:rFonts w:eastAsia="Muli" w:cs="Muli" w:asciiTheme="majorHAnsi" w:hAnsiTheme="majorHAnsi"/>
          <w:b/>
          <w:bCs/>
          <w:sz w:val="20"/>
          <w:szCs w:val="20"/>
        </w:rPr>
        <w:t xml:space="preserve">Regulator and court directions. </w:t>
      </w:r>
      <w:r>
        <w:rPr>
          <w:rFonts w:eastAsia="Muli" w:cs="Muli" w:asciiTheme="majorHAnsi" w:hAnsiTheme="majorHAnsi"/>
          <w:sz w:val="20"/>
          <w:szCs w:val="20"/>
        </w:rPr>
        <w:t>TWCW may remove or restrict Content or accounts without notice where a Regulator, court or law-enforcement body directs or requests this, including under a removal notice issued under the Online Safety Act 2021 (Cth).</w:t>
      </w:r>
    </w:p>
    <w:p w14:paraId="3A839A6B">
      <w:pPr>
        <w:pStyle w:val="20"/>
        <w:keepNext/>
        <w:numPr>
          <w:ilvl w:val="0"/>
          <w:numId w:val="3"/>
        </w:numPr>
        <w:spacing w:before="300" w:after="140"/>
        <w:contextualSpacing w:val="0"/>
        <w:rPr>
          <w:rFonts w:eastAsia="Muli" w:cs="Muli" w:asciiTheme="majorHAnsi" w:hAnsiTheme="majorHAnsi"/>
          <w:b/>
          <w:bCs/>
          <w:spacing w:val="20"/>
          <w:sz w:val="20"/>
          <w:szCs w:val="20"/>
          <w:u w:val="single"/>
        </w:rPr>
      </w:pPr>
      <w:r>
        <w:rPr>
          <w:rFonts w:eastAsia="Muli" w:cs="Muli" w:asciiTheme="majorHAnsi" w:hAnsiTheme="majorHAnsi"/>
          <w:b/>
          <w:bCs/>
          <w:spacing w:val="20"/>
          <w:sz w:val="20"/>
          <w:szCs w:val="20"/>
          <w:u w:val="single"/>
        </w:rPr>
        <w:t>FEEDBACK</w:t>
      </w:r>
    </w:p>
    <w:p w14:paraId="23C5FB96">
      <w:pPr>
        <w:pStyle w:val="20"/>
        <w:numPr>
          <w:ilvl w:val="1"/>
          <w:numId w:val="3"/>
        </w:numPr>
        <w:spacing w:before="0" w:after="140"/>
        <w:contextualSpacing w:val="0"/>
      </w:pPr>
      <w:r>
        <w:rPr>
          <w:rFonts w:eastAsia="Muli" w:cs="Muli" w:asciiTheme="majorHAnsi" w:hAnsiTheme="majorHAnsi"/>
          <w:sz w:val="20"/>
          <w:szCs w:val="20"/>
        </w:rPr>
        <w:t>We welcome your feedback and suggestions. You agree that TWCW may use feedback and suggestions without restriction and without any obligation to pay you or keep them confidential, and you give TWCW a perpetual, irrevocable, worldwide, royalty-free licence to do so.</w:t>
      </w:r>
    </w:p>
    <w:p w14:paraId="6C100C66">
      <w:pPr>
        <w:keepNext/>
        <w:pBdr>
          <w:bottom w:val="single" w:color="404040" w:sz="6" w:space="4"/>
        </w:pBdr>
        <w:spacing w:before="480" w:after="160"/>
        <w:jc w:val="center"/>
      </w:pPr>
      <w:r>
        <w:rPr>
          <w:rFonts w:eastAsia="Muli" w:cs="Muli" w:asciiTheme="majorHAnsi" w:hAnsiTheme="majorHAnsi"/>
          <w:b/>
          <w:bCs/>
          <w:spacing w:val="20"/>
          <w:sz w:val="20"/>
          <w:szCs w:val="20"/>
        </w:rPr>
        <w:t>PART E — LEGAL TERMS</w:t>
      </w:r>
    </w:p>
    <w:p w14:paraId="372625DB">
      <w:pPr>
        <w:pStyle w:val="20"/>
        <w:keepNext/>
        <w:numPr>
          <w:ilvl w:val="0"/>
          <w:numId w:val="3"/>
        </w:numPr>
        <w:spacing w:before="300" w:after="140"/>
        <w:contextualSpacing w:val="0"/>
        <w:rPr>
          <w:rFonts w:eastAsia="Muli" w:cs="Muli" w:asciiTheme="majorHAnsi" w:hAnsiTheme="majorHAnsi"/>
          <w:b/>
          <w:bCs/>
          <w:spacing w:val="20"/>
          <w:sz w:val="20"/>
          <w:szCs w:val="20"/>
          <w:u w:val="single"/>
        </w:rPr>
      </w:pPr>
      <w:r>
        <w:rPr>
          <w:rFonts w:eastAsia="Muli" w:cs="Muli" w:asciiTheme="majorHAnsi" w:hAnsiTheme="majorHAnsi"/>
          <w:b/>
          <w:bCs/>
          <w:spacing w:val="20"/>
          <w:sz w:val="20"/>
          <w:szCs w:val="20"/>
          <w:u w:val="single"/>
        </w:rPr>
        <w:t>CONFIDENTIALITY</w:t>
      </w:r>
    </w:p>
    <w:p w14:paraId="7529805A">
      <w:pPr>
        <w:pStyle w:val="20"/>
        <w:numPr>
          <w:ilvl w:val="1"/>
          <w:numId w:val="3"/>
        </w:numPr>
        <w:spacing w:before="0" w:after="140"/>
        <w:contextualSpacing w:val="0"/>
      </w:pPr>
      <w:r>
        <w:rPr>
          <w:rFonts w:eastAsia="Muli" w:cs="Muli" w:asciiTheme="majorHAnsi" w:hAnsiTheme="majorHAnsi"/>
          <w:b/>
          <w:bCs/>
          <w:sz w:val="20"/>
          <w:szCs w:val="20"/>
        </w:rPr>
        <w:t>Confidential Information. Confidential Information</w:t>
      </w:r>
      <w:r>
        <w:rPr>
          <w:rFonts w:eastAsia="Muli" w:cs="Muli" w:asciiTheme="majorHAnsi" w:hAnsiTheme="majorHAnsi"/>
          <w:sz w:val="20"/>
          <w:szCs w:val="20"/>
        </w:rPr>
        <w:t xml:space="preserve"> means information that is not public, that a party receives from the other in connection with the Platform, and that is marked or reasonably understood to be confidential. It includes TWCW's pricing, software, APIs, security measures, product plans and beta features, and a Business's non-public sales, pricing, customer and supplier information. Consumer Data and other personal information are also dealt with in clauses 19 and 29, which prevail if there is an inconsistency.</w:t>
      </w:r>
    </w:p>
    <w:p w14:paraId="588255AA">
      <w:pPr>
        <w:pStyle w:val="20"/>
        <w:numPr>
          <w:ilvl w:val="1"/>
          <w:numId w:val="3"/>
        </w:numPr>
        <w:spacing w:before="0" w:after="140"/>
        <w:contextualSpacing w:val="0"/>
      </w:pPr>
      <w:r>
        <w:rPr>
          <w:rFonts w:eastAsia="Muli" w:cs="Muli" w:asciiTheme="majorHAnsi" w:hAnsiTheme="majorHAnsi"/>
          <w:b/>
          <w:bCs/>
          <w:sz w:val="20"/>
          <w:szCs w:val="20"/>
        </w:rPr>
        <w:t xml:space="preserve">Your obligations. </w:t>
      </w:r>
      <w:r>
        <w:rPr>
          <w:rFonts w:eastAsia="Muli" w:cs="Muli" w:asciiTheme="majorHAnsi" w:hAnsiTheme="majorHAnsi"/>
          <w:sz w:val="20"/>
          <w:szCs w:val="20"/>
        </w:rPr>
        <w:t>A party that receives Confidential Information must keep it confidential, use it only to use or provide the Platform and to perform these Terms, protect it with reasonable security, and not disclose it except to its officers, employees, advisers, insurers and service providers who need to know it and are bound to keep it confidential, or as required or permitted by law or by a Regulator, court or the Payment Provider.</w:t>
      </w:r>
    </w:p>
    <w:p w14:paraId="23758B8D">
      <w:pPr>
        <w:pStyle w:val="20"/>
        <w:numPr>
          <w:ilvl w:val="1"/>
          <w:numId w:val="3"/>
        </w:numPr>
        <w:spacing w:before="0" w:after="140"/>
        <w:contextualSpacing w:val="0"/>
      </w:pPr>
      <w:r>
        <w:rPr>
          <w:rFonts w:eastAsia="Muli" w:cs="Muli" w:asciiTheme="majorHAnsi" w:hAnsiTheme="majorHAnsi"/>
          <w:b/>
          <w:bCs/>
          <w:sz w:val="20"/>
          <w:szCs w:val="20"/>
        </w:rPr>
        <w:t xml:space="preserve">Exceptions. </w:t>
      </w:r>
      <w:r>
        <w:rPr>
          <w:rFonts w:eastAsia="Muli" w:cs="Muli" w:asciiTheme="majorHAnsi" w:hAnsiTheme="majorHAnsi"/>
          <w:sz w:val="20"/>
          <w:szCs w:val="20"/>
        </w:rPr>
        <w:t>This clause does not apply to information that is or becomes public other than through a breach of these Terms, that the receiving party already knew, that it developed independently, or that it lawfully received from a third party.</w:t>
      </w:r>
    </w:p>
    <w:p w14:paraId="0A181C07">
      <w:pPr>
        <w:pStyle w:val="20"/>
        <w:numPr>
          <w:ilvl w:val="1"/>
          <w:numId w:val="3"/>
        </w:numPr>
        <w:spacing w:before="0" w:after="140"/>
        <w:contextualSpacing w:val="0"/>
      </w:pPr>
      <w:r>
        <w:rPr>
          <w:rFonts w:eastAsia="Muli" w:cs="Muli" w:asciiTheme="majorHAnsi" w:hAnsiTheme="majorHAnsi"/>
          <w:b/>
          <w:bCs/>
          <w:sz w:val="20"/>
          <w:szCs w:val="20"/>
        </w:rPr>
        <w:t xml:space="preserve">What this clause does not stop. </w:t>
      </w:r>
      <w:r>
        <w:rPr>
          <w:rFonts w:eastAsia="Muli" w:cs="Muli" w:asciiTheme="majorHAnsi" w:hAnsiTheme="majorHAnsi"/>
          <w:sz w:val="20"/>
          <w:szCs w:val="20"/>
        </w:rPr>
        <w:t>Nothing in these Terms stops you from posting a genuine review or comment about your own experience with a Business or with TWCW; making a complaint to, or cooperating with, a Regulator, ombudsman, court or tribunal; obtaining legal, financial or tax advice; or making a disclosure that is protected by law.</w:t>
      </w:r>
    </w:p>
    <w:p w14:paraId="43957B9E">
      <w:pPr>
        <w:pStyle w:val="20"/>
        <w:numPr>
          <w:ilvl w:val="1"/>
          <w:numId w:val="3"/>
        </w:numPr>
        <w:spacing w:before="0" w:after="140"/>
        <w:contextualSpacing w:val="0"/>
      </w:pPr>
      <w:r>
        <w:rPr>
          <w:rFonts w:eastAsia="Muli" w:cs="Muli" w:asciiTheme="majorHAnsi" w:hAnsiTheme="majorHAnsi"/>
          <w:b/>
          <w:bCs/>
          <w:sz w:val="20"/>
          <w:szCs w:val="20"/>
        </w:rPr>
        <w:t xml:space="preserve">Return and survival. </w:t>
      </w:r>
      <w:r>
        <w:rPr>
          <w:rFonts w:eastAsia="Muli" w:cs="Muli" w:asciiTheme="majorHAnsi" w:hAnsiTheme="majorHAnsi"/>
          <w:sz w:val="20"/>
          <w:szCs w:val="20"/>
        </w:rPr>
        <w:t xml:space="preserve">When your access ends, or on request, you must delete or return Confidential Information, except where you must keep it by law. This clause continues for </w:t>
      </w:r>
      <w:r>
        <w:rPr>
          <w:rFonts w:eastAsia="Muli" w:cs="Muli" w:asciiTheme="majorHAnsi" w:hAnsiTheme="majorHAnsi"/>
          <w:sz w:val="20"/>
          <w:szCs w:val="20"/>
          <w:highlight w:val="lightGray"/>
        </w:rPr>
        <w:t>[five]</w:t>
      </w:r>
      <w:r>
        <w:rPr>
          <w:rFonts w:eastAsia="Muli" w:cs="Muli" w:asciiTheme="majorHAnsi" w:hAnsiTheme="majorHAnsi"/>
          <w:sz w:val="20"/>
          <w:szCs w:val="20"/>
        </w:rPr>
        <w:t xml:space="preserve"> years after your access ends, and indefinitely for trade secrets and personal information.</w:t>
      </w:r>
    </w:p>
    <w:p w14:paraId="0CF48D33">
      <w:pPr>
        <w:pStyle w:val="20"/>
        <w:keepNext/>
        <w:numPr>
          <w:ilvl w:val="0"/>
          <w:numId w:val="3"/>
        </w:numPr>
        <w:spacing w:before="300" w:after="140"/>
        <w:contextualSpacing w:val="0"/>
        <w:rPr>
          <w:rFonts w:eastAsia="Muli" w:cs="Muli" w:asciiTheme="majorHAnsi" w:hAnsiTheme="majorHAnsi"/>
          <w:b/>
          <w:bCs/>
          <w:spacing w:val="20"/>
          <w:sz w:val="20"/>
          <w:szCs w:val="20"/>
          <w:u w:val="single"/>
        </w:rPr>
      </w:pPr>
      <w:r>
        <w:rPr>
          <w:rFonts w:eastAsia="Muli" w:cs="Muli" w:asciiTheme="majorHAnsi" w:hAnsiTheme="majorHAnsi"/>
          <w:b/>
          <w:bCs/>
          <w:spacing w:val="20"/>
          <w:sz w:val="20"/>
          <w:szCs w:val="20"/>
          <w:u w:val="single"/>
        </w:rPr>
        <w:t>PRIVACY, DATA AND SECURITY</w:t>
      </w:r>
    </w:p>
    <w:p w14:paraId="4F0BCD56">
      <w:pPr>
        <w:pStyle w:val="20"/>
        <w:numPr>
          <w:ilvl w:val="1"/>
          <w:numId w:val="3"/>
        </w:numPr>
        <w:spacing w:before="0" w:after="140"/>
        <w:contextualSpacing w:val="0"/>
      </w:pPr>
      <w:r>
        <w:rPr>
          <w:rFonts w:eastAsia="Muli" w:cs="Muli" w:asciiTheme="majorHAnsi" w:hAnsiTheme="majorHAnsi"/>
          <w:b/>
          <w:bCs/>
          <w:sz w:val="20"/>
          <w:szCs w:val="20"/>
        </w:rPr>
        <w:t xml:space="preserve">Privacy Policy. </w:t>
      </w:r>
      <w:r>
        <w:rPr>
          <w:rFonts w:eastAsia="Muli" w:cs="Muli" w:asciiTheme="majorHAnsi" w:hAnsiTheme="majorHAnsi"/>
          <w:sz w:val="20"/>
          <w:szCs w:val="20"/>
        </w:rPr>
        <w:t>Our Privacy Policy explains how we collect, use, store, disclose and protect personal information, including customer, merchant, transaction, location, device and technical data, and your rights to access and correct it. If there is an inconsistency about personal information, the Privacy Policy prevails.</w:t>
      </w:r>
    </w:p>
    <w:p w14:paraId="2EB878CD">
      <w:pPr>
        <w:pStyle w:val="20"/>
        <w:numPr>
          <w:ilvl w:val="1"/>
          <w:numId w:val="3"/>
        </w:numPr>
        <w:spacing w:before="0" w:after="140"/>
        <w:contextualSpacing w:val="0"/>
      </w:pPr>
      <w:r>
        <w:rPr>
          <w:rFonts w:eastAsia="Muli" w:cs="Muli" w:asciiTheme="majorHAnsi" w:hAnsiTheme="majorHAnsi"/>
          <w:b/>
          <w:bCs/>
          <w:sz w:val="20"/>
          <w:szCs w:val="20"/>
        </w:rPr>
        <w:t>Limits on our use of data.</w:t>
      </w:r>
      <w:r>
        <w:rPr>
          <w:rFonts w:eastAsia="Muli" w:cs="Muli" w:asciiTheme="majorHAnsi" w:hAnsiTheme="majorHAnsi"/>
          <w:sz w:val="20"/>
          <w:szCs w:val="20"/>
        </w:rPr>
        <w:t xml:space="preserve"> TWCW uses Platform data only to operate, secure, support and improve the Platform, process transactions and fulfil Orders, carry out analytics, service measurement and fraud prevention, provide location-based discovery, and comply with law. TWCW does not sell Consumer personal information; does not provide it to Businesses, advertisers or multinational brands for unrelated advertising profiling; and uses precise location only as needed for discovery and subject to device permissions you give. Personalisation and advertising matching use only your In-App Preferences inside the Platform (Schedule 3). Production Platform data (including our database, media storage, backups and logs) is hosted in the Amazon Web Services Sydney, Australia region to run the Platform. Platform data is not exported to, or shared with, external platforms, other than the Payment Provider, service providers acting for us (clause 29.5) and as the law requires. Some data may be accessed or processed outside Australia as clause 29.5 explains. Any additional use requires a lawful basis and, where required, your consent.</w:t>
      </w:r>
    </w:p>
    <w:p w14:paraId="50DB1B13">
      <w:pPr>
        <w:pStyle w:val="20"/>
        <w:numPr>
          <w:ilvl w:val="1"/>
          <w:numId w:val="3"/>
        </w:numPr>
        <w:spacing w:before="0" w:after="140"/>
        <w:contextualSpacing w:val="0"/>
      </w:pPr>
      <w:r>
        <w:rPr>
          <w:rFonts w:eastAsia="Muli" w:cs="Muli" w:asciiTheme="majorHAnsi" w:hAnsiTheme="majorHAnsi"/>
          <w:b/>
          <w:bCs/>
          <w:sz w:val="20"/>
          <w:szCs w:val="20"/>
        </w:rPr>
        <w:t>Security.</w:t>
      </w:r>
      <w:r>
        <w:rPr>
          <w:rFonts w:eastAsia="Muli" w:cs="Muli" w:asciiTheme="majorHAnsi" w:hAnsiTheme="majorHAnsi"/>
          <w:sz w:val="20"/>
          <w:szCs w:val="20"/>
        </w:rPr>
        <w:t xml:space="preserve"> TWCW takes reasonable steps, appropriate to the nature of the information and the Platform, to protect personal information from misuse, interference, loss and unauthorised access. No online service is completely secure, and we cannot guarantee that the Platform or its data will never be compromised. If an eligible data breach occurs, we will notify the OAIC and affected individuals as the Privacy Act 1988 (Cth) requires. If an incident is likely to result in serious harm to you but the Privacy Act does not require notification, we will still tell you.</w:t>
      </w:r>
    </w:p>
    <w:p w14:paraId="27D5EE8B">
      <w:pPr>
        <w:pStyle w:val="20"/>
        <w:numPr>
          <w:ilvl w:val="1"/>
          <w:numId w:val="3"/>
        </w:numPr>
        <w:spacing w:before="0" w:after="140"/>
        <w:contextualSpacing w:val="0"/>
      </w:pPr>
      <w:r>
        <w:rPr>
          <w:rFonts w:eastAsia="Muli" w:cs="Muli" w:asciiTheme="majorHAnsi" w:hAnsiTheme="majorHAnsi"/>
          <w:b/>
          <w:bCs/>
          <w:sz w:val="20"/>
          <w:szCs w:val="20"/>
        </w:rPr>
        <w:t xml:space="preserve">No data-storage promise. </w:t>
      </w:r>
      <w:r>
        <w:rPr>
          <w:rFonts w:eastAsia="Muli" w:cs="Muli" w:asciiTheme="majorHAnsi" w:hAnsiTheme="majorHAnsi"/>
          <w:sz w:val="20"/>
          <w:szCs w:val="20"/>
        </w:rPr>
        <w:t>The Platform is not a records-storage service. We do not promise to keep, or to be able to restore, any particular data, and you should keep your own records of your Orders, communications and other information you need for your business or legal purposes. Our backups (clause 29.8) exist to recover the Platform as a whole, not to restore an individual User’s data on request.</w:t>
      </w:r>
    </w:p>
    <w:p w14:paraId="327A86D5">
      <w:pPr>
        <w:pStyle w:val="20"/>
        <w:numPr>
          <w:ilvl w:val="1"/>
          <w:numId w:val="3"/>
        </w:numPr>
        <w:spacing w:before="0" w:after="140"/>
        <w:contextualSpacing w:val="0"/>
      </w:pPr>
      <w:r>
        <w:rPr>
          <w:rFonts w:eastAsia="Muli" w:cs="Muli" w:asciiTheme="majorHAnsi" w:hAnsiTheme="majorHAnsi"/>
          <w:b/>
          <w:bCs/>
          <w:sz w:val="20"/>
          <w:szCs w:val="20"/>
        </w:rPr>
        <w:t>Overseas disclosure.</w:t>
      </w:r>
      <w:r>
        <w:rPr>
          <w:rFonts w:eastAsia="Muli" w:cs="Muli" w:asciiTheme="majorHAnsi" w:hAnsiTheme="majorHAnsi"/>
          <w:sz w:val="20"/>
          <w:szCs w:val="20"/>
        </w:rPr>
        <w:t xml:space="preserve"> We use third-party and cloud service providers, and some of them, or their staff, are outside Australia. Our production data is hosted in Australia (Amazon Web Services, Sydney), but the following can access or receive personal information from outside Australia: DotSquares (our app development and support provider), whose support and engineering staff in India may access Platform systems and production data only when needed for support, maintenance or security incidents, under confidentiality obligations; Stripe (payments), in the United States and other countries where it operates; Apple and Google (push notifications, app distribution and Subscriptions), in the United States and other countries; Google Firebase (in-app analytics); and an email service provider (Order, account and verification emails). Our Privacy Policy lists the types of recipients and countries where practicable. Before we engage a provider, we consider what data it would receive and why.</w:t>
      </w:r>
    </w:p>
    <w:p w14:paraId="5B9E2A2E">
      <w:pPr>
        <w:pStyle w:val="20"/>
        <w:numPr>
          <w:ilvl w:val="1"/>
          <w:numId w:val="3"/>
        </w:numPr>
        <w:spacing w:before="0" w:after="140"/>
        <w:contextualSpacing w:val="0"/>
      </w:pPr>
      <w:r>
        <w:rPr>
          <w:rFonts w:eastAsia="Muli" w:cs="Muli" w:asciiTheme="majorHAnsi" w:hAnsiTheme="majorHAnsi"/>
          <w:b/>
          <w:bCs/>
          <w:sz w:val="20"/>
          <w:szCs w:val="20"/>
        </w:rPr>
        <w:t xml:space="preserve">Data we handle and how we handle it. </w:t>
      </w:r>
      <w:r>
        <w:rPr>
          <w:rFonts w:eastAsia="Muli" w:cs="Muli" w:asciiTheme="majorHAnsi" w:hAnsiTheme="majorHAnsi"/>
          <w:sz w:val="20"/>
          <w:szCs w:val="20"/>
        </w:rPr>
        <w:t>Depending on how you use the Platform, we handle the following categories of data:</w:t>
      </w:r>
    </w:p>
    <w:p w14:paraId="326EC1A6">
      <w:pPr>
        <w:pStyle w:val="20"/>
        <w:numPr>
          <w:ilvl w:val="2"/>
          <w:numId w:val="3"/>
        </w:numPr>
        <w:spacing w:before="0" w:after="100"/>
        <w:contextualSpacing w:val="0"/>
      </w:pPr>
      <w:r>
        <w:rPr>
          <w:rFonts w:eastAsia="Muli" w:cs="Muli" w:asciiTheme="majorHAnsi" w:hAnsiTheme="majorHAnsi"/>
          <w:sz w:val="20"/>
          <w:szCs w:val="20"/>
        </w:rPr>
        <w:t>Consumer data, such as name, email address, delivery addresses and phone number, account and profile information, saved items, interests and search terms, reviews and reports, push-notification device tokens, and Orders;</w:t>
      </w:r>
    </w:p>
    <w:p w14:paraId="0CBB24AB">
      <w:pPr>
        <w:pStyle w:val="20"/>
        <w:numPr>
          <w:ilvl w:val="2"/>
          <w:numId w:val="3"/>
        </w:numPr>
        <w:spacing w:before="0" w:after="100"/>
        <w:contextualSpacing w:val="0"/>
      </w:pPr>
      <w:r>
        <w:rPr>
          <w:rFonts w:eastAsia="Muli" w:cs="Muli" w:asciiTheme="majorHAnsi" w:hAnsiTheme="majorHAnsi"/>
          <w:sz w:val="20"/>
          <w:szCs w:val="20"/>
        </w:rPr>
        <w:t>Business data, such as business and shop profile and contact details, product and catalogue information, Advertising Content, Orders and Subscription-related information;</w:t>
      </w:r>
    </w:p>
    <w:p w14:paraId="773BD927">
      <w:pPr>
        <w:pStyle w:val="20"/>
        <w:numPr>
          <w:ilvl w:val="2"/>
          <w:numId w:val="3"/>
        </w:numPr>
        <w:spacing w:before="0" w:after="100"/>
        <w:contextualSpacing w:val="0"/>
      </w:pPr>
      <w:r>
        <w:rPr>
          <w:rFonts w:eastAsia="Muli" w:cs="Muli" w:asciiTheme="majorHAnsi" w:hAnsiTheme="majorHAnsi"/>
          <w:sz w:val="20"/>
          <w:szCs w:val="20"/>
        </w:rPr>
        <w:t>transaction data, such as Order, payment and refund status and Platform Fee and commission records (card numbers and banking credentials are handled by the Payment Provider and are not stored by us, as set out in clause 8.3);</w:t>
      </w:r>
    </w:p>
    <w:p w14:paraId="2F3453D3">
      <w:pPr>
        <w:pStyle w:val="20"/>
        <w:numPr>
          <w:ilvl w:val="2"/>
          <w:numId w:val="3"/>
        </w:numPr>
        <w:spacing w:before="0" w:after="100"/>
        <w:contextualSpacing w:val="0"/>
      </w:pPr>
      <w:r>
        <w:rPr>
          <w:rFonts w:eastAsia="Muli" w:cs="Muli" w:asciiTheme="majorHAnsi" w:hAnsiTheme="majorHAnsi"/>
          <w:sz w:val="20"/>
          <w:szCs w:val="20"/>
        </w:rPr>
        <w:t>media and other Content you upload, such as advertisement videos and product and business images;</w:t>
      </w:r>
    </w:p>
    <w:p w14:paraId="5873A0D6">
      <w:pPr>
        <w:pStyle w:val="20"/>
        <w:numPr>
          <w:ilvl w:val="2"/>
          <w:numId w:val="3"/>
        </w:numPr>
        <w:spacing w:before="0" w:after="100"/>
        <w:contextualSpacing w:val="0"/>
      </w:pPr>
      <w:r>
        <w:rPr>
          <w:rFonts w:eastAsia="Muli" w:cs="Muli" w:asciiTheme="majorHAnsi" w:hAnsiTheme="majorHAnsi"/>
          <w:sz w:val="20"/>
          <w:szCs w:val="20"/>
        </w:rPr>
        <w:t>administrative and moderation records, including records of reports and the actions taken under clause 26, and Platform analytics; and</w:t>
      </w:r>
    </w:p>
    <w:p w14:paraId="483A36C1">
      <w:pPr>
        <w:pStyle w:val="20"/>
        <w:numPr>
          <w:ilvl w:val="2"/>
          <w:numId w:val="3"/>
        </w:numPr>
        <w:spacing w:before="0" w:after="100"/>
        <w:contextualSpacing w:val="0"/>
      </w:pPr>
      <w:r>
        <w:rPr>
          <w:rFonts w:eastAsia="Muli" w:cs="Muli" w:asciiTheme="majorHAnsi" w:hAnsiTheme="majorHAnsi"/>
          <w:sz w:val="20"/>
          <w:szCs w:val="20"/>
        </w:rPr>
        <w:t>identity and business verification documents that Businesses upload, which are held in private storage, can be viewed only by authorised administrators, and whose access is logged.</w:t>
      </w:r>
    </w:p>
    <w:p w14:paraId="2810DF45">
      <w:pPr>
        <w:pStyle w:val="20"/>
        <w:spacing w:before="0" w:after="140"/>
        <w:ind w:left="1134"/>
        <w:contextualSpacing w:val="0"/>
      </w:pPr>
      <w:r>
        <w:rPr>
          <w:rFonts w:eastAsia="Muli" w:cs="Muli" w:asciiTheme="majorHAnsi" w:hAnsiTheme="majorHAnsi"/>
          <w:sz w:val="20"/>
          <w:szCs w:val="20"/>
        </w:rPr>
        <w:t>We handle this data on the following principles: access is limited to what each role and purpose requires (Consumers, Businesses and our authorised personnel can access only the functions and data appropriate to their role); we collect only the information reasonably required to provide the relevant feature; data moves between the apps and our systems using secure communication methods; and access to our administration tools is restricted to authorised personnel. When you place an Order, we share your name, delivery details and Order details with the Business fulfilling it, and that Business can see only the Orders placed with it. Reviews you publish and Business Content are public (clauses 6.4 and 24.8). Card numbers and bank details are entered directly with Stripe and are never received or stored by us. Passwords are stored only in a one-way scrambled form, so nobody at TWCW can see them.</w:t>
      </w:r>
    </w:p>
    <w:p w14:paraId="253BA8F4">
      <w:pPr>
        <w:pStyle w:val="20"/>
        <w:numPr>
          <w:ilvl w:val="1"/>
          <w:numId w:val="3"/>
        </w:numPr>
        <w:spacing w:before="0" w:after="140"/>
        <w:contextualSpacing w:val="0"/>
      </w:pPr>
      <w:r>
        <w:rPr>
          <w:rFonts w:eastAsia="Muli" w:cs="Muli" w:asciiTheme="majorHAnsi" w:hAnsiTheme="majorHAnsi"/>
          <w:b/>
          <w:bCs/>
          <w:sz w:val="20"/>
          <w:szCs w:val="20"/>
        </w:rPr>
        <w:t xml:space="preserve">Security measures. </w:t>
      </w:r>
      <w:r>
        <w:rPr>
          <w:rFonts w:eastAsia="Muli" w:cs="Muli" w:asciiTheme="majorHAnsi" w:hAnsiTheme="majorHAnsi"/>
          <w:sz w:val="20"/>
          <w:szCs w:val="20"/>
        </w:rPr>
        <w:t>Without limiting clause 29.3 (which explains that no online service is completely secure), the measures we use to protect the Platform and its data include the following, as appropriate to the Platform and as they develop over time:</w:t>
      </w:r>
    </w:p>
    <w:p w14:paraId="0366A874">
      <w:pPr>
        <w:pStyle w:val="20"/>
        <w:numPr>
          <w:ilvl w:val="2"/>
          <w:numId w:val="3"/>
        </w:numPr>
        <w:spacing w:before="0" w:after="100"/>
        <w:contextualSpacing w:val="0"/>
      </w:pPr>
      <w:r>
        <w:rPr>
          <w:rFonts w:eastAsia="Muli" w:cs="Muli" w:asciiTheme="majorHAnsi" w:hAnsiTheme="majorHAnsi"/>
          <w:sz w:val="20"/>
          <w:szCs w:val="20"/>
        </w:rPr>
        <w:t>application and interface (API) security designed in line with recognised industry standards, including OWASP;</w:t>
      </w:r>
    </w:p>
    <w:p w14:paraId="327296E3">
      <w:pPr>
        <w:pStyle w:val="20"/>
        <w:numPr>
          <w:ilvl w:val="2"/>
          <w:numId w:val="3"/>
        </w:numPr>
        <w:spacing w:before="0" w:after="100"/>
        <w:contextualSpacing w:val="0"/>
      </w:pPr>
      <w:r>
        <w:rPr>
          <w:rFonts w:eastAsia="Muli" w:cs="Muli" w:asciiTheme="majorHAnsi" w:hAnsiTheme="majorHAnsi"/>
          <w:sz w:val="20"/>
          <w:szCs w:val="20"/>
        </w:rPr>
        <w:t>encryption of data in transit and, using AWS-managed encryption, at rest on our database, backups and file storage;</w:t>
      </w:r>
    </w:p>
    <w:p w14:paraId="7E6B8114">
      <w:pPr>
        <w:pStyle w:val="20"/>
        <w:numPr>
          <w:ilvl w:val="2"/>
          <w:numId w:val="3"/>
        </w:numPr>
        <w:spacing w:before="0" w:after="100"/>
        <w:contextualSpacing w:val="0"/>
      </w:pPr>
      <w:r>
        <w:rPr>
          <w:rFonts w:eastAsia="Muli" w:cs="Muli" w:asciiTheme="majorHAnsi" w:hAnsiTheme="majorHAnsi"/>
          <w:sz w:val="20"/>
          <w:szCs w:val="20"/>
        </w:rPr>
        <w:t>token-based authentication, with session tokens validated on protected requests and expired or revoked where applicable;</w:t>
      </w:r>
    </w:p>
    <w:p w14:paraId="282DB375">
      <w:pPr>
        <w:pStyle w:val="20"/>
        <w:numPr>
          <w:ilvl w:val="2"/>
          <w:numId w:val="3"/>
        </w:numPr>
        <w:spacing w:before="0" w:after="100"/>
        <w:contextualSpacing w:val="0"/>
      </w:pPr>
      <w:r>
        <w:rPr>
          <w:rFonts w:eastAsia="Muli" w:cs="Muli" w:asciiTheme="majorHAnsi" w:hAnsiTheme="majorHAnsi"/>
          <w:sz w:val="20"/>
          <w:szCs w:val="20"/>
        </w:rPr>
        <w:t>role-based access controls, including restricted and monitored administrator access, and checks that a Business can access only its own shop, products and advertisements;</w:t>
      </w:r>
    </w:p>
    <w:p w14:paraId="4EE77B84">
      <w:pPr>
        <w:pStyle w:val="20"/>
        <w:numPr>
          <w:ilvl w:val="2"/>
          <w:numId w:val="3"/>
        </w:numPr>
        <w:spacing w:before="0" w:after="100"/>
        <w:contextualSpacing w:val="0"/>
      </w:pPr>
      <w:r>
        <w:rPr>
          <w:rFonts w:eastAsia="Muli" w:cs="Muli" w:asciiTheme="majorHAnsi" w:hAnsiTheme="majorHAnsi"/>
          <w:sz w:val="20"/>
          <w:szCs w:val="20"/>
        </w:rPr>
        <w:t>validation of data entered into the Platform before it is processed or stored;</w:t>
      </w:r>
    </w:p>
    <w:p w14:paraId="037F6DC8">
      <w:pPr>
        <w:pStyle w:val="20"/>
        <w:numPr>
          <w:ilvl w:val="2"/>
          <w:numId w:val="3"/>
        </w:numPr>
        <w:spacing w:before="0" w:after="100"/>
        <w:contextualSpacing w:val="0"/>
      </w:pPr>
      <w:r>
        <w:rPr>
          <w:rFonts w:eastAsia="Muli" w:cs="Muli" w:asciiTheme="majorHAnsi" w:hAnsiTheme="majorHAnsi"/>
          <w:sz w:val="20"/>
          <w:szCs w:val="20"/>
        </w:rPr>
        <w:t>restricted access to databases, credentials and production systems, with separate staging and production environments;</w:t>
      </w:r>
    </w:p>
    <w:p w14:paraId="3648E915">
      <w:pPr>
        <w:pStyle w:val="20"/>
        <w:numPr>
          <w:ilvl w:val="2"/>
          <w:numId w:val="3"/>
        </w:numPr>
        <w:spacing w:before="0" w:after="100"/>
        <w:contextualSpacing w:val="0"/>
      </w:pPr>
      <w:r>
        <w:rPr>
          <w:rFonts w:eastAsia="Muli" w:cs="Muli" w:asciiTheme="majorHAnsi" w:hAnsiTheme="majorHAnsi"/>
          <w:sz w:val="20"/>
          <w:szCs w:val="20"/>
        </w:rPr>
        <w:t>monitoring and logging of service availability, errors, failed sign-in attempts and security-related events, with passwords, payment credentials, tokens and secret keys kept out of logs wherever practicable;</w:t>
      </w:r>
    </w:p>
    <w:p w14:paraId="0B86F15F">
      <w:pPr>
        <w:pStyle w:val="20"/>
        <w:numPr>
          <w:ilvl w:val="2"/>
          <w:numId w:val="3"/>
        </w:numPr>
        <w:spacing w:before="0" w:after="100"/>
        <w:contextualSpacing w:val="0"/>
      </w:pPr>
      <w:r>
        <w:rPr>
          <w:rFonts w:eastAsia="Muli" w:cs="Muli" w:asciiTheme="majorHAnsi" w:hAnsiTheme="majorHAnsi"/>
          <w:sz w:val="20"/>
          <w:szCs w:val="20"/>
        </w:rPr>
        <w:t>secure development practices, including code review, automated scanning for security vulnerabilities and testing before release; and</w:t>
      </w:r>
    </w:p>
    <w:p w14:paraId="5D1E0049">
      <w:pPr>
        <w:pStyle w:val="20"/>
        <w:numPr>
          <w:ilvl w:val="2"/>
          <w:numId w:val="3"/>
        </w:numPr>
        <w:spacing w:before="0" w:after="100"/>
        <w:contextualSpacing w:val="0"/>
      </w:pPr>
      <w:r>
        <w:rPr>
          <w:rFonts w:eastAsia="Muli" w:cs="Muli" w:asciiTheme="majorHAnsi" w:hAnsiTheme="majorHAnsi"/>
          <w:sz w:val="20"/>
          <w:szCs w:val="20"/>
        </w:rPr>
        <w:t>ongoing software updates, patching and security reviews, including when we add new features, integrations, payment functions or AI-enabled features;</w:t>
      </w:r>
    </w:p>
    <w:p w14:paraId="69D962A2">
      <w:pPr>
        <w:pStyle w:val="20"/>
        <w:numPr>
          <w:ilvl w:val="2"/>
          <w:numId w:val="3"/>
        </w:numPr>
        <w:spacing w:before="0" w:after="100"/>
        <w:contextualSpacing w:val="0"/>
      </w:pPr>
      <w:r>
        <w:rPr>
          <w:rFonts w:eastAsia="Muli" w:cs="Muli" w:asciiTheme="majorHAnsi" w:hAnsiTheme="majorHAnsi"/>
          <w:sz w:val="20"/>
          <w:szCs w:val="20"/>
        </w:rPr>
        <w:t>rate limiting and other protections against automated abuse and repeated login attempts;</w:t>
      </w:r>
    </w:p>
    <w:p w14:paraId="1C682596">
      <w:pPr>
        <w:pStyle w:val="20"/>
        <w:numPr>
          <w:ilvl w:val="2"/>
          <w:numId w:val="3"/>
        </w:numPr>
        <w:spacing w:before="0" w:after="100"/>
        <w:contextualSpacing w:val="0"/>
      </w:pPr>
      <w:r>
        <w:rPr>
          <w:rFonts w:eastAsia="Muli" w:cs="Muli" w:asciiTheme="majorHAnsi" w:hAnsiTheme="majorHAnsi"/>
          <w:sz w:val="20"/>
          <w:szCs w:val="20"/>
        </w:rPr>
        <w:t>payment-card details entered directly into Stripe’s secure payment components, so that card data does not pass through or sit on our servers; and</w:t>
      </w:r>
    </w:p>
    <w:p w14:paraId="73D8AE05">
      <w:pPr>
        <w:pStyle w:val="20"/>
        <w:numPr>
          <w:ilvl w:val="2"/>
          <w:numId w:val="3"/>
        </w:numPr>
        <w:spacing w:before="0" w:after="100"/>
        <w:contextualSpacing w:val="0"/>
      </w:pPr>
      <w:r>
        <w:rPr>
          <w:rFonts w:eastAsia="Muli" w:cs="Muli" w:asciiTheme="majorHAnsi" w:hAnsiTheme="majorHAnsi"/>
          <w:sz w:val="20"/>
          <w:szCs w:val="20"/>
        </w:rPr>
        <w:t>private storage for uploaded files, with sensitive documents available only to authorised administrators.</w:t>
      </w:r>
    </w:p>
    <w:p w14:paraId="659415C7">
      <w:pPr>
        <w:pStyle w:val="20"/>
        <w:spacing w:before="0" w:after="140"/>
        <w:ind w:left="1134"/>
        <w:contextualSpacing w:val="0"/>
      </w:pPr>
      <w:r>
        <w:rPr>
          <w:rFonts w:eastAsia="Muli" w:cs="Muli" w:asciiTheme="majorHAnsi" w:hAnsiTheme="majorHAnsi"/>
          <w:sz w:val="20"/>
          <w:szCs w:val="20"/>
        </w:rPr>
        <w:t>These measures describe our current approach. They are not a warranty that any control will always operate or that any particular result will be achieved, and we may change, replace or add to them at any time in response to new risks, technology or law (clause 29.3).</w:t>
      </w:r>
    </w:p>
    <w:p w14:paraId="5E2D7744">
      <w:pPr>
        <w:pStyle w:val="20"/>
        <w:numPr>
          <w:ilvl w:val="1"/>
          <w:numId w:val="3"/>
        </w:numPr>
        <w:spacing w:before="0" w:after="140"/>
        <w:contextualSpacing w:val="0"/>
      </w:pPr>
      <w:r>
        <w:rPr>
          <w:rFonts w:eastAsia="Muli" w:cs="Muli" w:asciiTheme="majorHAnsi" w:hAnsiTheme="majorHAnsi"/>
          <w:b/>
          <w:bCs/>
          <w:sz w:val="20"/>
          <w:szCs w:val="20"/>
        </w:rPr>
        <w:t>Backups and recovery.</w:t>
      </w:r>
      <w:r>
        <w:rPr>
          <w:rFonts w:eastAsia="Muli" w:cs="Muli" w:asciiTheme="majorHAnsi" w:hAnsiTheme="majorHAnsi"/>
          <w:sz w:val="20"/>
          <w:szCs w:val="20"/>
        </w:rPr>
        <w:t xml:space="preserve"> We keep backups of the Platform’s databases, application files and stored media in the Amazon Web Services Sydney region so that we can restore the Platform after events such as infrastructure failure, data corruption, accidental deletion, a security incident or a faulty software release. Database backups are kept for a rolling period of up to </w:t>
      </w:r>
      <w:r>
        <w:rPr>
          <w:rFonts w:eastAsia="Muli" w:cs="Muli" w:asciiTheme="majorHAnsi" w:hAnsiTheme="majorHAnsi"/>
          <w:sz w:val="20"/>
          <w:szCs w:val="20"/>
          <w:highlight w:val="none"/>
        </w:rPr>
        <w:t>[35]</w:t>
      </w:r>
      <w:r>
        <w:rPr>
          <w:rFonts w:eastAsia="Muli" w:cs="Muli" w:asciiTheme="majorHAnsi" w:hAnsiTheme="majorHAnsi"/>
          <w:sz w:val="20"/>
          <w:szCs w:val="20"/>
        </w:rPr>
        <w:t xml:space="preserve"> days, media files may be kept in earlier versions for recovery for a period, and access to backups is limited to authorised personnel. Deleted data can therefore remain in encrypted backups until they roll over. Backups are for recovering the Platform as a whole and are not a service for restoring an individual User’s data (clause 29.4).</w:t>
      </w:r>
    </w:p>
    <w:p w14:paraId="3D2398E7">
      <w:pPr>
        <w:pStyle w:val="20"/>
        <w:numPr>
          <w:ilvl w:val="1"/>
          <w:numId w:val="3"/>
        </w:numPr>
        <w:spacing w:before="0" w:after="140"/>
        <w:contextualSpacing w:val="0"/>
      </w:pPr>
      <w:r>
        <w:rPr>
          <w:rFonts w:eastAsia="Muli" w:cs="Muli" w:asciiTheme="majorHAnsi" w:hAnsiTheme="majorHAnsi"/>
          <w:b/>
          <w:bCs/>
          <w:sz w:val="20"/>
          <w:szCs w:val="20"/>
        </w:rPr>
        <w:t xml:space="preserve">Retention and deletion. </w:t>
      </w:r>
      <w:r>
        <w:rPr>
          <w:rFonts w:eastAsia="Muli" w:cs="Muli" w:asciiTheme="majorHAnsi" w:hAnsiTheme="majorHAnsi"/>
          <w:sz w:val="20"/>
          <w:szCs w:val="20"/>
        </w:rPr>
        <w:t>We keep personal information and other Platform data only for as long as we reasonably need it to provide the Platform, for the purposes in clause 29.2, and to meet our legal, tax, audit, security, fraud-prevention and dispute-handling obligations and the requirements of Payment Providers. When data is no longer needed we delete or de-identify it, and it drops out of backups as the cycle in clause 29.8 rolls over. Unless a longer period is needed for those reasons, or clause 24.5 or 36.1 applies, we keep data for the following periods:</w:t>
      </w:r>
    </w:p>
    <w:p w14:paraId="23DDAAA1">
      <w:pPr>
        <w:pStyle w:val="20"/>
        <w:numPr>
          <w:ilvl w:val="2"/>
          <w:numId w:val="3"/>
        </w:numPr>
        <w:spacing w:before="0" w:after="100"/>
        <w:contextualSpacing w:val="0"/>
        <w:rPr>
          <w:highlight w:val="none"/>
        </w:rPr>
      </w:pPr>
      <w:r>
        <w:rPr>
          <w:rFonts w:eastAsia="Muli" w:cs="Muli" w:asciiTheme="majorHAnsi" w:hAnsiTheme="majorHAnsi"/>
          <w:sz w:val="20"/>
          <w:szCs w:val="20"/>
        </w:rPr>
        <w:t xml:space="preserve">account and profile data: while your account is open and </w:t>
      </w:r>
      <w:r>
        <w:rPr>
          <w:rFonts w:eastAsia="Muli" w:cs="Muli" w:asciiTheme="majorHAnsi" w:hAnsiTheme="majorHAnsi"/>
          <w:sz w:val="20"/>
          <w:szCs w:val="20"/>
          <w:highlight w:val="none"/>
        </w:rPr>
        <w:t>for [30 days] after you delete it, after which it is purged from live systems (clause 29.8 applies to backups);</w:t>
      </w:r>
    </w:p>
    <w:p w14:paraId="47924956">
      <w:pPr>
        <w:pStyle w:val="20"/>
        <w:numPr>
          <w:ilvl w:val="2"/>
          <w:numId w:val="3"/>
        </w:numPr>
        <w:spacing w:before="0" w:after="100"/>
        <w:contextualSpacing w:val="0"/>
        <w:rPr>
          <w:highlight w:val="none"/>
        </w:rPr>
      </w:pPr>
      <w:r>
        <w:rPr>
          <w:rFonts w:eastAsia="Muli" w:cs="Muli" w:asciiTheme="majorHAnsi" w:hAnsiTheme="majorHAnsi"/>
          <w:sz w:val="20"/>
          <w:szCs w:val="20"/>
          <w:highlight w:val="none"/>
        </w:rPr>
        <w:t xml:space="preserve">Order, transaction, refund and dispute records: [seven years], for tax and company record-keeping, de-identified after your account is deleted so that only the fields those rules require remain;</w:t>
      </w:r>
    </w:p>
    <w:p w14:paraId="4855A27E">
      <w:pPr>
        <w:pStyle w:val="20"/>
        <w:numPr>
          <w:ilvl w:val="2"/>
          <w:numId w:val="3"/>
        </w:numPr>
        <w:spacing w:before="0" w:after="100"/>
        <w:contextualSpacing w:val="0"/>
        <w:rPr>
          <w:highlight w:val="none"/>
        </w:rPr>
      </w:pPr>
      <w:r>
        <w:rPr>
          <w:rFonts w:eastAsia="Muli" w:cs="Muli" w:asciiTheme="majorHAnsi" w:hAnsiTheme="majorHAnsi"/>
          <w:sz w:val="20"/>
          <w:szCs w:val="20"/>
          <w:highlight w:val="none"/>
        </w:rPr>
        <w:t>report and moderation records</w:t>
      </w:r>
      <w:r>
        <w:rPr>
          <w:rFonts w:hint="default" w:eastAsia="Muli" w:cs="Muli" w:asciiTheme="majorHAnsi" w:hAnsiTheme="majorHAnsi"/>
          <w:sz w:val="20"/>
          <w:szCs w:val="20"/>
          <w:highlight w:val="none"/>
          <w:lang w:val="en-US"/>
        </w:rPr>
        <w:t xml:space="preserve"> </w:t>
      </w:r>
      <w:r>
        <w:rPr>
          <w:rFonts w:eastAsia="Muli" w:cs="Muli" w:asciiTheme="majorHAnsi" w:hAnsiTheme="majorHAnsi"/>
          <w:sz w:val="20"/>
          <w:szCs w:val="20"/>
          <w:highlight w:val="none"/>
        </w:rPr>
        <w:t>12 month</w:t>
      </w:r>
      <w:r>
        <w:rPr>
          <w:rFonts w:hint="default" w:eastAsia="Muli" w:cs="Muli" w:asciiTheme="majorHAnsi" w:hAnsiTheme="majorHAnsi"/>
          <w:sz w:val="20"/>
          <w:szCs w:val="20"/>
          <w:highlight w:val="none"/>
          <w:lang w:val="en-US"/>
        </w:rPr>
        <w:t>s</w:t>
      </w:r>
      <w:r>
        <w:rPr>
          <w:rFonts w:eastAsia="Muli" w:cs="Muli" w:asciiTheme="majorHAnsi" w:hAnsiTheme="majorHAnsi"/>
          <w:sz w:val="20"/>
          <w:szCs w:val="20"/>
          <w:highlight w:val="none"/>
        </w:rPr>
        <w:t>;</w:t>
      </w:r>
    </w:p>
    <w:p w14:paraId="2E35EADD">
      <w:pPr>
        <w:pStyle w:val="20"/>
        <w:numPr>
          <w:ilvl w:val="2"/>
          <w:numId w:val="3"/>
        </w:numPr>
        <w:spacing w:before="0" w:after="100"/>
        <w:contextualSpacing w:val="0"/>
        <w:rPr>
          <w:highlight w:val="none"/>
        </w:rPr>
      </w:pPr>
      <w:r>
        <w:rPr>
          <w:rFonts w:eastAsia="Muli" w:cs="Muli" w:asciiTheme="majorHAnsi" w:hAnsiTheme="majorHAnsi"/>
          <w:sz w:val="20"/>
          <w:szCs w:val="20"/>
          <w:highlight w:val="none"/>
        </w:rPr>
        <w:t>messages: 12 months;</w:t>
      </w:r>
    </w:p>
    <w:p w14:paraId="4C634062">
      <w:pPr>
        <w:pStyle w:val="20"/>
        <w:numPr>
          <w:ilvl w:val="2"/>
          <w:numId w:val="3"/>
        </w:numPr>
        <w:spacing w:before="0" w:after="100"/>
        <w:contextualSpacing w:val="0"/>
      </w:pPr>
      <w:r>
        <w:rPr>
          <w:rFonts w:eastAsia="Muli" w:cs="Muli" w:asciiTheme="majorHAnsi" w:hAnsiTheme="majorHAnsi"/>
          <w:sz w:val="20"/>
          <w:szCs w:val="20"/>
          <w:highlight w:val="none"/>
        </w:rPr>
        <w:t>Business verification documents: until [12 months] after the Business’s shop closes, or [90 days] after a rejected verification, unless the law requires longer;</w:t>
      </w:r>
    </w:p>
    <w:p w14:paraId="4378B17B">
      <w:pPr>
        <w:pStyle w:val="20"/>
        <w:numPr>
          <w:ilvl w:val="2"/>
          <w:numId w:val="3"/>
        </w:numPr>
        <w:spacing w:before="0" w:after="100"/>
        <w:contextualSpacing w:val="0"/>
      </w:pPr>
      <w:r>
        <w:rPr>
          <w:rFonts w:eastAsia="Muli" w:cs="Muli" w:asciiTheme="majorHAnsi" w:hAnsiTheme="majorHAnsi"/>
          <w:sz w:val="20"/>
          <w:szCs w:val="20"/>
        </w:rPr>
        <w:t>application log</w:t>
      </w:r>
      <w:r>
        <w:rPr>
          <w:rFonts w:eastAsia="Muli" w:cs="Muli" w:asciiTheme="majorHAnsi" w:hAnsiTheme="majorHAnsi"/>
          <w:sz w:val="20"/>
          <w:szCs w:val="20"/>
          <w:highlight w:val="none"/>
        </w:rPr>
        <w:t>s: [90 days];</w:t>
      </w:r>
    </w:p>
    <w:p w14:paraId="15EE8E9B">
      <w:pPr>
        <w:pStyle w:val="20"/>
        <w:numPr>
          <w:ilvl w:val="2"/>
          <w:numId w:val="3"/>
        </w:numPr>
        <w:spacing w:before="0" w:after="100"/>
        <w:contextualSpacing w:val="0"/>
      </w:pPr>
      <w:r>
        <w:rPr>
          <w:rFonts w:eastAsia="Muli" w:cs="Muli" w:asciiTheme="majorHAnsi" w:hAnsiTheme="majorHAnsi"/>
          <w:sz w:val="20"/>
          <w:szCs w:val="20"/>
        </w:rPr>
        <w:t>records of your acceptance of these Terms: the period in clause 1.5; and</w:t>
      </w:r>
    </w:p>
    <w:p w14:paraId="21A69CB6">
      <w:pPr>
        <w:pStyle w:val="20"/>
        <w:numPr>
          <w:ilvl w:val="2"/>
          <w:numId w:val="3"/>
        </w:numPr>
        <w:spacing w:before="0" w:after="100"/>
        <w:contextualSpacing w:val="0"/>
      </w:pPr>
      <w:r>
        <w:rPr>
          <w:rFonts w:eastAsia="Muli" w:cs="Muli" w:asciiTheme="majorHAnsi" w:hAnsiTheme="majorHAnsi"/>
          <w:sz w:val="20"/>
          <w:szCs w:val="20"/>
        </w:rPr>
        <w:t>expired sessions and one-time codes: removed after they expire.</w:t>
      </w:r>
    </w:p>
    <w:p w14:paraId="133065CC">
      <w:pPr>
        <w:pStyle w:val="20"/>
        <w:numPr>
          <w:ilvl w:val="1"/>
          <w:numId w:val="3"/>
        </w:numPr>
        <w:spacing w:before="0" w:after="140"/>
        <w:contextualSpacing w:val="0"/>
      </w:pPr>
      <w:r>
        <w:rPr>
          <w:rFonts w:eastAsia="Muli" w:cs="Muli" w:asciiTheme="majorHAnsi" w:hAnsiTheme="majorHAnsi"/>
          <w:b/>
          <w:bCs/>
          <w:sz w:val="20"/>
          <w:szCs w:val="20"/>
        </w:rPr>
        <w:t>Our app developer.</w:t>
      </w:r>
      <w:r>
        <w:rPr>
          <w:rFonts w:eastAsia="Muli" w:cs="Muli" w:asciiTheme="majorHAnsi" w:hAnsiTheme="majorHAnsi"/>
          <w:sz w:val="20"/>
          <w:szCs w:val="20"/>
        </w:rPr>
        <w:t xml:space="preserve"> Our app development and support provider, DotSquares, may access Platform systems, including production data, to build, support and secure the Platform. Its access is limited to named engineers, is used only for support, maintenance or incident response, and is logged. DotSquares is required by a written data processing agreement to protect Platform data, keep it confidential, use it only for permitted purposes, delete it at the end of the engagement and tell us of suspected breaches within 24 hours</w:t>
      </w:r>
      <w:r>
        <w:rPr>
          <w:rFonts w:hint="default" w:eastAsia="Muli" w:cs="Muli" w:asciiTheme="majorHAnsi" w:hAnsiTheme="majorHAnsi"/>
          <w:sz w:val="20"/>
          <w:szCs w:val="20"/>
          <w:lang w:val="en-US"/>
        </w:rPr>
        <w:t>.</w:t>
      </w:r>
      <w:r>
        <w:rPr>
          <w:rFonts w:eastAsia="Muli" w:cs="Muli" w:asciiTheme="majorHAnsi" w:hAnsiTheme="majorHAnsi"/>
          <w:sz w:val="20"/>
          <w:szCs w:val="20"/>
        </w:rPr>
        <w:t xml:space="preserve"> We take reasonable steps to make sure it complies and, to the extent the Privacy Act applies, we remain accountable for how it handles personal information on our behalf.</w:t>
      </w:r>
    </w:p>
    <w:p w14:paraId="6FC55D1D">
      <w:pPr>
        <w:pStyle w:val="20"/>
        <w:numPr>
          <w:ilvl w:val="1"/>
          <w:numId w:val="3"/>
        </w:numPr>
        <w:spacing w:before="0" w:after="140"/>
        <w:contextualSpacing w:val="0"/>
      </w:pPr>
      <w:r>
        <w:rPr>
          <w:rFonts w:eastAsia="Muli" w:cs="Muli" w:asciiTheme="majorHAnsi" w:hAnsiTheme="majorHAnsi"/>
          <w:b/>
          <w:bCs/>
          <w:sz w:val="20"/>
          <w:szCs w:val="20"/>
        </w:rPr>
        <w:t>Security incidents.</w:t>
      </w:r>
      <w:r>
        <w:rPr>
          <w:rFonts w:eastAsia="Muli" w:cs="Muli" w:asciiTheme="majorHAnsi" w:hAnsiTheme="majorHAnsi"/>
          <w:sz w:val="20"/>
          <w:szCs w:val="20"/>
        </w:rPr>
        <w:t xml:space="preserve"> If we become aware of an actual or suspected security incident, such as unauthorised access, data exposure, account compromise, a malware event or accidental loss or corruption of data, we will assess it, contain it, investigate its cause, fix and recover affected systems, keep a record of what happened and take steps to reduce the chance of it happening again. Our providers must tell us of a suspected breach involving personal information within 24 hours of becoming aware. We lead the assessment of whether it is an eligible data breach and complete it as soon as practicable and within the time the Privacy Act allows. If the incident is an eligible data breach, we will notify the OAIC and affected individuals as clause 29.3 describes. Where an incident involves a Business’s accounts or a third-party service, we may need to involve that Business or provider, and Businesses must also comply with clause 19.3.</w:t>
      </w:r>
    </w:p>
    <w:p w14:paraId="5517C6E4">
      <w:pPr>
        <w:pStyle w:val="20"/>
        <w:numPr>
          <w:ilvl w:val="1"/>
          <w:numId w:val="3"/>
        </w:numPr>
        <w:spacing w:before="0" w:after="140"/>
        <w:contextualSpacing w:val="0"/>
      </w:pPr>
      <w:r>
        <w:rPr>
          <w:rFonts w:eastAsia="Muli" w:cs="Muli" w:asciiTheme="majorHAnsi" w:hAnsiTheme="majorHAnsi"/>
          <w:b/>
          <w:bCs/>
          <w:sz w:val="20"/>
          <w:szCs w:val="20"/>
        </w:rPr>
        <w:t xml:space="preserve">Your part in keeping data secure. </w:t>
      </w:r>
      <w:r>
        <w:rPr>
          <w:rFonts w:eastAsia="Muli" w:cs="Muli" w:asciiTheme="majorHAnsi" w:hAnsiTheme="majorHAnsi"/>
          <w:sz w:val="20"/>
          <w:szCs w:val="20"/>
        </w:rPr>
        <w:t>Keep your password, verification codes and devices secure, do not share your login with anyone, keep the app up to date, and tell us immediately if you suspect unauthorised access (clause 3.5). Do not put payment-card details, passwords or other unnecessary sensitive information in messages (clause 6.3). Businesses have additional obligations in clause 19. If you find a security weakness in the Platform, tell us at team@1stopapp.com, do not access or keep other Users’ data, and give us reasonable time to fix it before telling anyone else.</w:t>
      </w:r>
    </w:p>
    <w:p w14:paraId="4022ECC3">
      <w:pPr>
        <w:pStyle w:val="20"/>
        <w:numPr>
          <w:ilvl w:val="1"/>
          <w:numId w:val="3"/>
        </w:numPr>
        <w:spacing w:before="0" w:after="140"/>
        <w:contextualSpacing w:val="0"/>
      </w:pPr>
      <w:r>
        <w:rPr>
          <w:rFonts w:eastAsia="Muli" w:cs="Muli" w:asciiTheme="majorHAnsi" w:hAnsiTheme="majorHAnsi"/>
          <w:b/>
          <w:bCs/>
          <w:sz w:val="20"/>
          <w:szCs w:val="20"/>
        </w:rPr>
        <w:t xml:space="preserve">Contact and complaints. </w:t>
      </w:r>
      <w:r>
        <w:rPr>
          <w:rFonts w:eastAsia="Muli" w:cs="Muli" w:asciiTheme="majorHAnsi" w:hAnsiTheme="majorHAnsi"/>
          <w:sz w:val="20"/>
          <w:szCs w:val="20"/>
        </w:rPr>
        <w:t>To access or correct your personal information, or to raise a privacy concern, email team@1stopapp.com. You can view and edit your profile in the app. We will respond to other requests within 30 days. If you are not satisfied, you may complain to the Office of the Australian Information Commissioner at www.oaic.gov.au.</w:t>
      </w:r>
    </w:p>
    <w:p w14:paraId="2A43E67A">
      <w:pPr>
        <w:pStyle w:val="20"/>
        <w:numPr>
          <w:ilvl w:val="1"/>
          <w:numId w:val="3"/>
        </w:numPr>
        <w:spacing w:before="0" w:after="140"/>
        <w:contextualSpacing w:val="0"/>
      </w:pPr>
      <w:r>
        <w:rPr>
          <w:rFonts w:eastAsia="Muli" w:cs="Muli" w:asciiTheme="majorHAnsi" w:hAnsiTheme="majorHAnsi"/>
          <w:b/>
          <w:bCs/>
          <w:sz w:val="20"/>
          <w:szCs w:val="20"/>
        </w:rPr>
        <w:t xml:space="preserve">Cookies, tracking and direct marketing. </w:t>
      </w:r>
      <w:r>
        <w:rPr>
          <w:rFonts w:eastAsia="Muli" w:cs="Muli" w:asciiTheme="majorHAnsi" w:hAnsiTheme="majorHAnsi"/>
          <w:sz w:val="20"/>
          <w:szCs w:val="20"/>
        </w:rPr>
        <w:t>The Platform uses only first-party technologies, in-app usage metrics and your In-App Preferences, as the Cookie and Tracking Policy in Schedule 3 sets out. We do not use third-party advertising or tracking cookies or software kits, cross-site or cross-app tracking, social-media pixels or advertising identifiers, and we do not connect the Platform to external advertising or social platforms to track you. The only analytics we use are in-app usage metrics provided through Google Firebase, and the software kits and APIs we use are functional only and act on our behalf. You can manage your preferences in the Platform settings and your device settings. We send you Marketing Messages only where you have consented or the law permits, and every Marketing Message includes a way to opt out (clause 38.9). Essential service and legal notices are not Marketing Messages.</w:t>
      </w:r>
    </w:p>
    <w:p w14:paraId="477EE532">
      <w:pPr>
        <w:pStyle w:val="20"/>
        <w:numPr>
          <w:ilvl w:val="1"/>
          <w:numId w:val="3"/>
        </w:numPr>
        <w:spacing w:before="0" w:after="140"/>
        <w:contextualSpacing w:val="0"/>
      </w:pPr>
      <w:r>
        <w:rPr>
          <w:rFonts w:eastAsia="Muli" w:cs="Muli" w:asciiTheme="majorHAnsi" w:hAnsiTheme="majorHAnsi"/>
          <w:b/>
          <w:bCs/>
          <w:sz w:val="20"/>
          <w:szCs w:val="20"/>
        </w:rPr>
        <w:t xml:space="preserve">Younger Users. </w:t>
      </w:r>
      <w:r>
        <w:rPr>
          <w:rFonts w:eastAsia="Muli" w:cs="Muli" w:asciiTheme="majorHAnsi" w:hAnsiTheme="majorHAnsi"/>
          <w:sz w:val="20"/>
          <w:szCs w:val="20"/>
        </w:rPr>
        <w:t>If you are under 18, we handle your personal information with extra care, collect only what we need, and do not use it to target advertising to you. We will comply with any children's online privacy code that applies to the Platform from time to time, which may change the features available to you.</w:t>
      </w:r>
    </w:p>
    <w:p w14:paraId="16EA5345">
      <w:pPr>
        <w:pStyle w:val="20"/>
        <w:numPr>
          <w:ilvl w:val="1"/>
          <w:numId w:val="3"/>
        </w:numPr>
        <w:spacing w:before="0" w:after="140"/>
        <w:contextualSpacing w:val="0"/>
      </w:pPr>
      <w:r>
        <w:rPr>
          <w:rFonts w:eastAsia="Muli" w:cs="Muli" w:asciiTheme="majorHAnsi" w:hAnsiTheme="majorHAnsi"/>
          <w:b/>
          <w:bCs/>
          <w:sz w:val="20"/>
          <w:szCs w:val="20"/>
        </w:rPr>
        <w:t>Deleting your account.</w:t>
      </w:r>
      <w:r>
        <w:rPr>
          <w:rFonts w:eastAsia="Muli" w:cs="Muli" w:asciiTheme="majorHAnsi" w:hAnsiTheme="majorHAnsi"/>
          <w:sz w:val="20"/>
          <w:szCs w:val="20"/>
        </w:rPr>
        <w:t xml:space="preserve"> You can delete your account in the app’s profile settings at any time. Deletion removes your profile, addresses, saved items, interests and device tokens from live systems (subject to clauses 24.5 and 29.9). Order and payment records that we must keep for tax and company record-keeping are kept only for the period in clause 29.9 and, after deletion, are de-identified so that only the fields those rules require remain; while a retained record still identifies you it remains personal information. Deleted data may remain in encrypted backups until they roll over (clause 29.8) and is not restored to an individual account. Deleting your account does not cancel Orders, refunds, fees or chargebacks (clause 32.5), and it does not cancel a Subscription billed through the Apple App Store or Google Play: a Business must cancel its Subscription in its app-store settings (clause 15.6).</w:t>
      </w:r>
    </w:p>
    <w:p w14:paraId="485278F0">
      <w:pPr>
        <w:pStyle w:val="20"/>
        <w:numPr>
          <w:ilvl w:val="1"/>
          <w:numId w:val="3"/>
        </w:numPr>
        <w:spacing w:before="0" w:after="140"/>
        <w:contextualSpacing w:val="0"/>
      </w:pPr>
      <w:r>
        <w:rPr>
          <w:rFonts w:eastAsia="Muli" w:cs="Muli" w:asciiTheme="majorHAnsi" w:hAnsiTheme="majorHAnsi"/>
          <w:b/>
          <w:bCs/>
          <w:sz w:val="20"/>
          <w:szCs w:val="20"/>
        </w:rPr>
        <w:t>Who can access your information.</w:t>
      </w:r>
      <w:r>
        <w:rPr>
          <w:rFonts w:eastAsia="Muli" w:cs="Muli" w:asciiTheme="majorHAnsi" w:hAnsiTheme="majorHAnsi"/>
          <w:sz w:val="20"/>
          <w:szCs w:val="20"/>
        </w:rPr>
        <w:t xml:space="preserve"> Consumers, Businesses and our administrators can reach only the functions and data that their role allows. Our administrators may access Platform data to run the Platform, for example to verify Businesses, moderate Content and handle support. DotSquares support staff may access personal information only when needed for a support issue, using named, least-privilege accounts that are logged and reviewed periodically. Access to Business verification documents is limited to authorised administrators and is recorded.</w:t>
      </w:r>
    </w:p>
    <w:p w14:paraId="757883CB">
      <w:pPr>
        <w:pStyle w:val="20"/>
        <w:keepNext/>
        <w:numPr>
          <w:ilvl w:val="0"/>
          <w:numId w:val="3"/>
        </w:numPr>
        <w:spacing w:before="300" w:after="140"/>
        <w:contextualSpacing w:val="0"/>
        <w:rPr>
          <w:rFonts w:eastAsia="Muli" w:cs="Muli" w:asciiTheme="majorHAnsi" w:hAnsiTheme="majorHAnsi"/>
          <w:b/>
          <w:bCs/>
          <w:spacing w:val="20"/>
          <w:sz w:val="20"/>
          <w:szCs w:val="20"/>
          <w:u w:val="single"/>
        </w:rPr>
      </w:pPr>
      <w:r>
        <w:rPr>
          <w:rFonts w:eastAsia="Muli" w:cs="Muli" w:asciiTheme="majorHAnsi" w:hAnsiTheme="majorHAnsi"/>
          <w:b/>
          <w:bCs/>
          <w:spacing w:val="20"/>
          <w:sz w:val="20"/>
          <w:szCs w:val="20"/>
          <w:u w:val="single"/>
        </w:rPr>
        <w:t>THIRD PARTIES, AVAILABILITY AND FUTURE FEATURES</w:t>
      </w:r>
    </w:p>
    <w:p w14:paraId="2FFD3446">
      <w:pPr>
        <w:pStyle w:val="20"/>
        <w:numPr>
          <w:ilvl w:val="1"/>
          <w:numId w:val="3"/>
        </w:numPr>
        <w:spacing w:before="0" w:after="140"/>
        <w:contextualSpacing w:val="0"/>
      </w:pPr>
      <w:r>
        <w:rPr>
          <w:rFonts w:eastAsia="Muli" w:cs="Muli" w:asciiTheme="majorHAnsi" w:hAnsiTheme="majorHAnsi"/>
          <w:b/>
          <w:bCs/>
          <w:sz w:val="20"/>
          <w:szCs w:val="20"/>
        </w:rPr>
        <w:t xml:space="preserve">Availability. </w:t>
      </w:r>
      <w:r>
        <w:rPr>
          <w:rFonts w:eastAsia="Muli" w:cs="Muli" w:asciiTheme="majorHAnsi" w:hAnsiTheme="majorHAnsi"/>
          <w:sz w:val="20"/>
          <w:szCs w:val="20"/>
        </w:rPr>
        <w:t>We aim to keep the Platform available but do not guarantee that it will be uninterrupted, timely, secure or error-free. We may change, suspend, maintain or discontinue any part of it. Any uptime commitment applies only if it is expressly included in a signed order form.</w:t>
      </w:r>
    </w:p>
    <w:p w14:paraId="5F8B5C75">
      <w:pPr>
        <w:pStyle w:val="20"/>
        <w:numPr>
          <w:ilvl w:val="1"/>
          <w:numId w:val="3"/>
        </w:numPr>
        <w:spacing w:before="0" w:after="140"/>
        <w:contextualSpacing w:val="0"/>
      </w:pPr>
      <w:r>
        <w:rPr>
          <w:rFonts w:eastAsia="Muli" w:cs="Muli" w:asciiTheme="majorHAnsi" w:hAnsiTheme="majorHAnsi"/>
          <w:b/>
          <w:bCs/>
          <w:sz w:val="20"/>
          <w:szCs w:val="20"/>
        </w:rPr>
        <w:t>Third-party services.</w:t>
      </w:r>
      <w:r>
        <w:rPr>
          <w:rFonts w:eastAsia="Muli" w:cs="Muli" w:asciiTheme="majorHAnsi" w:hAnsiTheme="majorHAnsi"/>
          <w:sz w:val="20"/>
          <w:szCs w:val="20"/>
        </w:rPr>
        <w:t xml:space="preserve"> The Platform depends on third parties, including payment processors (Stripe, Apple, Google), cloud and hosting providers (including Amazon Web Services and Google Firebase, which also provides our in-app analytics), our app development and support provider (DotSquares), email and communications providers, maps, analytics, logistics providers and app stores. We are not responsible for the acts or omissions, outages, terms, content or privacy practices of independent third parties such as Stripe, Apple, Google, app stores, carriers and the operators of linked sites. Providers that we engage to operate the Platform on our behalf (such as our hosting and development providers) are dealt with in clauses 29.10 and 33. Your use of independent third-party services may be subject to their separate terms. Links to third-party sites are provided for convenience only.</w:t>
      </w:r>
    </w:p>
    <w:p w14:paraId="5C8C2102">
      <w:pPr>
        <w:pStyle w:val="20"/>
        <w:numPr>
          <w:ilvl w:val="1"/>
          <w:numId w:val="3"/>
        </w:numPr>
        <w:spacing w:before="0" w:after="140"/>
        <w:contextualSpacing w:val="0"/>
      </w:pPr>
      <w:r>
        <w:rPr>
          <w:rFonts w:eastAsia="Muli" w:cs="Muli" w:asciiTheme="majorHAnsi" w:hAnsiTheme="majorHAnsi"/>
          <w:b/>
          <w:bCs/>
          <w:sz w:val="20"/>
          <w:szCs w:val="20"/>
        </w:rPr>
        <w:t xml:space="preserve">New and beta features. </w:t>
      </w:r>
      <w:r>
        <w:rPr>
          <w:rFonts w:eastAsia="Muli" w:cs="Muli" w:asciiTheme="majorHAnsi" w:hAnsiTheme="majorHAnsi"/>
          <w:sz w:val="20"/>
          <w:szCs w:val="20"/>
        </w:rPr>
        <w:t>We may introduce features on a trial or beta basis. These are provided as is, may change or be withdrawn, and may be subject to Supplemental Terms.</w:t>
      </w:r>
    </w:p>
    <w:p w14:paraId="0D32F697">
      <w:pPr>
        <w:pStyle w:val="20"/>
        <w:numPr>
          <w:ilvl w:val="1"/>
          <w:numId w:val="3"/>
        </w:numPr>
        <w:spacing w:before="0" w:after="140"/>
        <w:contextualSpacing w:val="0"/>
      </w:pPr>
      <w:r>
        <w:rPr>
          <w:rFonts w:eastAsia="Muli" w:cs="Muli" w:asciiTheme="majorHAnsi" w:hAnsiTheme="majorHAnsi"/>
          <w:b/>
          <w:bCs/>
          <w:sz w:val="20"/>
          <w:szCs w:val="20"/>
        </w:rPr>
        <w:t xml:space="preserve">AI-enabled features. </w:t>
      </w:r>
      <w:r>
        <w:rPr>
          <w:rFonts w:eastAsia="Muli" w:cs="Muli" w:asciiTheme="majorHAnsi" w:hAnsiTheme="majorHAnsi"/>
          <w:sz w:val="20"/>
          <w:szCs w:val="20"/>
        </w:rPr>
        <w:t>If we introduce AI-enabled features, Supplemental Terms will explain what data they use. AI output can be inaccurate or incomplete, and you should check it before relying on it. You remain responsible for any Content you publish using an AI tool. Before we introduce an AI-enabled feature, we will review its security and data-handling implications, including what information would be sent to it and whether an external provider would be involved.</w:t>
      </w:r>
    </w:p>
    <w:p w14:paraId="67489A35">
      <w:pPr>
        <w:pStyle w:val="20"/>
        <w:keepNext/>
        <w:numPr>
          <w:ilvl w:val="0"/>
          <w:numId w:val="3"/>
        </w:numPr>
        <w:spacing w:before="300" w:after="140"/>
        <w:contextualSpacing w:val="0"/>
        <w:rPr>
          <w:rFonts w:eastAsia="Muli" w:cs="Muli" w:asciiTheme="majorHAnsi" w:hAnsiTheme="majorHAnsi"/>
          <w:b/>
          <w:bCs/>
          <w:spacing w:val="20"/>
          <w:sz w:val="20"/>
          <w:szCs w:val="20"/>
          <w:u w:val="single"/>
        </w:rPr>
      </w:pPr>
      <w:r>
        <w:rPr>
          <w:rFonts w:eastAsia="Muli" w:cs="Muli" w:asciiTheme="majorHAnsi" w:hAnsiTheme="majorHAnsi"/>
          <w:b/>
          <w:bCs/>
          <w:spacing w:val="20"/>
          <w:sz w:val="20"/>
          <w:szCs w:val="20"/>
          <w:u w:val="single"/>
        </w:rPr>
        <w:t>MOBILE APPS</w:t>
      </w:r>
    </w:p>
    <w:p w14:paraId="4543BAEE">
      <w:pPr>
        <w:pStyle w:val="20"/>
        <w:numPr>
          <w:ilvl w:val="1"/>
          <w:numId w:val="3"/>
        </w:numPr>
        <w:spacing w:before="0" w:after="140"/>
        <w:contextualSpacing w:val="0"/>
      </w:pPr>
      <w:r>
        <w:rPr>
          <w:rFonts w:eastAsia="Muli" w:cs="Muli" w:asciiTheme="majorHAnsi" w:hAnsiTheme="majorHAnsi"/>
          <w:b/>
          <w:bCs/>
          <w:sz w:val="20"/>
          <w:szCs w:val="20"/>
        </w:rPr>
        <w:t xml:space="preserve">Licence and updates. </w:t>
      </w:r>
      <w:r>
        <w:rPr>
          <w:rFonts w:eastAsia="Muli" w:cs="Muli" w:asciiTheme="majorHAnsi" w:hAnsiTheme="majorHAnsi"/>
          <w:sz w:val="20"/>
          <w:szCs w:val="20"/>
        </w:rPr>
        <w:t>Our mobile apps are licensed, not sold, to you under clause 23.2. You consent to us downloading and installing updates to the app where available. You are responsible for your device, operating system compatibility, and any data charges.</w:t>
      </w:r>
    </w:p>
    <w:p w14:paraId="5A6BDB33">
      <w:pPr>
        <w:pStyle w:val="20"/>
        <w:numPr>
          <w:ilvl w:val="1"/>
          <w:numId w:val="3"/>
        </w:numPr>
        <w:spacing w:before="0" w:after="140"/>
        <w:contextualSpacing w:val="0"/>
      </w:pPr>
      <w:r>
        <w:rPr>
          <w:rFonts w:eastAsia="Muli" w:cs="Muli" w:asciiTheme="majorHAnsi" w:hAnsiTheme="majorHAnsi"/>
          <w:b/>
          <w:bCs/>
          <w:sz w:val="20"/>
          <w:szCs w:val="20"/>
        </w:rPr>
        <w:t xml:space="preserve">App store terms. </w:t>
      </w:r>
      <w:r>
        <w:rPr>
          <w:rFonts w:eastAsia="Muli" w:cs="Muli" w:asciiTheme="majorHAnsi" w:hAnsiTheme="majorHAnsi"/>
          <w:sz w:val="20"/>
          <w:szCs w:val="20"/>
        </w:rPr>
        <w:t>If you download the app from the Apple App Store or Google Play, these Terms are between you and TWCW only, and not with Apple or Google. Apple and Google have no obligation to provide maintenance or support for the app. TWCW (not Apple or Google) is responsible for the app, for any claim relating to it, and for any product claim or intellectual-property claim about it. You must comply with the app store’s terms, and Apple and Google (and their subsidiaries) are third-party beneficiaries of these Terms for the purposes of enforcing them against you where the app store’s terms require this. If the app fails to conform to a warranty that cannot be excluded, you may notify Apple or Google, who may refund any purchase price of the app to the extent required by their terms.</w:t>
      </w:r>
    </w:p>
    <w:p w14:paraId="0EE1E6A5">
      <w:pPr>
        <w:pStyle w:val="20"/>
        <w:numPr>
          <w:ilvl w:val="1"/>
          <w:numId w:val="3"/>
        </w:numPr>
        <w:spacing w:before="0" w:after="140"/>
        <w:contextualSpacing w:val="0"/>
      </w:pPr>
      <w:r>
        <w:rPr>
          <w:rFonts w:eastAsia="Muli" w:cs="Muli" w:asciiTheme="majorHAnsi" w:hAnsiTheme="majorHAnsi"/>
          <w:b/>
          <w:bCs/>
          <w:sz w:val="20"/>
          <w:szCs w:val="20"/>
        </w:rPr>
        <w:t xml:space="preserve">Restrictions. </w:t>
      </w:r>
      <w:r>
        <w:rPr>
          <w:rFonts w:eastAsia="Muli" w:cs="Muli" w:asciiTheme="majorHAnsi" w:hAnsiTheme="majorHAnsi"/>
          <w:sz w:val="20"/>
          <w:szCs w:val="20"/>
        </w:rPr>
        <w:t>You confirm you are not in a country subject to an Australian or US embargo and are not on any government list of prohibited or restricted parties.</w:t>
      </w:r>
    </w:p>
    <w:p w14:paraId="27A1B2D0">
      <w:pPr>
        <w:pStyle w:val="20"/>
        <w:keepNext/>
        <w:numPr>
          <w:ilvl w:val="0"/>
          <w:numId w:val="3"/>
        </w:numPr>
        <w:spacing w:before="300" w:after="140"/>
        <w:contextualSpacing w:val="0"/>
        <w:rPr>
          <w:rFonts w:eastAsia="Muli" w:cs="Muli" w:asciiTheme="majorHAnsi" w:hAnsiTheme="majorHAnsi"/>
          <w:b/>
          <w:bCs/>
          <w:spacing w:val="20"/>
          <w:sz w:val="20"/>
          <w:szCs w:val="20"/>
          <w:u w:val="single"/>
        </w:rPr>
      </w:pPr>
      <w:r>
        <w:rPr>
          <w:rFonts w:eastAsia="Muli" w:cs="Muli" w:asciiTheme="majorHAnsi" w:hAnsiTheme="majorHAnsi"/>
          <w:b/>
          <w:bCs/>
          <w:spacing w:val="20"/>
          <w:sz w:val="20"/>
          <w:szCs w:val="20"/>
          <w:u w:val="single"/>
        </w:rPr>
        <w:t>SUSPENSION, TERMINATION AND WHAT SURVIVES</w:t>
      </w:r>
    </w:p>
    <w:p w14:paraId="7315BAA1">
      <w:pPr>
        <w:pStyle w:val="20"/>
        <w:numPr>
          <w:ilvl w:val="1"/>
          <w:numId w:val="3"/>
        </w:numPr>
        <w:spacing w:before="0" w:after="140"/>
        <w:contextualSpacing w:val="0"/>
      </w:pPr>
      <w:r>
        <w:rPr>
          <w:rFonts w:eastAsia="Muli" w:cs="Muli" w:asciiTheme="majorHAnsi" w:hAnsiTheme="majorHAnsi"/>
          <w:b/>
          <w:bCs/>
          <w:sz w:val="20"/>
          <w:szCs w:val="20"/>
        </w:rPr>
        <w:t xml:space="preserve">When we may act. </w:t>
      </w:r>
      <w:r>
        <w:rPr>
          <w:rFonts w:eastAsia="Muli" w:cs="Muli" w:asciiTheme="majorHAnsi" w:hAnsiTheme="majorHAnsi"/>
          <w:sz w:val="20"/>
          <w:szCs w:val="20"/>
        </w:rPr>
        <w:t>TWCW may restrict, suspend or terminate an account, listing, Order, payment, API key or access to all or part of the Platform where reasonably necessary because of: a breach of these Terms, a policy or Applicable Law; fraud, abuse, safety or security concerns; inaccurate or incomplete information; non-payment or chargeback risk; an AMAPP or eligibility concern; an infringement complaint; a legal, regulatory or third-party request; or a risk of harm to Users, Businesses, TWCW or the Platform.</w:t>
      </w:r>
    </w:p>
    <w:p w14:paraId="244BAF89">
      <w:pPr>
        <w:pStyle w:val="20"/>
        <w:numPr>
          <w:ilvl w:val="1"/>
          <w:numId w:val="3"/>
        </w:numPr>
        <w:spacing w:before="0" w:after="140"/>
        <w:contextualSpacing w:val="0"/>
      </w:pPr>
      <w:r>
        <w:rPr>
          <w:rFonts w:eastAsia="Muli" w:cs="Muli" w:asciiTheme="majorHAnsi" w:hAnsiTheme="majorHAnsi"/>
          <w:b/>
          <w:bCs/>
          <w:sz w:val="20"/>
          <w:szCs w:val="20"/>
        </w:rPr>
        <w:t xml:space="preserve">Notice. </w:t>
      </w:r>
      <w:r>
        <w:rPr>
          <w:rFonts w:eastAsia="Muli" w:cs="Muli" w:asciiTheme="majorHAnsi" w:hAnsiTheme="majorHAnsi"/>
          <w:sz w:val="20"/>
          <w:szCs w:val="20"/>
        </w:rPr>
        <w:t>Where reasonably practicable, we will give notice and an opportunity to respond. We may act immediately for serious, unlawful, fraudulent, unsafe or security-related conduct, or where giving notice may expose us or others to legal liability, harm Users, compromise the Platform, or be prohibited by law. A Business may object through the process in the notice, without limiting any legal right.</w:t>
      </w:r>
    </w:p>
    <w:p w14:paraId="6E607538">
      <w:pPr>
        <w:pStyle w:val="20"/>
        <w:numPr>
          <w:ilvl w:val="1"/>
          <w:numId w:val="3"/>
        </w:numPr>
        <w:spacing w:before="0" w:after="140"/>
        <w:contextualSpacing w:val="0"/>
      </w:pPr>
      <w:r>
        <w:rPr>
          <w:rFonts w:eastAsia="Muli" w:cs="Muli" w:asciiTheme="majorHAnsi" w:hAnsiTheme="majorHAnsi"/>
          <w:b/>
          <w:bCs/>
          <w:sz w:val="20"/>
          <w:szCs w:val="20"/>
        </w:rPr>
        <w:t xml:space="preserve">Records. </w:t>
      </w:r>
      <w:r>
        <w:rPr>
          <w:rFonts w:eastAsia="Muli" w:cs="Muli" w:asciiTheme="majorHAnsi" w:hAnsiTheme="majorHAnsi"/>
          <w:sz w:val="20"/>
          <w:szCs w:val="20"/>
        </w:rPr>
        <w:t>We may keep transaction, listing, account, message, payment and compliance records after suspension or termination for legal, regulatory, security, fraud-prevention, dispute and audit purposes, and may disclose them to a Regulator, law-enforcement body, court, payment provider, affected person or professional adviser where permitted or required by law.</w:t>
      </w:r>
    </w:p>
    <w:p w14:paraId="2474A72B">
      <w:pPr>
        <w:pStyle w:val="20"/>
        <w:numPr>
          <w:ilvl w:val="1"/>
          <w:numId w:val="3"/>
        </w:numPr>
        <w:spacing w:before="0" w:after="140"/>
        <w:contextualSpacing w:val="0"/>
      </w:pPr>
      <w:r>
        <w:rPr>
          <w:rFonts w:eastAsia="Muli" w:cs="Muli" w:asciiTheme="majorHAnsi" w:hAnsiTheme="majorHAnsi"/>
          <w:b/>
          <w:bCs/>
          <w:sz w:val="20"/>
          <w:szCs w:val="20"/>
        </w:rPr>
        <w:t xml:space="preserve">Effect on Businesses. </w:t>
      </w:r>
      <w:r>
        <w:rPr>
          <w:rFonts w:eastAsia="Muli" w:cs="Muli" w:asciiTheme="majorHAnsi" w:hAnsiTheme="majorHAnsi"/>
          <w:sz w:val="20"/>
          <w:szCs w:val="20"/>
        </w:rPr>
        <w:t>On termination or suspension of a Business, its listings may be removed, and open Orders must still be honoured or refunded. Clause 16 continues to apply to funds, refunds and chargebacks.</w:t>
      </w:r>
    </w:p>
    <w:p w14:paraId="62EC6260">
      <w:pPr>
        <w:pStyle w:val="20"/>
        <w:numPr>
          <w:ilvl w:val="1"/>
          <w:numId w:val="3"/>
        </w:numPr>
        <w:spacing w:before="0" w:after="140"/>
        <w:contextualSpacing w:val="0"/>
      </w:pPr>
      <w:r>
        <w:rPr>
          <w:rFonts w:eastAsia="Muli" w:cs="Muli" w:asciiTheme="majorHAnsi" w:hAnsiTheme="majorHAnsi"/>
          <w:b/>
          <w:bCs/>
          <w:sz w:val="20"/>
          <w:szCs w:val="20"/>
        </w:rPr>
        <w:t xml:space="preserve">What survives. </w:t>
      </w:r>
      <w:r>
        <w:rPr>
          <w:rFonts w:eastAsia="Muli" w:cs="Muli" w:asciiTheme="majorHAnsi" w:hAnsiTheme="majorHAnsi"/>
          <w:sz w:val="20"/>
          <w:szCs w:val="20"/>
        </w:rPr>
        <w:t>Closure or termination does not discharge unpaid fees, accepted Orders, refund and chargeback obligations, data and privacy obligations, licences needed for records, indemnities, clauses 1.3, 16.4, 19, 24.5, 32.3 to 32.5, 33, 34, 35, 36 and 38, or any other provision intended to survive.</w:t>
      </w:r>
    </w:p>
    <w:p w14:paraId="2641FF77">
      <w:pPr>
        <w:pStyle w:val="20"/>
        <w:keepNext/>
        <w:numPr>
          <w:ilvl w:val="0"/>
          <w:numId w:val="3"/>
        </w:numPr>
        <w:spacing w:before="300" w:after="140"/>
        <w:contextualSpacing w:val="0"/>
        <w:rPr>
          <w:rFonts w:eastAsia="Muli" w:cs="Muli" w:asciiTheme="majorHAnsi" w:hAnsiTheme="majorHAnsi"/>
          <w:b/>
          <w:bCs/>
          <w:spacing w:val="20"/>
          <w:sz w:val="20"/>
          <w:szCs w:val="20"/>
          <w:u w:val="single"/>
        </w:rPr>
      </w:pPr>
      <w:r>
        <w:rPr>
          <w:rFonts w:eastAsia="Muli" w:cs="Muli" w:asciiTheme="majorHAnsi" w:hAnsiTheme="majorHAnsi"/>
          <w:b/>
          <w:bCs/>
          <w:spacing w:val="20"/>
          <w:sz w:val="20"/>
          <w:szCs w:val="20"/>
          <w:u w:val="single"/>
        </w:rPr>
        <w:t>LIABILITY</w:t>
      </w:r>
    </w:p>
    <w:p w14:paraId="03A10699">
      <w:pPr>
        <w:pStyle w:val="20"/>
        <w:numPr>
          <w:ilvl w:val="1"/>
          <w:numId w:val="3"/>
        </w:numPr>
        <w:spacing w:before="0" w:after="140"/>
        <w:contextualSpacing w:val="0"/>
      </w:pPr>
      <w:r>
        <w:rPr>
          <w:rFonts w:eastAsia="Muli" w:cs="Muli" w:asciiTheme="majorHAnsi" w:hAnsiTheme="majorHAnsi"/>
          <w:b/>
          <w:bCs/>
          <w:sz w:val="20"/>
          <w:szCs w:val="20"/>
        </w:rPr>
        <w:t xml:space="preserve">Separate liability of TWCW and Businesses. </w:t>
      </w:r>
      <w:r>
        <w:rPr>
          <w:rFonts w:eastAsia="Muli" w:cs="Muli" w:asciiTheme="majorHAnsi" w:hAnsiTheme="majorHAnsi"/>
          <w:sz w:val="20"/>
          <w:szCs w:val="20"/>
        </w:rPr>
        <w:t>TWCW and each Business are separate legal parties. TWCW does not assume, and a Business does not assume, the other’s debts, taxes, contracts, employees, products, services, representations, regulatory obligations or liabilities merely because it uses or appears on the Platform. A claim about a Business’s goods, services, listing, trading conduct, delivery or Sale Contract should be made against that Business. A claim about the operation of the Platform, or a service supplied by TWCW itself, should be made against TWCW. This does not exclude or limit liability the law imposes on either of them.</w:t>
      </w:r>
    </w:p>
    <w:p w14:paraId="2F28CBE6">
      <w:pPr>
        <w:pStyle w:val="20"/>
        <w:numPr>
          <w:ilvl w:val="1"/>
          <w:numId w:val="3"/>
        </w:numPr>
        <w:spacing w:before="0" w:after="140"/>
        <w:contextualSpacing w:val="0"/>
      </w:pPr>
      <w:r>
        <w:rPr>
          <w:rFonts w:eastAsia="Muli" w:cs="Muli" w:asciiTheme="majorHAnsi" w:hAnsiTheme="majorHAnsi"/>
          <w:b/>
          <w:bCs/>
          <w:sz w:val="20"/>
          <w:szCs w:val="20"/>
        </w:rPr>
        <w:t xml:space="preserve">Rights that cannot be excluded. </w:t>
      </w:r>
      <w:r>
        <w:rPr>
          <w:rFonts w:eastAsia="Muli" w:cs="Muli" w:asciiTheme="majorHAnsi" w:hAnsiTheme="majorHAnsi"/>
          <w:sz w:val="20"/>
          <w:szCs w:val="20"/>
        </w:rPr>
        <w:t>Nothing in these Terms excludes, restricts or modifies any guarantee, condition, warranty, right or remedy that cannot lawfully be excluded, restricted or modified, including under the ACL. If you acquire a service from TWCW as a consumer, this clause 33 is subject to those guarantees and remedies.</w:t>
      </w:r>
    </w:p>
    <w:p w14:paraId="2F1845C4">
      <w:pPr>
        <w:pStyle w:val="20"/>
        <w:numPr>
          <w:ilvl w:val="1"/>
          <w:numId w:val="3"/>
        </w:numPr>
        <w:spacing w:before="0" w:after="140"/>
        <w:contextualSpacing w:val="0"/>
      </w:pPr>
      <w:r>
        <w:rPr>
          <w:rFonts w:eastAsia="Muli" w:cs="Muli" w:asciiTheme="majorHAnsi" w:hAnsiTheme="majorHAnsi"/>
          <w:b/>
          <w:bCs/>
          <w:sz w:val="20"/>
          <w:szCs w:val="20"/>
        </w:rPr>
        <w:t xml:space="preserve">Our standard of care. </w:t>
      </w:r>
      <w:r>
        <w:rPr>
          <w:rFonts w:eastAsia="Muli" w:cs="Muli" w:asciiTheme="majorHAnsi" w:hAnsiTheme="majorHAnsi"/>
          <w:sz w:val="20"/>
          <w:szCs w:val="20"/>
        </w:rPr>
        <w:t>We will provide the Platform with due care and skill. But we cannot guarantee that it will always function without disruptions, delays or imperfections.</w:t>
      </w:r>
    </w:p>
    <w:p w14:paraId="40277D10">
      <w:pPr>
        <w:pStyle w:val="20"/>
        <w:numPr>
          <w:ilvl w:val="1"/>
          <w:numId w:val="3"/>
        </w:numPr>
        <w:spacing w:before="0" w:after="140"/>
        <w:contextualSpacing w:val="0"/>
      </w:pPr>
      <w:r>
        <w:rPr>
          <w:rFonts w:eastAsia="Muli" w:cs="Muli" w:asciiTheme="majorHAnsi" w:hAnsiTheme="majorHAnsi"/>
          <w:b/>
          <w:bCs/>
          <w:sz w:val="20"/>
          <w:szCs w:val="20"/>
        </w:rPr>
        <w:t xml:space="preserve">Disclaimers. </w:t>
      </w:r>
      <w:r>
        <w:rPr>
          <w:rFonts w:eastAsia="Muli" w:cs="Muli" w:asciiTheme="majorHAnsi" w:hAnsiTheme="majorHAnsi"/>
          <w:sz w:val="20"/>
          <w:szCs w:val="20"/>
        </w:rPr>
        <w:t>To the maximum extent permitted by law, the Platform is provided “as available”, and TWCW does not warrant that: the Platform will be uninterrupted, timely, secure or error-free; listings, reviews, Business information or other Content are accurate or complete; a Business or Consumer will perform its obligations; goods or services will be available, safe, suitable, lawful or fit for your purpose; or using the Platform will produce any commercial result. Subject to clause 33.2, TWCW is not responsible for the following unless caused by our breach of these Terms or our negligence: any Business’s goods, services, listings, delivery, conduct, omissions, taxes, employees, contractors, warranties or legal compliance; offensive, unlawful or inappropriate Content posted by others; the actions or conduct of any User, online or offline, including in-person dealings; or events beyond our reasonable control.</w:t>
      </w:r>
    </w:p>
    <w:p w14:paraId="1BCB90B4">
      <w:pPr>
        <w:pStyle w:val="20"/>
        <w:numPr>
          <w:ilvl w:val="1"/>
          <w:numId w:val="3"/>
        </w:numPr>
        <w:spacing w:before="0" w:after="140"/>
        <w:contextualSpacing w:val="0"/>
      </w:pPr>
      <w:r>
        <w:rPr>
          <w:rFonts w:eastAsia="Muli" w:cs="Muli" w:asciiTheme="majorHAnsi" w:hAnsiTheme="majorHAnsi"/>
          <w:b/>
          <w:bCs/>
          <w:sz w:val="20"/>
          <w:szCs w:val="20"/>
        </w:rPr>
        <w:t xml:space="preserve">Indirect loss. </w:t>
      </w:r>
      <w:r>
        <w:rPr>
          <w:rFonts w:eastAsia="Muli" w:cs="Muli" w:asciiTheme="majorHAnsi" w:hAnsiTheme="majorHAnsi"/>
          <w:sz w:val="20"/>
          <w:szCs w:val="20"/>
        </w:rPr>
        <w:t>To the maximum extent permitted by law, TWCW is not liable for indirect, incidental, special, exemplary or consequential loss, or for loss of profit, revenue, goodwill, opportunity, anticipated savings, data or business interruption, arising from or in connection with the Platform or these Terms.</w:t>
      </w:r>
    </w:p>
    <w:p w14:paraId="6D594D3A">
      <w:pPr>
        <w:pStyle w:val="20"/>
        <w:numPr>
          <w:ilvl w:val="1"/>
          <w:numId w:val="3"/>
        </w:numPr>
        <w:spacing w:before="0" w:after="140"/>
        <w:contextualSpacing w:val="0"/>
      </w:pPr>
      <w:r>
        <w:rPr>
          <w:rFonts w:eastAsia="Muli" w:cs="Muli" w:asciiTheme="majorHAnsi" w:hAnsiTheme="majorHAnsi"/>
          <w:b/>
          <w:bCs/>
          <w:sz w:val="20"/>
          <w:szCs w:val="20"/>
        </w:rPr>
        <w:t xml:space="preserve">Limit on our liability. </w:t>
      </w:r>
      <w:r>
        <w:rPr>
          <w:rFonts w:eastAsia="Muli" w:cs="Muli" w:asciiTheme="majorHAnsi" w:hAnsiTheme="majorHAnsi"/>
          <w:sz w:val="20"/>
          <w:szCs w:val="20"/>
        </w:rPr>
        <w:t>To the maximum extent permitted by law, and subject to clause 33.2:</w:t>
      </w:r>
    </w:p>
    <w:p w14:paraId="5E809A6C">
      <w:pPr>
        <w:pStyle w:val="20"/>
        <w:numPr>
          <w:ilvl w:val="2"/>
          <w:numId w:val="3"/>
        </w:numPr>
        <w:spacing w:before="0" w:after="100"/>
        <w:contextualSpacing w:val="0"/>
      </w:pPr>
      <w:r>
        <w:rPr>
          <w:rFonts w:eastAsia="Muli" w:cs="Muli" w:asciiTheme="majorHAnsi" w:hAnsiTheme="majorHAnsi"/>
          <w:sz w:val="20"/>
          <w:szCs w:val="20"/>
        </w:rPr>
        <w:t>for a Business, TWCW’s total liability arising from the relevant paid service is limited to the greater of the fees the Business paid to TWCW for the affected service in the 6 months before the event giving rise to the claim</w:t>
      </w:r>
      <w:r>
        <w:rPr>
          <w:rFonts w:hint="default" w:eastAsia="Muli" w:cs="Muli" w:asciiTheme="majorHAnsi" w:hAnsiTheme="majorHAnsi"/>
          <w:sz w:val="20"/>
          <w:szCs w:val="20"/>
          <w:lang w:val="en-US"/>
        </w:rPr>
        <w:t>;</w:t>
      </w:r>
      <w:r>
        <w:rPr>
          <w:rFonts w:eastAsia="Muli" w:cs="Muli" w:asciiTheme="majorHAnsi" w:hAnsiTheme="majorHAnsi"/>
          <w:sz w:val="20"/>
          <w:szCs w:val="20"/>
        </w:rPr>
        <w:t xml:space="preserve"> and</w:t>
      </w:r>
    </w:p>
    <w:p w14:paraId="33CBE34B">
      <w:pPr>
        <w:pStyle w:val="20"/>
        <w:numPr>
          <w:ilvl w:val="2"/>
          <w:numId w:val="3"/>
        </w:numPr>
        <w:spacing w:before="0" w:after="100"/>
        <w:contextualSpacing w:val="0"/>
      </w:pPr>
      <w:r>
        <w:rPr>
          <w:rFonts w:eastAsia="Muli" w:cs="Muli" w:asciiTheme="majorHAnsi" w:hAnsiTheme="majorHAnsi"/>
          <w:sz w:val="20"/>
          <w:szCs w:val="20"/>
        </w:rPr>
        <w:t>for a Consumer, TWCW’s total liability in connection with the Platform is limited to the greater of the Platform Fees the Consumer paid in the 12 months before the event giving rise to the claim and</w:t>
      </w:r>
      <w:r>
        <w:rPr>
          <w:rFonts w:hint="default" w:eastAsia="Muli" w:cs="Muli" w:asciiTheme="majorHAnsi" w:hAnsiTheme="majorHAnsi"/>
          <w:sz w:val="20"/>
          <w:szCs w:val="20"/>
          <w:lang w:val="en-US"/>
        </w:rPr>
        <w:t>.</w:t>
      </w:r>
      <w:r>
        <w:rPr>
          <w:rFonts w:eastAsia="Muli" w:cs="Muli" w:asciiTheme="majorHAnsi" w:hAnsiTheme="majorHAnsi"/>
          <w:sz w:val="20"/>
          <w:szCs w:val="20"/>
        </w:rPr>
        <w:t>.</w:t>
      </w:r>
    </w:p>
    <w:p w14:paraId="7DB069E3">
      <w:pPr>
        <w:pStyle w:val="20"/>
        <w:numPr>
          <w:ilvl w:val="1"/>
          <w:numId w:val="3"/>
        </w:numPr>
        <w:spacing w:before="0" w:after="140"/>
        <w:contextualSpacing w:val="0"/>
      </w:pPr>
      <w:r>
        <w:rPr>
          <w:rFonts w:eastAsia="Muli" w:cs="Muli" w:asciiTheme="majorHAnsi" w:hAnsiTheme="majorHAnsi"/>
          <w:b/>
          <w:bCs/>
          <w:sz w:val="20"/>
          <w:szCs w:val="20"/>
        </w:rPr>
        <w:t xml:space="preserve">Resupply. </w:t>
      </w:r>
      <w:r>
        <w:rPr>
          <w:rFonts w:eastAsia="Muli" w:cs="Muli" w:asciiTheme="majorHAnsi" w:hAnsiTheme="majorHAnsi"/>
          <w:sz w:val="20"/>
          <w:szCs w:val="20"/>
        </w:rPr>
        <w:t>Where the ACL permits TWCW to limit its liability for failure to supply services or goods to resupplying them or paying the cost of resupply, TWCW may do so at its option. Nothing in this clause 33 applies to the extent a limitation would be unfair, unlawful or invalid, or to liability for death, personal injury or fraud caused by our negligence or wilful misconduct.</w:t>
      </w:r>
    </w:p>
    <w:p w14:paraId="423259FA">
      <w:pPr>
        <w:pStyle w:val="20"/>
        <w:numPr>
          <w:ilvl w:val="1"/>
          <w:numId w:val="3"/>
        </w:numPr>
        <w:spacing w:before="0" w:after="140"/>
        <w:contextualSpacing w:val="0"/>
      </w:pPr>
      <w:r>
        <w:rPr>
          <w:rFonts w:eastAsia="Muli" w:cs="Muli" w:asciiTheme="majorHAnsi" w:hAnsiTheme="majorHAnsi"/>
          <w:b/>
          <w:bCs/>
          <w:sz w:val="20"/>
          <w:szCs w:val="20"/>
        </w:rPr>
        <w:t xml:space="preserve">Reduction for your contribution. </w:t>
      </w:r>
      <w:r>
        <w:rPr>
          <w:rFonts w:eastAsia="Muli" w:cs="Muli" w:asciiTheme="majorHAnsi" w:hAnsiTheme="majorHAnsi"/>
          <w:sz w:val="20"/>
          <w:szCs w:val="20"/>
        </w:rPr>
        <w:t>TWCW’s liability to you is reduced to the extent that your own act, omission or breach contributed to the loss.</w:t>
      </w:r>
    </w:p>
    <w:p w14:paraId="0B4067CB">
      <w:pPr>
        <w:pStyle w:val="20"/>
        <w:numPr>
          <w:ilvl w:val="1"/>
          <w:numId w:val="3"/>
        </w:numPr>
        <w:spacing w:before="0" w:after="140"/>
        <w:contextualSpacing w:val="0"/>
      </w:pPr>
      <w:r>
        <w:rPr>
          <w:rFonts w:eastAsia="Muli" w:cs="Muli" w:asciiTheme="majorHAnsi" w:hAnsiTheme="majorHAnsi"/>
          <w:b/>
          <w:bCs/>
          <w:sz w:val="20"/>
          <w:szCs w:val="20"/>
        </w:rPr>
        <w:t>Data, security and third-party systems.</w:t>
      </w:r>
      <w:r>
        <w:rPr>
          <w:rFonts w:eastAsia="Muli" w:cs="Muli" w:asciiTheme="majorHAnsi" w:hAnsiTheme="majorHAnsi"/>
          <w:sz w:val="20"/>
          <w:szCs w:val="20"/>
        </w:rPr>
        <w:t xml:space="preserve"> To the maximum extent permitted by law, and subject to clause 33.2, TWCW is not liable for unauthorised access to, or loss, corruption or disclosure of, data to the extent it is caused by: your failure to keep your credentials, devices, API keys or accounts secure or to follow clauses 3.5, 19.5, 19.7 and 29.12; malware or a security failure on your own devices or networks; or an act or omission of an independent third party such as a Payment Provider or app store (clause 30.2). This clause does not apply to the extent the loss is caused by our failure to take the reasonable steps described in clause 29.3, and it does not limit any right you have under the Privacy Act 1988 (Cth) that cannot be excluded.</w:t>
      </w:r>
    </w:p>
    <w:p w14:paraId="07152AEA">
      <w:pPr>
        <w:pStyle w:val="20"/>
        <w:numPr>
          <w:ilvl w:val="1"/>
          <w:numId w:val="3"/>
        </w:numPr>
        <w:spacing w:before="0" w:after="140"/>
        <w:contextualSpacing w:val="0"/>
      </w:pPr>
      <w:r>
        <w:rPr>
          <w:rFonts w:eastAsia="Muli" w:cs="Muli" w:asciiTheme="majorHAnsi" w:hAnsiTheme="majorHAnsi"/>
          <w:b/>
          <w:bCs/>
          <w:sz w:val="20"/>
          <w:szCs w:val="20"/>
        </w:rPr>
        <w:t>Use of Consumer Data by Businesses.</w:t>
      </w:r>
      <w:r>
        <w:rPr>
          <w:rFonts w:eastAsia="Muli" w:cs="Muli" w:asciiTheme="majorHAnsi" w:hAnsiTheme="majorHAnsi"/>
          <w:sz w:val="20"/>
          <w:szCs w:val="20"/>
        </w:rPr>
        <w:t xml:space="preserve"> A Business that receives Consumer Data to fulfil an Order is responsible for how it uses that data (clause 19). Subject to clause 33.2, TWCW is not liable for a Business’s misuse of Consumer Data, but will act on reports as clauses 26 and 32 describe.</w:t>
      </w:r>
    </w:p>
    <w:p w14:paraId="47F1210F">
      <w:pPr>
        <w:pStyle w:val="20"/>
        <w:keepNext/>
        <w:numPr>
          <w:ilvl w:val="0"/>
          <w:numId w:val="3"/>
        </w:numPr>
        <w:spacing w:before="300" w:after="140"/>
        <w:contextualSpacing w:val="0"/>
        <w:rPr>
          <w:rFonts w:eastAsia="Muli" w:cs="Muli" w:asciiTheme="majorHAnsi" w:hAnsiTheme="majorHAnsi"/>
          <w:b/>
          <w:bCs/>
          <w:spacing w:val="20"/>
          <w:sz w:val="20"/>
          <w:szCs w:val="20"/>
          <w:u w:val="single"/>
        </w:rPr>
      </w:pPr>
      <w:r>
        <w:rPr>
          <w:rFonts w:eastAsia="Muli" w:cs="Muli" w:asciiTheme="majorHAnsi" w:hAnsiTheme="majorHAnsi"/>
          <w:b/>
          <w:bCs/>
          <w:spacing w:val="20"/>
          <w:sz w:val="20"/>
          <w:szCs w:val="20"/>
          <w:u w:val="single"/>
        </w:rPr>
        <w:t>I</w:t>
      </w:r>
      <w:bookmarkStart w:id="0" w:name="_GoBack"/>
      <w:bookmarkEnd w:id="0"/>
      <w:r>
        <w:rPr>
          <w:rFonts w:eastAsia="Muli" w:cs="Muli" w:asciiTheme="majorHAnsi" w:hAnsiTheme="majorHAnsi"/>
          <w:b/>
          <w:bCs/>
          <w:spacing w:val="20"/>
          <w:sz w:val="20"/>
          <w:szCs w:val="20"/>
          <w:u w:val="single"/>
        </w:rPr>
        <w:t>NDEMNITIES</w:t>
      </w:r>
    </w:p>
    <w:p w14:paraId="1555E771">
      <w:pPr>
        <w:pStyle w:val="20"/>
        <w:numPr>
          <w:ilvl w:val="1"/>
          <w:numId w:val="3"/>
        </w:numPr>
        <w:spacing w:before="0" w:after="140"/>
        <w:contextualSpacing w:val="0"/>
      </w:pPr>
      <w:r>
        <w:rPr>
          <w:rFonts w:eastAsia="Muli" w:cs="Muli" w:asciiTheme="majorHAnsi" w:hAnsiTheme="majorHAnsi"/>
          <w:b/>
          <w:bCs/>
          <w:sz w:val="20"/>
          <w:szCs w:val="20"/>
        </w:rPr>
        <w:t xml:space="preserve">Business indemnity. </w:t>
      </w:r>
      <w:r>
        <w:rPr>
          <w:rFonts w:hint="default" w:ascii="Arial" w:hAnsi="Arial" w:eastAsia="Muli" w:cs="Arial"/>
          <w:b/>
          <w:bCs/>
          <w:color w:val="000000"/>
          <w:sz w:val="20"/>
          <w:szCs w:val="20"/>
        </w:rPr>
        <w:t>Subject to clauses 34.8 and 34.9, and to the extent permitted by law, each Business indemnifies TWCW and TWCW Personnel against loss, liability, claim, penalty, cost and expense (including reasonable legal costs) that they actually suffer or incur to the extent caused by: (a) the Business’s breach of these Terms, the AMAPP or Applicable Law; (b) Business Content, goods, services, listings or advertisements that are inaccurate, misleading or deceptive, unlawful or unsafe, or that infringe a third party’s rights; (c) injury, death, property damage, fraud, tax liability, delivery failure or a consumer claim arisi</w:t>
      </w:r>
      <w:r>
        <w:rPr>
          <w:rFonts w:eastAsia="Muli" w:cs="Muli" w:asciiTheme="majorHAnsi" w:hAnsiTheme="majorHAnsi"/>
          <w:b/>
          <w:bCs/>
          <w:color w:val="000000"/>
          <w:sz w:val="20"/>
          <w:szCs w:val="20"/>
        </w:rPr>
        <w:t>ng from the Business’s goods, services, acts or omissions; (d) refunds, chargebacks, reversals and Payment Provider charges relating to its Orders (clause 16.4); (e) its misuse of, or failure to protect, Platform data or Consumer Data (clause 19); and (f) Regulator action, to the extent it relates to the Business’s conduct.</w:t>
      </w:r>
    </w:p>
    <w:p w14:paraId="695D781E">
      <w:pPr>
        <w:pStyle w:val="20"/>
        <w:numPr>
          <w:ilvl w:val="1"/>
          <w:numId w:val="3"/>
        </w:numPr>
        <w:spacing w:before="0" w:after="140"/>
        <w:contextualSpacing w:val="0"/>
      </w:pPr>
      <w:r>
        <w:rPr>
          <w:rFonts w:eastAsia="Muli" w:cs="Muli" w:asciiTheme="majorHAnsi" w:hAnsiTheme="majorHAnsi"/>
          <w:b/>
          <w:bCs/>
          <w:sz w:val="20"/>
          <w:szCs w:val="20"/>
        </w:rPr>
        <w:t xml:space="preserve">Consumer responsibility. </w:t>
      </w:r>
      <w:r>
        <w:rPr>
          <w:rFonts w:eastAsia="Muli" w:cs="Muli" w:asciiTheme="majorHAnsi" w:hAnsiTheme="majorHAnsi"/>
          <w:b/>
          <w:bCs/>
          <w:color w:val="000000"/>
          <w:sz w:val="20"/>
          <w:szCs w:val="20"/>
        </w:rPr>
        <w:t>A Consumer is liable to TWCW and to a Business for loss that TWCW or that Business suffers to the extent caused by the Consumer’s fraud, unlawful conduct or deliberate or reckless breach of these Terms, subject to clause 34.10 and Applicable Law. This does not apply where the Consumer has exercised a right under the ACL or other law, made a good-faith complaint, review or dispute, or acted as these Terms allow.</w:t>
      </w:r>
    </w:p>
    <w:p w14:paraId="5D1FE338">
      <w:pPr>
        <w:pStyle w:val="20"/>
        <w:numPr>
          <w:ilvl w:val="1"/>
          <w:numId w:val="3"/>
        </w:numPr>
        <w:spacing w:before="0" w:after="140"/>
        <w:contextualSpacing w:val="0"/>
      </w:pPr>
      <w:r>
        <w:rPr>
          <w:rFonts w:eastAsia="Muli" w:cs="Muli" w:asciiTheme="majorHAnsi" w:hAnsiTheme="majorHAnsi"/>
          <w:b/>
          <w:bCs/>
          <w:sz w:val="20"/>
          <w:szCs w:val="20"/>
        </w:rPr>
        <w:t xml:space="preserve">Limits and conduct of claims. </w:t>
      </w:r>
      <w:r>
        <w:rPr>
          <w:rFonts w:eastAsia="Muli" w:cs="Muli" w:asciiTheme="majorHAnsi" w:hAnsiTheme="majorHAnsi"/>
          <w:b/>
          <w:bCs/>
          <w:color w:val="000000"/>
          <w:sz w:val="20"/>
          <w:szCs w:val="20"/>
        </w:rPr>
        <w:t>TWCW’s benefit under an indemnity in this clause 34 is reduced only to the extent the loss was caused or contributed to by TWCW’s own breach of these Terms, negligence, wilful misconduct or breach of Applicable Law (including a non-excludable law). In every other case the indemnity applies in full. TWCW may take control of the defence and settlement of any third-party claim covered by an indemnity, and the indemnifying party must give reasonable help.</w:t>
      </w:r>
    </w:p>
    <w:p w14:paraId="632CA780">
      <w:pPr>
        <w:pStyle w:val="20"/>
        <w:numPr>
          <w:ilvl w:val="1"/>
          <w:numId w:val="3"/>
        </w:numPr>
        <w:spacing w:before="0" w:after="140"/>
        <w:contextualSpacing w:val="0"/>
      </w:pPr>
      <w:r>
        <w:rPr>
          <w:rFonts w:eastAsia="Muli" w:cs="Muli" w:asciiTheme="majorHAnsi" w:hAnsiTheme="majorHAnsi"/>
          <w:b/>
          <w:bCs/>
          <w:color w:val="000000"/>
          <w:sz w:val="20"/>
          <w:szCs w:val="20"/>
        </w:rPr>
        <w:t xml:space="preserve">When TWCW’s protection applies. </w:t>
      </w:r>
      <w:r>
        <w:rPr>
          <w:rFonts w:eastAsia="Muli" w:cs="Muli" w:asciiTheme="majorHAnsi" w:hAnsiTheme="majorHAnsi"/>
          <w:b/>
          <w:bCs/>
          <w:color w:val="000000"/>
          <w:sz w:val="20"/>
          <w:szCs w:val="20"/>
        </w:rPr>
        <w:t>TWCW keeps the benefit of every indemnity in this clause 34 unless, and only to the extent that, TWCW has itself breached these Terms, been negligent or acted with wilful misconduct. TWCW is an intermediary (clause 1.3). It does not breach its responsibilities merely because a Business, a Consumer or another third party fails to meet theirs, and a Business must not pass to TWCW a liability that belongs to the Business or to another Business under these Terms or a Sale Contract.</w:t>
      </w:r>
    </w:p>
    <w:p w14:paraId="5E266095">
      <w:pPr>
        <w:pStyle w:val="20"/>
        <w:numPr>
          <w:ilvl w:val="1"/>
          <w:numId w:val="3"/>
        </w:numPr>
        <w:spacing w:before="0" w:after="140"/>
        <w:contextualSpacing w:val="0"/>
      </w:pPr>
      <w:r>
        <w:rPr>
          <w:rFonts w:eastAsia="Muli" w:cs="Muli" w:asciiTheme="majorHAnsi" w:hAnsiTheme="majorHAnsi"/>
          <w:b/>
          <w:bCs/>
          <w:color w:val="000000"/>
          <w:sz w:val="20"/>
          <w:szCs w:val="20"/>
        </w:rPr>
        <w:t xml:space="preserve">Every capacity. </w:t>
      </w:r>
      <w:r>
        <w:rPr>
          <w:rFonts w:eastAsia="Muli" w:cs="Muli" w:asciiTheme="majorHAnsi" w:hAnsiTheme="majorHAnsi"/>
          <w:b/>
          <w:bCs/>
          <w:color w:val="000000"/>
          <w:sz w:val="20"/>
          <w:szCs w:val="20"/>
        </w:rPr>
        <w:t>Clause 34.1 applies to a Business in every capacity in which it uses the Platform, including as a Business Buyer (clause 14) and where one account has both Consumer and Business functions (clause 1.4).</w:t>
      </w:r>
    </w:p>
    <w:p w14:paraId="0CD5127D">
      <w:pPr>
        <w:pStyle w:val="20"/>
        <w:numPr>
          <w:ilvl w:val="1"/>
          <w:numId w:val="3"/>
        </w:numPr>
        <w:spacing w:before="0" w:after="140"/>
        <w:contextualSpacing w:val="0"/>
      </w:pPr>
      <w:r>
        <w:rPr>
          <w:rFonts w:eastAsia="Muli" w:cs="Muli" w:asciiTheme="majorHAnsi" w:hAnsiTheme="majorHAnsi"/>
          <w:b/>
          <w:bCs/>
          <w:color w:val="000000"/>
          <w:sz w:val="20"/>
          <w:szCs w:val="20"/>
        </w:rPr>
        <w:t xml:space="preserve">Consumer law and fair dealing. </w:t>
      </w:r>
      <w:r>
        <w:rPr>
          <w:rFonts w:eastAsia="Muli" w:cs="Muli" w:asciiTheme="majorHAnsi" w:hAnsiTheme="majorHAnsi"/>
          <w:b/>
          <w:bCs/>
          <w:color w:val="000000"/>
          <w:sz w:val="20"/>
          <w:szCs w:val="20"/>
        </w:rPr>
        <w:t>Nothing in this clause 34: (a) excludes, restricts or modifies a right or remedy that cannot lawfully be excluded, including under the ACL; (b) requires a Consumer to pay for exercising a legal right; (c) applies to loss caused by misleading or deceptive conduct, or a false or misleading representation, by TWCW; or (d) makes a Business liable for conduct of TWCW. TWCW will not rely on an indemnity to avoid a liability that it owes under the ACL or any other law.</w:t>
      </w:r>
    </w:p>
    <w:p w14:paraId="4E03E571">
      <w:pPr>
        <w:pStyle w:val="20"/>
        <w:numPr>
          <w:ilvl w:val="1"/>
          <w:numId w:val="3"/>
        </w:numPr>
        <w:spacing w:before="0" w:after="140"/>
        <w:contextualSpacing w:val="0"/>
      </w:pPr>
      <w:r>
        <w:rPr>
          <w:rFonts w:eastAsia="Muli" w:cs="Muli" w:asciiTheme="majorHAnsi" w:hAnsiTheme="majorHAnsi"/>
          <w:b/>
          <w:bCs/>
          <w:color w:val="000000"/>
          <w:sz w:val="20"/>
          <w:szCs w:val="20"/>
        </w:rPr>
        <w:t xml:space="preserve">Claiming under an indemnity. </w:t>
      </w:r>
      <w:r>
        <w:rPr>
          <w:rFonts w:eastAsia="Muli" w:cs="Muli" w:asciiTheme="majorHAnsi" w:hAnsiTheme="majorHAnsi"/>
          <w:b/>
          <w:bCs/>
          <w:color w:val="000000"/>
          <w:sz w:val="20"/>
          <w:szCs w:val="20"/>
        </w:rPr>
        <w:t>A party claiming under an indemnity must give prompt written notice of the claim (a delay reduces the indemnity only to the extent it prejudices the indemnifying party), take reasonable steps to mitigate its loss, and may recover only loss that is reasonably incurred and, for costs, properly documented. No party may recover more than once for the same loss. An indemnifying party is not liable for a settlement made without its consent (which must not be unreasonably withheld), except a settlement TWCW makes in good faith when controlling a claim under clause 34.3.</w:t>
      </w:r>
    </w:p>
    <w:p w14:paraId="1EC54A40">
      <w:pPr>
        <w:pStyle w:val="20"/>
        <w:numPr>
          <w:ilvl w:val="1"/>
          <w:numId w:val="3"/>
        </w:numPr>
        <w:spacing w:before="0" w:after="140"/>
        <w:contextualSpacing w:val="0"/>
      </w:pPr>
      <w:r>
        <w:rPr>
          <w:rFonts w:eastAsia="Muli" w:cs="Muli" w:asciiTheme="majorHAnsi" w:hAnsiTheme="majorHAnsi"/>
          <w:b/>
          <w:bCs/>
          <w:color w:val="000000"/>
          <w:sz w:val="20"/>
          <w:szCs w:val="20"/>
        </w:rPr>
        <w:t xml:space="preserve">Cap on Business indemnity. </w:t>
      </w:r>
      <w:r>
        <w:rPr>
          <w:rFonts w:eastAsia="Muli" w:cs="Muli" w:asciiTheme="majorHAnsi" w:hAnsiTheme="majorHAnsi"/>
          <w:b/>
          <w:bCs/>
          <w:color w:val="000000"/>
          <w:sz w:val="20"/>
          <w:szCs w:val="20"/>
        </w:rPr>
        <w:t>Subject to clause 34.9, a Business’s total liability under clause 34.1 for all claims arising from the same event or series of related events is limited to the greater of: (a) the minimum amount of public liability and product liability insurance the Business must hold under clause 21.1; and (b) the amount actually recovered, or recoverable, under any insurance the Business holds that responds to the claim. This cap is not reduced because the Business failed to hold the insurance clause 21.1 requires.</w:t>
      </w:r>
    </w:p>
    <w:p w14:paraId="0CB267A9">
      <w:pPr>
        <w:pStyle w:val="20"/>
        <w:numPr>
          <w:ilvl w:val="1"/>
          <w:numId w:val="3"/>
        </w:numPr>
        <w:spacing w:before="0" w:after="140"/>
        <w:contextualSpacing w:val="0"/>
      </w:pPr>
      <w:r>
        <w:rPr>
          <w:rFonts w:eastAsia="Muli" w:cs="Muli" w:asciiTheme="majorHAnsi" w:hAnsiTheme="majorHAnsi"/>
          <w:b/>
          <w:bCs/>
          <w:color w:val="000000"/>
          <w:sz w:val="20"/>
          <w:szCs w:val="20"/>
        </w:rPr>
        <w:t xml:space="preserve">Matters outside the cap. </w:t>
      </w:r>
      <w:r>
        <w:rPr>
          <w:rFonts w:eastAsia="Muli" w:cs="Muli" w:asciiTheme="majorHAnsi" w:hAnsiTheme="majorHAnsi"/>
          <w:b/>
          <w:bCs/>
          <w:color w:val="000000"/>
          <w:sz w:val="20"/>
          <w:szCs w:val="20"/>
        </w:rPr>
        <w:t>The cap in clause 34.8 does not apply to a Business’s liability for: (a) fraud, dishonesty, wilful misconduct or deliberate breach of these Terms; (b) death, personal injury or physical damage to property caused by the Business’s goods, services, acts or omissions; (c) infringement of a third party’s intellectual property, confidentiality or privacy rights by Business Content; (d) refunds, chargebacks, reversals, dispute fees and Payment Provider charges relating to the Business’s Orders (clause 16.4); or (e) a Scam committed by or through the Business (clause 5). The indemnity applies to those matters in full, subject to clauses 34.3 and 34.6.</w:t>
      </w:r>
    </w:p>
    <w:p w14:paraId="1637E549">
      <w:pPr>
        <w:pStyle w:val="20"/>
        <w:numPr>
          <w:ilvl w:val="1"/>
          <w:numId w:val="3"/>
        </w:numPr>
        <w:spacing w:before="0" w:after="140"/>
        <w:contextualSpacing w:val="0"/>
      </w:pPr>
      <w:r>
        <w:rPr>
          <w:rFonts w:eastAsia="Muli" w:cs="Muli" w:asciiTheme="majorHAnsi" w:hAnsiTheme="majorHAnsi"/>
          <w:b/>
          <w:bCs/>
          <w:color w:val="000000"/>
          <w:sz w:val="20"/>
          <w:szCs w:val="20"/>
        </w:rPr>
        <w:t xml:space="preserve">Consumer cap. </w:t>
      </w:r>
      <w:r>
        <w:rPr>
          <w:rFonts w:eastAsia="Muli" w:cs="Muli" w:asciiTheme="majorHAnsi" w:hAnsiTheme="majorHAnsi"/>
          <w:b/>
          <w:bCs/>
          <w:color w:val="000000"/>
          <w:sz w:val="20"/>
          <w:szCs w:val="20"/>
        </w:rPr>
        <w:t>A Consumer’s liability under clause 34.2 is limited to the total price of the Order or Orders to which the loss relates or, if the loss does not relate to an Order, to AUD 500. This limit does not apply to loss caused by the Consumer’s fraud or deliberate unlawful conduct.</w:t>
      </w:r>
    </w:p>
    <w:p w14:paraId="1E29E504">
      <w:pPr>
        <w:pStyle w:val="20"/>
        <w:keepNext/>
        <w:numPr>
          <w:ilvl w:val="0"/>
          <w:numId w:val="3"/>
        </w:numPr>
        <w:spacing w:before="300" w:after="140"/>
        <w:contextualSpacing w:val="0"/>
        <w:rPr>
          <w:rFonts w:eastAsia="Muli" w:cs="Muli" w:asciiTheme="majorHAnsi" w:hAnsiTheme="majorHAnsi"/>
          <w:b/>
          <w:bCs/>
          <w:spacing w:val="20"/>
          <w:sz w:val="20"/>
          <w:szCs w:val="20"/>
          <w:u w:val="single"/>
        </w:rPr>
      </w:pPr>
      <w:r>
        <w:rPr>
          <w:rFonts w:eastAsia="Muli" w:cs="Muli" w:asciiTheme="majorHAnsi" w:hAnsiTheme="majorHAnsi"/>
          <w:b/>
          <w:bCs/>
          <w:spacing w:val="20"/>
          <w:sz w:val="20"/>
          <w:szCs w:val="20"/>
          <w:u w:val="single"/>
        </w:rPr>
        <w:t>COMPLAINTS AND DISPUTE RESOLUTION</w:t>
      </w:r>
    </w:p>
    <w:p w14:paraId="03DF4DCE">
      <w:pPr>
        <w:pStyle w:val="20"/>
        <w:numPr>
          <w:ilvl w:val="1"/>
          <w:numId w:val="3"/>
        </w:numPr>
        <w:spacing w:before="0" w:after="140"/>
        <w:contextualSpacing w:val="0"/>
      </w:pPr>
      <w:r>
        <w:rPr>
          <w:rFonts w:eastAsia="Muli" w:cs="Muli" w:asciiTheme="majorHAnsi" w:hAnsiTheme="majorHAnsi"/>
          <w:b/>
          <w:bCs/>
          <w:sz w:val="20"/>
          <w:szCs w:val="20"/>
        </w:rPr>
        <w:t xml:space="preserve">Complaints about a Business. </w:t>
      </w:r>
      <w:r>
        <w:rPr>
          <w:rFonts w:eastAsia="Muli" w:cs="Muli" w:asciiTheme="majorHAnsi" w:hAnsiTheme="majorHAnsi"/>
          <w:sz w:val="20"/>
          <w:szCs w:val="20"/>
        </w:rPr>
        <w:t>A Consumer complaint about a Business’s goods, services, price, delivery, refund, advertising or trading conduct is primarily a matter between the Consumer and the Business. TWCW may require the Business to provide records, respond to the complaint, correct Content, honour an agreed remedy or take part in a Platform review under clause 10.4, and may suspend the Business or preserve and disclose records. Nothing here removes the Consumer’s right to contact the ACCC, a State or Territory regulator, a tribunal or a court.</w:t>
      </w:r>
    </w:p>
    <w:p w14:paraId="29D1299C">
      <w:pPr>
        <w:pStyle w:val="20"/>
        <w:numPr>
          <w:ilvl w:val="1"/>
          <w:numId w:val="3"/>
        </w:numPr>
        <w:spacing w:before="0" w:after="140"/>
        <w:contextualSpacing w:val="0"/>
      </w:pPr>
      <w:r>
        <w:rPr>
          <w:rFonts w:eastAsia="Muli" w:cs="Muli" w:asciiTheme="majorHAnsi" w:hAnsiTheme="majorHAnsi"/>
          <w:b/>
          <w:bCs/>
          <w:sz w:val="20"/>
          <w:szCs w:val="20"/>
        </w:rPr>
        <w:t xml:space="preserve">Transaction disputes. </w:t>
      </w:r>
      <w:r>
        <w:rPr>
          <w:rFonts w:eastAsia="Muli" w:cs="Muli" w:asciiTheme="majorHAnsi" w:hAnsiTheme="majorHAnsi"/>
          <w:sz w:val="20"/>
          <w:szCs w:val="20"/>
        </w:rPr>
        <w:t>For a dispute about goods, services, an Order, delivery or a refund: (1) contact the Business through the Platform with the Order details and the remedy you want; (2) allow the Business a reasonable opportunity to respond (see clause 10.3); (3) if unresolved, submit it through the Platform’s dispute process; and (4) you keep your right to contact the relevant consumer protection agency, the ACCC, a tribunal or a court.</w:t>
      </w:r>
    </w:p>
    <w:p w14:paraId="33A7524E">
      <w:pPr>
        <w:pStyle w:val="20"/>
        <w:numPr>
          <w:ilvl w:val="1"/>
          <w:numId w:val="3"/>
        </w:numPr>
        <w:spacing w:before="0" w:after="140"/>
        <w:contextualSpacing w:val="0"/>
      </w:pPr>
      <w:r>
        <w:rPr>
          <w:rFonts w:eastAsia="Muli" w:cs="Muli" w:asciiTheme="majorHAnsi" w:hAnsiTheme="majorHAnsi"/>
          <w:b/>
          <w:bCs/>
          <w:sz w:val="20"/>
          <w:szCs w:val="20"/>
        </w:rPr>
        <w:t xml:space="preserve">Content complaints. </w:t>
      </w:r>
      <w:r>
        <w:rPr>
          <w:rFonts w:eastAsia="Muli" w:cs="Muli" w:asciiTheme="majorHAnsi" w:hAnsiTheme="majorHAnsi"/>
          <w:sz w:val="20"/>
          <w:szCs w:val="20"/>
        </w:rPr>
        <w:t>Clauses 25 and 26 apply to complaints about Content.</w:t>
      </w:r>
    </w:p>
    <w:p w14:paraId="1AEB1EEF">
      <w:pPr>
        <w:pStyle w:val="20"/>
        <w:numPr>
          <w:ilvl w:val="1"/>
          <w:numId w:val="3"/>
        </w:numPr>
        <w:spacing w:before="0" w:after="140"/>
        <w:contextualSpacing w:val="0"/>
      </w:pPr>
      <w:r>
        <w:rPr>
          <w:rFonts w:eastAsia="Muli" w:cs="Muli" w:asciiTheme="majorHAnsi" w:hAnsiTheme="majorHAnsi"/>
          <w:b/>
          <w:bCs/>
          <w:sz w:val="20"/>
          <w:szCs w:val="20"/>
        </w:rPr>
        <w:t xml:space="preserve">AMAPP disputes. </w:t>
      </w:r>
      <w:r>
        <w:rPr>
          <w:rFonts w:eastAsia="Muli" w:cs="Muli" w:asciiTheme="majorHAnsi" w:hAnsiTheme="majorHAnsi"/>
          <w:sz w:val="20"/>
          <w:szCs w:val="20"/>
        </w:rPr>
        <w:t>AMAPP disputes must use the written objection procedure in the AMAPP enforcement documents. TWCW’s Advertising Compliance Committee process may be followed by voluntary, without-prejudice mediation through the Australian Commercial Disputes Centre. This does not prevent a party from seeking urgent relief or exercising a legal right that cannot be excluded.</w:t>
      </w:r>
    </w:p>
    <w:p w14:paraId="37793C37">
      <w:pPr>
        <w:pStyle w:val="20"/>
        <w:numPr>
          <w:ilvl w:val="1"/>
          <w:numId w:val="3"/>
        </w:numPr>
        <w:spacing w:before="0" w:after="140"/>
        <w:contextualSpacing w:val="0"/>
      </w:pPr>
      <w:r>
        <w:rPr>
          <w:rFonts w:eastAsia="Muli" w:cs="Muli" w:asciiTheme="majorHAnsi" w:hAnsiTheme="majorHAnsi"/>
          <w:b/>
          <w:bCs/>
          <w:sz w:val="20"/>
          <w:szCs w:val="20"/>
        </w:rPr>
        <w:t xml:space="preserve">Disputes with TWCW. </w:t>
      </w:r>
      <w:r>
        <w:rPr>
          <w:rFonts w:eastAsia="Muli" w:cs="Muli" w:asciiTheme="majorHAnsi" w:hAnsiTheme="majorHAnsi"/>
          <w:sz w:val="20"/>
          <w:szCs w:val="20"/>
        </w:rPr>
        <w:t>If you have a dispute with TWCW, first email team@1stopapp.com with the issue and the outcome you want. The parties must then try in good faith to resolve it, and if it is not resolved within 20 business days, either may propose mediation before commencing court proceedings, except where urgent injunctive relief or a legal right is involved. This clause does not limit a Consumer’s rights.</w:t>
      </w:r>
    </w:p>
    <w:p w14:paraId="087B47F8">
      <w:pPr>
        <w:pStyle w:val="20"/>
        <w:keepNext/>
        <w:numPr>
          <w:ilvl w:val="0"/>
          <w:numId w:val="3"/>
        </w:numPr>
        <w:spacing w:before="300" w:after="140"/>
        <w:contextualSpacing w:val="0"/>
        <w:rPr>
          <w:rFonts w:eastAsia="Muli" w:cs="Muli" w:asciiTheme="majorHAnsi" w:hAnsiTheme="majorHAnsi"/>
          <w:b/>
          <w:bCs/>
          <w:spacing w:val="20"/>
          <w:sz w:val="20"/>
          <w:szCs w:val="20"/>
          <w:u w:val="single"/>
        </w:rPr>
      </w:pPr>
      <w:r>
        <w:rPr>
          <w:rFonts w:eastAsia="Muli" w:cs="Muli" w:asciiTheme="majorHAnsi" w:hAnsiTheme="majorHAnsi"/>
          <w:b/>
          <w:bCs/>
          <w:spacing w:val="20"/>
          <w:sz w:val="20"/>
          <w:szCs w:val="20"/>
          <w:u w:val="single"/>
        </w:rPr>
        <w:t>REGULATORS, LEGAL REQUESTS AND RECORD RETENTION</w:t>
      </w:r>
    </w:p>
    <w:p w14:paraId="2023D4EB">
      <w:pPr>
        <w:pStyle w:val="20"/>
        <w:numPr>
          <w:ilvl w:val="1"/>
          <w:numId w:val="3"/>
        </w:numPr>
        <w:spacing w:before="0" w:after="140"/>
        <w:contextualSpacing w:val="0"/>
      </w:pPr>
      <w:r>
        <w:rPr>
          <w:rFonts w:eastAsia="Muli" w:cs="Muli" w:asciiTheme="majorHAnsi" w:hAnsiTheme="majorHAnsi"/>
          <w:b/>
          <w:bCs/>
          <w:sz w:val="20"/>
          <w:szCs w:val="20"/>
        </w:rPr>
        <w:t xml:space="preserve">Cooperation and disclosure. </w:t>
      </w:r>
      <w:r>
        <w:rPr>
          <w:rFonts w:eastAsia="Muli" w:cs="Muli" w:asciiTheme="majorHAnsi" w:hAnsiTheme="majorHAnsi"/>
          <w:sz w:val="20"/>
          <w:szCs w:val="20"/>
        </w:rPr>
        <w:t>TWCW may disclose information, preserve evidence and cooperate with any Regulator, court, tribunal or law-enforcement body where it believes in good faith that it is required or permitted by law to do so, and may report suspected unlawful conduct. TWCW may keep records under a legal hold where claims or investigations are reasonably anticipated.</w:t>
      </w:r>
    </w:p>
    <w:p w14:paraId="57FC0EB7">
      <w:pPr>
        <w:pStyle w:val="20"/>
        <w:numPr>
          <w:ilvl w:val="1"/>
          <w:numId w:val="3"/>
        </w:numPr>
        <w:spacing w:before="0" w:after="140"/>
        <w:contextualSpacing w:val="0"/>
      </w:pPr>
      <w:r>
        <w:rPr>
          <w:rFonts w:eastAsia="Muli" w:cs="Muli" w:asciiTheme="majorHAnsi" w:hAnsiTheme="majorHAnsi"/>
          <w:b/>
          <w:bCs/>
          <w:sz w:val="20"/>
          <w:szCs w:val="20"/>
        </w:rPr>
        <w:t xml:space="preserve">Business duties. </w:t>
      </w:r>
      <w:r>
        <w:rPr>
          <w:rFonts w:eastAsia="Muli" w:cs="Muli" w:asciiTheme="majorHAnsi" w:hAnsiTheme="majorHAnsi"/>
          <w:sz w:val="20"/>
          <w:szCs w:val="20"/>
        </w:rPr>
        <w:t>If a Regulator contacts a Business about its Platform activity, the Business must tell TWCW promptly (unless prohibited by law), cooperate fully, and not misrepresent TWCW’s role.</w:t>
      </w:r>
    </w:p>
    <w:p w14:paraId="07C02710">
      <w:pPr>
        <w:pStyle w:val="20"/>
        <w:numPr>
          <w:ilvl w:val="1"/>
          <w:numId w:val="3"/>
        </w:numPr>
        <w:spacing w:before="0" w:after="140"/>
        <w:contextualSpacing w:val="0"/>
      </w:pPr>
      <w:r>
        <w:rPr>
          <w:rFonts w:eastAsia="Muli" w:cs="Muli" w:asciiTheme="majorHAnsi" w:hAnsiTheme="majorHAnsi"/>
          <w:b/>
          <w:bCs/>
          <w:sz w:val="20"/>
          <w:szCs w:val="20"/>
        </w:rPr>
        <w:t xml:space="preserve">No regulatory endorsement. </w:t>
      </w:r>
      <w:r>
        <w:rPr>
          <w:rFonts w:eastAsia="Muli" w:cs="Muli" w:asciiTheme="majorHAnsi" w:hAnsiTheme="majorHAnsi"/>
          <w:sz w:val="20"/>
          <w:szCs w:val="20"/>
        </w:rPr>
        <w:t>References in these Terms to laws and Regulators are informational. They do not mean that the ACCC, ASIC, the OAIC or any other Regulator has approved, endorsed or certified TWCW or the Platform. No term of these Terms limits any Regulator’s powers.</w:t>
      </w:r>
    </w:p>
    <w:p w14:paraId="2FF592AD">
      <w:pPr>
        <w:pStyle w:val="20"/>
        <w:keepNext/>
        <w:numPr>
          <w:ilvl w:val="0"/>
          <w:numId w:val="3"/>
        </w:numPr>
        <w:spacing w:before="300" w:after="140"/>
        <w:contextualSpacing w:val="0"/>
        <w:rPr>
          <w:rFonts w:eastAsia="Muli" w:cs="Muli" w:asciiTheme="majorHAnsi" w:hAnsiTheme="majorHAnsi"/>
          <w:b/>
          <w:bCs/>
          <w:spacing w:val="20"/>
          <w:sz w:val="20"/>
          <w:szCs w:val="20"/>
          <w:u w:val="single"/>
        </w:rPr>
      </w:pPr>
      <w:r>
        <w:rPr>
          <w:rFonts w:eastAsia="Muli" w:cs="Muli" w:asciiTheme="majorHAnsi" w:hAnsiTheme="majorHAnsi"/>
          <w:b/>
          <w:bCs/>
          <w:spacing w:val="20"/>
          <w:sz w:val="20"/>
          <w:szCs w:val="20"/>
          <w:u w:val="single"/>
        </w:rPr>
        <w:t>CHANGES TO THESE TERMS</w:t>
      </w:r>
    </w:p>
    <w:p w14:paraId="3DC331E1">
      <w:pPr>
        <w:pStyle w:val="20"/>
        <w:numPr>
          <w:ilvl w:val="1"/>
          <w:numId w:val="3"/>
        </w:numPr>
        <w:spacing w:before="0" w:after="140"/>
        <w:contextualSpacing w:val="0"/>
      </w:pPr>
      <w:r>
        <w:rPr>
          <w:rFonts w:eastAsia="Muli" w:cs="Muli" w:asciiTheme="majorHAnsi" w:hAnsiTheme="majorHAnsi"/>
          <w:sz w:val="20"/>
          <w:szCs w:val="20"/>
        </w:rPr>
        <w:t>We may update these Terms to reflect changes to the Platform or our practices, to maintain a safe and secure environment, or to comply with Applicable Law, and we will only do so where the changes are reasonable and take due account of Users’ interests. We will notify you (for example, by email or in the Platform) at least 30 days before material changes take effect, unless a shorter period is reasonably necessary for safety, fraud prevention, legal compliance or an urgent operational issue. AMAPP changes follow clause 22.6. If you do not accept a change, you must stop using the Platform and close your account before it takes effect; a Business may cancel its Subscription in that period and ask for a refund of any prepaid fee for the period after cancellation that we are able to refund. Continued use after the effective date is acceptance, except where the law requires fresh consent.</w:t>
      </w:r>
    </w:p>
    <w:p w14:paraId="1B281670">
      <w:pPr>
        <w:pStyle w:val="20"/>
        <w:keepNext/>
        <w:numPr>
          <w:ilvl w:val="0"/>
          <w:numId w:val="3"/>
        </w:numPr>
        <w:spacing w:before="300" w:after="140"/>
        <w:contextualSpacing w:val="0"/>
        <w:rPr>
          <w:rFonts w:eastAsia="Muli" w:cs="Muli" w:asciiTheme="majorHAnsi" w:hAnsiTheme="majorHAnsi"/>
          <w:b/>
          <w:bCs/>
          <w:spacing w:val="20"/>
          <w:sz w:val="20"/>
          <w:szCs w:val="20"/>
          <w:u w:val="single"/>
        </w:rPr>
      </w:pPr>
      <w:r>
        <w:rPr>
          <w:rFonts w:eastAsia="Muli" w:cs="Muli" w:asciiTheme="majorHAnsi" w:hAnsiTheme="majorHAnsi"/>
          <w:b/>
          <w:bCs/>
          <w:spacing w:val="20"/>
          <w:sz w:val="20"/>
          <w:szCs w:val="20"/>
          <w:u w:val="single"/>
        </w:rPr>
        <w:t>GENERAL</w:t>
      </w:r>
    </w:p>
    <w:p w14:paraId="7C4C0898">
      <w:pPr>
        <w:pStyle w:val="20"/>
        <w:numPr>
          <w:ilvl w:val="1"/>
          <w:numId w:val="3"/>
        </w:numPr>
        <w:spacing w:before="0" w:after="140"/>
        <w:contextualSpacing w:val="0"/>
      </w:pPr>
      <w:r>
        <w:rPr>
          <w:rFonts w:eastAsia="Muli" w:cs="Muli" w:asciiTheme="majorHAnsi" w:hAnsiTheme="majorHAnsi"/>
          <w:b/>
          <w:bCs/>
          <w:sz w:val="20"/>
          <w:szCs w:val="20"/>
        </w:rPr>
        <w:t xml:space="preserve">Governing law and courts. </w:t>
      </w:r>
      <w:r>
        <w:rPr>
          <w:rFonts w:eastAsia="Muli" w:cs="Muli" w:asciiTheme="majorHAnsi" w:hAnsiTheme="majorHAnsi"/>
          <w:sz w:val="20"/>
          <w:szCs w:val="20"/>
        </w:rPr>
        <w:t>These Terms are governed by the laws of Western Australia and applicable Commonwealth law. The parties submit to the non-exclusive jurisdiction of the courts of Western Australia, subject to any non-excludable consumer right to bring proceedings elsewhere.</w:t>
      </w:r>
    </w:p>
    <w:p w14:paraId="23BCA5B8">
      <w:pPr>
        <w:pStyle w:val="20"/>
        <w:numPr>
          <w:ilvl w:val="1"/>
          <w:numId w:val="3"/>
        </w:numPr>
        <w:spacing w:before="0" w:after="140"/>
        <w:contextualSpacing w:val="0"/>
      </w:pPr>
      <w:r>
        <w:rPr>
          <w:rFonts w:eastAsia="Muli" w:cs="Muli" w:asciiTheme="majorHAnsi" w:hAnsiTheme="majorHAnsi"/>
          <w:b/>
          <w:bCs/>
          <w:sz w:val="20"/>
          <w:szCs w:val="20"/>
        </w:rPr>
        <w:t xml:space="preserve">Entire agreement. </w:t>
      </w:r>
      <w:r>
        <w:rPr>
          <w:rFonts w:eastAsia="Muli" w:cs="Muli" w:asciiTheme="majorHAnsi" w:hAnsiTheme="majorHAnsi"/>
          <w:sz w:val="20"/>
          <w:szCs w:val="20"/>
        </w:rPr>
        <w:t>These Terms and the documents incorporated by clause 1.6 are the entire agreement between you and TWCW for ordinary use of the Platform, except for a signed agreement or specific checkout terms.</w:t>
      </w:r>
    </w:p>
    <w:p w14:paraId="645EC411">
      <w:pPr>
        <w:pStyle w:val="20"/>
        <w:numPr>
          <w:ilvl w:val="1"/>
          <w:numId w:val="3"/>
        </w:numPr>
        <w:spacing w:before="0" w:after="140"/>
        <w:contextualSpacing w:val="0"/>
      </w:pPr>
      <w:r>
        <w:rPr>
          <w:rFonts w:eastAsia="Muli" w:cs="Muli" w:asciiTheme="majorHAnsi" w:hAnsiTheme="majorHAnsi"/>
          <w:b/>
          <w:bCs/>
          <w:sz w:val="20"/>
          <w:szCs w:val="20"/>
        </w:rPr>
        <w:t xml:space="preserve">Severability. </w:t>
      </w:r>
      <w:r>
        <w:rPr>
          <w:rFonts w:eastAsia="Muli" w:cs="Muli" w:asciiTheme="majorHAnsi" w:hAnsiTheme="majorHAnsi"/>
          <w:sz w:val="20"/>
          <w:szCs w:val="20"/>
        </w:rPr>
        <w:t>If a provision is invalid or unenforceable, it will be read down to the minimum extent needed, or severed, and the rest continues.</w:t>
      </w:r>
    </w:p>
    <w:p w14:paraId="2738C841">
      <w:pPr>
        <w:pStyle w:val="20"/>
        <w:numPr>
          <w:ilvl w:val="1"/>
          <w:numId w:val="3"/>
        </w:numPr>
        <w:spacing w:before="0" w:after="140"/>
        <w:contextualSpacing w:val="0"/>
      </w:pPr>
      <w:r>
        <w:rPr>
          <w:rFonts w:eastAsia="Muli" w:cs="Muli" w:asciiTheme="majorHAnsi" w:hAnsiTheme="majorHAnsi"/>
          <w:b/>
          <w:bCs/>
          <w:sz w:val="20"/>
          <w:szCs w:val="20"/>
        </w:rPr>
        <w:t xml:space="preserve">No waiver. </w:t>
      </w:r>
      <w:r>
        <w:rPr>
          <w:rFonts w:eastAsia="Muli" w:cs="Muli" w:asciiTheme="majorHAnsi" w:hAnsiTheme="majorHAnsi"/>
          <w:sz w:val="20"/>
          <w:szCs w:val="20"/>
        </w:rPr>
        <w:t>A failure or delay in exercising a right is not a waiver. An amendment or waiver by TWCW must be in writing.</w:t>
      </w:r>
    </w:p>
    <w:p w14:paraId="7EF87AD7">
      <w:pPr>
        <w:pStyle w:val="20"/>
        <w:numPr>
          <w:ilvl w:val="1"/>
          <w:numId w:val="3"/>
        </w:numPr>
        <w:spacing w:before="0" w:after="140"/>
        <w:contextualSpacing w:val="0"/>
      </w:pPr>
      <w:r>
        <w:rPr>
          <w:rFonts w:eastAsia="Muli" w:cs="Muli" w:asciiTheme="majorHAnsi" w:hAnsiTheme="majorHAnsi"/>
          <w:b/>
          <w:bCs/>
          <w:sz w:val="20"/>
          <w:szCs w:val="20"/>
        </w:rPr>
        <w:t xml:space="preserve">Assignment. </w:t>
      </w:r>
      <w:r>
        <w:rPr>
          <w:rFonts w:eastAsia="Muli" w:cs="Muli" w:asciiTheme="majorHAnsi" w:hAnsiTheme="majorHAnsi"/>
          <w:sz w:val="20"/>
          <w:szCs w:val="20"/>
        </w:rPr>
        <w:t>You must not assign or transfer your account or any right or obligation under these Terms without TWCW’s written consent. TWCW may assign or novate its rights and obligations under these Terms in connection with a restructure, merger, acquisition, sale of assets or the Platform, or by operation of law, provided that the assignee agrees to be bound by these Terms and the assignment does not materially reduce your rights.</w:t>
      </w:r>
    </w:p>
    <w:p w14:paraId="26AA3155">
      <w:pPr>
        <w:pStyle w:val="20"/>
        <w:numPr>
          <w:ilvl w:val="1"/>
          <w:numId w:val="3"/>
        </w:numPr>
        <w:spacing w:before="0" w:after="140"/>
        <w:contextualSpacing w:val="0"/>
      </w:pPr>
      <w:r>
        <w:rPr>
          <w:rFonts w:eastAsia="Muli" w:cs="Muli" w:asciiTheme="majorHAnsi" w:hAnsiTheme="majorHAnsi"/>
          <w:b/>
          <w:bCs/>
          <w:sz w:val="20"/>
          <w:szCs w:val="20"/>
        </w:rPr>
        <w:t xml:space="preserve">No partnership. </w:t>
      </w:r>
      <w:r>
        <w:rPr>
          <w:rFonts w:eastAsia="Muli" w:cs="Muli" w:asciiTheme="majorHAnsi" w:hAnsiTheme="majorHAnsi"/>
          <w:sz w:val="20"/>
          <w:szCs w:val="20"/>
        </w:rPr>
        <w:t>Use of the Platform does not create a partnership, employment, agency, franchise, fiduciary or joint-venture relationship between TWCW and any User.</w:t>
      </w:r>
    </w:p>
    <w:p w14:paraId="425EF598">
      <w:pPr>
        <w:pStyle w:val="20"/>
        <w:numPr>
          <w:ilvl w:val="1"/>
          <w:numId w:val="3"/>
        </w:numPr>
        <w:spacing w:before="0" w:after="140"/>
        <w:contextualSpacing w:val="0"/>
      </w:pPr>
      <w:r>
        <w:rPr>
          <w:rFonts w:eastAsia="Muli" w:cs="Muli" w:asciiTheme="majorHAnsi" w:hAnsiTheme="majorHAnsi"/>
          <w:b/>
          <w:bCs/>
          <w:sz w:val="20"/>
          <w:szCs w:val="20"/>
        </w:rPr>
        <w:t xml:space="preserve">Third parties. </w:t>
      </w:r>
      <w:r>
        <w:rPr>
          <w:rFonts w:eastAsia="Muli" w:cs="Muli" w:asciiTheme="majorHAnsi" w:hAnsiTheme="majorHAnsi"/>
          <w:sz w:val="20"/>
          <w:szCs w:val="20"/>
        </w:rPr>
        <w:t>These Terms do not confer rights on any third party, except that TWCW Personnel may rely on and enforce clauses that limit or exclude liability or give them an indemnity, and TWCW holds the benefit of those clauses on trust for them.</w:t>
      </w:r>
    </w:p>
    <w:p w14:paraId="3200C4F5">
      <w:pPr>
        <w:pStyle w:val="20"/>
        <w:numPr>
          <w:ilvl w:val="1"/>
          <w:numId w:val="3"/>
        </w:numPr>
        <w:spacing w:before="0" w:after="140"/>
        <w:contextualSpacing w:val="0"/>
      </w:pPr>
      <w:r>
        <w:rPr>
          <w:rFonts w:eastAsia="Muli" w:cs="Muli" w:asciiTheme="majorHAnsi" w:hAnsiTheme="majorHAnsi"/>
          <w:b/>
          <w:bCs/>
          <w:sz w:val="20"/>
          <w:szCs w:val="20"/>
        </w:rPr>
        <w:t xml:space="preserve">Force majeure. </w:t>
      </w:r>
      <w:r>
        <w:rPr>
          <w:rFonts w:eastAsia="Muli" w:cs="Muli" w:asciiTheme="majorHAnsi" w:hAnsiTheme="majorHAnsi"/>
          <w:sz w:val="20"/>
          <w:szCs w:val="20"/>
        </w:rPr>
        <w:t>TWCW is not liable for failure or delay caused by events beyond its reasonable control, including natural disaster, epidemic, power or network failure, cyber-attack, labour dispute, act of government, or failure of a third-party provider.</w:t>
      </w:r>
    </w:p>
    <w:p w14:paraId="2CAB6F6A">
      <w:pPr>
        <w:pStyle w:val="20"/>
        <w:numPr>
          <w:ilvl w:val="1"/>
          <w:numId w:val="3"/>
        </w:numPr>
        <w:spacing w:before="0" w:after="140"/>
        <w:contextualSpacing w:val="0"/>
      </w:pPr>
      <w:r>
        <w:rPr>
          <w:rFonts w:eastAsia="Muli" w:cs="Muli" w:asciiTheme="majorHAnsi" w:hAnsiTheme="majorHAnsi"/>
          <w:b/>
          <w:bCs/>
          <w:sz w:val="20"/>
          <w:szCs w:val="20"/>
        </w:rPr>
        <w:t xml:space="preserve">Notices. </w:t>
      </w:r>
      <w:r>
        <w:rPr>
          <w:rFonts w:eastAsia="Muli" w:cs="Muli" w:asciiTheme="majorHAnsi" w:hAnsiTheme="majorHAnsi"/>
          <w:sz w:val="20"/>
          <w:szCs w:val="20"/>
        </w:rPr>
        <w:t>You consent to receiving notices electronically through the Platform, by email or by SMS where permitted. You may opt out of marketing messages but not of essential service or legal notices. We may give notice to the contact details on your account.</w:t>
      </w:r>
    </w:p>
    <w:p w14:paraId="0FBCB69A">
      <w:pPr>
        <w:pStyle w:val="20"/>
        <w:numPr>
          <w:ilvl w:val="1"/>
          <w:numId w:val="3"/>
        </w:numPr>
        <w:spacing w:before="0" w:after="140"/>
        <w:contextualSpacing w:val="0"/>
      </w:pPr>
      <w:r>
        <w:rPr>
          <w:rFonts w:eastAsia="Muli" w:cs="Muli" w:asciiTheme="majorHAnsi" w:hAnsiTheme="majorHAnsi"/>
          <w:b/>
          <w:bCs/>
          <w:sz w:val="20"/>
          <w:szCs w:val="20"/>
        </w:rPr>
        <w:t xml:space="preserve">Electronic acceptance and counterparts. </w:t>
      </w:r>
      <w:r>
        <w:rPr>
          <w:rFonts w:eastAsia="Muli" w:cs="Muli" w:asciiTheme="majorHAnsi" w:hAnsiTheme="majorHAnsi"/>
          <w:sz w:val="20"/>
          <w:szCs w:val="20"/>
        </w:rPr>
        <w:t>These Terms are accepted electronically by ticking the Acceptance Box and continuing, as clause 1.5 describes. Under the Electronic Transactions Act 1999 (Cth) and equivalent State and Territory laws you agree that these Terms, notices and records may be given, accepted and kept electronically, that ticking the Acceptance Box is your agreement to these Terms, and that our records of acceptance are evidence of it. Where we also ask a Business to sign a separate document, it may be signed in counterparts, including electronically.</w:t>
      </w:r>
    </w:p>
    <w:p w14:paraId="3FA79C5E">
      <w:pPr>
        <w:pStyle w:val="20"/>
        <w:numPr>
          <w:ilvl w:val="1"/>
          <w:numId w:val="3"/>
        </w:numPr>
        <w:spacing w:before="0" w:after="140"/>
        <w:contextualSpacing w:val="0"/>
      </w:pPr>
      <w:r>
        <w:rPr>
          <w:rFonts w:eastAsia="Muli" w:cs="Muli" w:asciiTheme="majorHAnsi" w:hAnsiTheme="majorHAnsi"/>
          <w:b/>
          <w:bCs/>
          <w:sz w:val="20"/>
          <w:szCs w:val="20"/>
        </w:rPr>
        <w:t xml:space="preserve">Language. </w:t>
      </w:r>
      <w:r>
        <w:rPr>
          <w:rFonts w:eastAsia="Muli" w:cs="Muli" w:asciiTheme="majorHAnsi" w:hAnsiTheme="majorHAnsi"/>
          <w:sz w:val="20"/>
          <w:szCs w:val="20"/>
        </w:rPr>
        <w:t>If a translation conflicts with the English version, the English version applies to the extent the law permits.</w:t>
      </w:r>
    </w:p>
    <w:p w14:paraId="7F879F0B">
      <w:pPr>
        <w:pStyle w:val="20"/>
        <w:keepNext/>
        <w:numPr>
          <w:ilvl w:val="0"/>
          <w:numId w:val="3"/>
        </w:numPr>
        <w:spacing w:before="300" w:after="140"/>
        <w:contextualSpacing w:val="0"/>
        <w:rPr>
          <w:rFonts w:eastAsia="Muli" w:cs="Muli" w:asciiTheme="majorHAnsi" w:hAnsiTheme="majorHAnsi"/>
          <w:b/>
          <w:bCs/>
          <w:spacing w:val="20"/>
          <w:sz w:val="20"/>
          <w:szCs w:val="20"/>
          <w:u w:val="single"/>
        </w:rPr>
      </w:pPr>
      <w:r>
        <w:rPr>
          <w:rFonts w:eastAsia="Muli" w:cs="Muli" w:asciiTheme="majorHAnsi" w:hAnsiTheme="majorHAnsi"/>
          <w:b/>
          <w:bCs/>
          <w:spacing w:val="20"/>
          <w:sz w:val="20"/>
          <w:szCs w:val="20"/>
          <w:u w:val="single"/>
        </w:rPr>
        <w:t>CONTACT DETAILS</w:t>
      </w:r>
    </w:p>
    <w:tbl>
      <w:tblPr>
        <w:tblStyle w:val="44"/>
        <w:tblW w:w="7892" w:type="dxa"/>
        <w:tblInd w:w="1134" w:type="dxa"/>
        <w:tblBorders>
          <w:top w:val="single" w:color="404040" w:sz="4" w:space="0"/>
          <w:left w:val="none" w:color="auto" w:sz="0" w:space="0"/>
          <w:bottom w:val="single" w:color="404040" w:sz="4" w:space="0"/>
          <w:right w:val="none" w:color="auto" w:sz="0" w:space="0"/>
          <w:insideH w:val="single" w:color="404040" w:sz="4" w:space="0"/>
          <w:insideV w:val="none" w:color="auto" w:sz="0" w:space="0"/>
        </w:tblBorders>
        <w:tblLayout w:type="fixed"/>
        <w:tblCellMar>
          <w:top w:w="0" w:type="dxa"/>
          <w:left w:w="108" w:type="dxa"/>
          <w:bottom w:w="0" w:type="dxa"/>
          <w:right w:w="108" w:type="dxa"/>
        </w:tblCellMar>
      </w:tblPr>
      <w:tblGrid>
        <w:gridCol w:w="2300"/>
        <w:gridCol w:w="5592"/>
      </w:tblGrid>
      <w:tr w14:paraId="70B2DEE9">
        <w:trPr>
          <w:cantSplit/>
        </w:trPr>
        <w:tc>
          <w:tcPr>
            <w:tcW w:w="2300" w:type="dxa"/>
          </w:tcPr>
          <w:p w14:paraId="2C21BD2B">
            <w:pPr>
              <w:spacing w:before="60" w:after="60"/>
            </w:pPr>
            <w:r>
              <w:rPr>
                <w:rFonts w:eastAsia="Muli" w:cs="Muli" w:asciiTheme="majorHAnsi" w:hAnsiTheme="majorHAnsi"/>
                <w:b/>
                <w:bCs/>
                <w:sz w:val="18"/>
                <w:szCs w:val="18"/>
              </w:rPr>
              <w:t>Company</w:t>
            </w:r>
          </w:p>
        </w:tc>
        <w:tc>
          <w:tcPr>
            <w:tcW w:w="5592" w:type="dxa"/>
          </w:tcPr>
          <w:p w14:paraId="046FCD34">
            <w:pPr>
              <w:spacing w:before="60" w:after="60"/>
            </w:pPr>
            <w:r>
              <w:rPr>
                <w:rFonts w:eastAsia="Muli" w:cs="Muli" w:asciiTheme="majorHAnsi" w:hAnsiTheme="majorHAnsi"/>
                <w:sz w:val="18"/>
                <w:szCs w:val="18"/>
              </w:rPr>
              <w:t>TWCW Pty Ltd (trading as 1Stop)</w:t>
            </w:r>
          </w:p>
        </w:tc>
      </w:tr>
      <w:tr w14:paraId="4270650D">
        <w:trPr>
          <w:cantSplit/>
        </w:trPr>
        <w:tc>
          <w:tcPr>
            <w:tcW w:w="2300" w:type="dxa"/>
          </w:tcPr>
          <w:p w14:paraId="18C6B35E">
            <w:pPr>
              <w:spacing w:before="60" w:after="60"/>
            </w:pPr>
            <w:r>
              <w:rPr>
                <w:rFonts w:eastAsia="Muli" w:cs="Muli" w:asciiTheme="majorHAnsi" w:hAnsiTheme="majorHAnsi"/>
                <w:b/>
                <w:bCs/>
                <w:sz w:val="18"/>
                <w:szCs w:val="18"/>
              </w:rPr>
              <w:t>ACN / ABN</w:t>
            </w:r>
          </w:p>
        </w:tc>
        <w:tc>
          <w:tcPr>
            <w:tcW w:w="5592" w:type="dxa"/>
          </w:tcPr>
          <w:p w14:paraId="68DE65FE">
            <w:pPr>
              <w:spacing w:before="60" w:after="60"/>
              <w:rPr>
                <w:rFonts w:hint="default"/>
                <w:lang w:val="en-US"/>
              </w:rPr>
            </w:pPr>
            <w:r>
              <w:rPr>
                <w:rFonts w:eastAsia="Muli" w:cs="Muli" w:asciiTheme="majorHAnsi" w:hAnsiTheme="majorHAnsi"/>
                <w:sz w:val="18"/>
                <w:szCs w:val="18"/>
              </w:rPr>
              <w:t>ACN 665 682 324 / ABN</w:t>
            </w:r>
            <w:r>
              <w:rPr>
                <w:rFonts w:hint="default" w:eastAsia="Muli" w:cs="Muli" w:asciiTheme="majorHAnsi" w:hAnsiTheme="majorHAnsi"/>
                <w:sz w:val="18"/>
                <w:szCs w:val="18"/>
                <w:lang w:val="en-US"/>
              </w:rPr>
              <w:t xml:space="preserve"> 49 </w:t>
            </w:r>
            <w:r>
              <w:rPr>
                <w:rFonts w:eastAsia="Muli" w:cs="Muli" w:asciiTheme="majorHAnsi" w:hAnsiTheme="majorHAnsi"/>
                <w:sz w:val="18"/>
                <w:szCs w:val="18"/>
              </w:rPr>
              <w:t>665 682 324</w:t>
            </w:r>
          </w:p>
        </w:tc>
      </w:tr>
      <w:tr w14:paraId="77928D7E">
        <w:trPr>
          <w:cantSplit/>
        </w:trPr>
        <w:tc>
          <w:tcPr>
            <w:tcW w:w="2300" w:type="dxa"/>
          </w:tcPr>
          <w:p w14:paraId="3CFA719D">
            <w:pPr>
              <w:spacing w:before="60" w:after="60"/>
            </w:pPr>
            <w:r>
              <w:rPr>
                <w:rFonts w:eastAsia="Muli" w:cs="Muli" w:asciiTheme="majorHAnsi" w:hAnsiTheme="majorHAnsi"/>
                <w:b/>
                <w:bCs/>
                <w:sz w:val="18"/>
                <w:szCs w:val="18"/>
              </w:rPr>
              <w:t>Registered office</w:t>
            </w:r>
          </w:p>
        </w:tc>
        <w:tc>
          <w:tcPr>
            <w:tcW w:w="5592" w:type="dxa"/>
          </w:tcPr>
          <w:p w14:paraId="5C382189">
            <w:pPr>
              <w:spacing w:before="60" w:after="60"/>
            </w:pPr>
            <w:r>
              <w:rPr>
                <w:rFonts w:hint="default" w:eastAsia="Muli" w:cs="Muli" w:asciiTheme="majorHAnsi" w:hAnsiTheme="majorHAnsi"/>
                <w:sz w:val="18"/>
                <w:szCs w:val="18"/>
                <w:lang w:val="en-US"/>
              </w:rPr>
              <w:t>Perth,</w:t>
            </w:r>
            <w:r>
              <w:rPr>
                <w:rFonts w:eastAsia="Muli" w:cs="Muli" w:asciiTheme="majorHAnsi" w:hAnsiTheme="majorHAnsi"/>
                <w:sz w:val="18"/>
                <w:szCs w:val="18"/>
              </w:rPr>
              <w:t xml:space="preserve"> WA 6036, Australia</w:t>
            </w:r>
          </w:p>
        </w:tc>
      </w:tr>
      <w:tr w14:paraId="273E6741">
        <w:trPr>
          <w:cantSplit/>
        </w:trPr>
        <w:tc>
          <w:tcPr>
            <w:tcW w:w="2300" w:type="dxa"/>
          </w:tcPr>
          <w:p w14:paraId="0162F788">
            <w:pPr>
              <w:spacing w:before="60" w:after="60"/>
            </w:pPr>
            <w:r>
              <w:rPr>
                <w:rFonts w:eastAsia="Muli" w:cs="Muli" w:asciiTheme="majorHAnsi" w:hAnsiTheme="majorHAnsi"/>
                <w:b/>
                <w:bCs/>
                <w:sz w:val="18"/>
                <w:szCs w:val="18"/>
              </w:rPr>
              <w:t>Enquiries, privacy, legal and takedown notices</w:t>
            </w:r>
          </w:p>
        </w:tc>
        <w:tc>
          <w:tcPr>
            <w:tcW w:w="5592" w:type="dxa"/>
          </w:tcPr>
          <w:p w14:paraId="2472D63F">
            <w:pPr>
              <w:spacing w:before="60" w:after="60"/>
            </w:pPr>
            <w:r>
              <w:rPr>
                <w:rFonts w:eastAsia="Muli" w:cs="Muli" w:asciiTheme="majorHAnsi" w:hAnsiTheme="majorHAnsi"/>
                <w:sz w:val="18"/>
                <w:szCs w:val="18"/>
              </w:rPr>
              <w:t>team@1stopapp.com</w:t>
            </w:r>
          </w:p>
        </w:tc>
      </w:tr>
      <w:tr w14:paraId="5E56290D">
        <w:trPr>
          <w:cantSplit/>
        </w:trPr>
        <w:tc>
          <w:tcPr>
            <w:tcW w:w="2300" w:type="dxa"/>
          </w:tcPr>
          <w:p w14:paraId="0FCC7E88">
            <w:pPr>
              <w:spacing w:before="60" w:after="60"/>
            </w:pPr>
            <w:r>
              <w:rPr>
                <w:rFonts w:eastAsia="Muli" w:cs="Muli" w:asciiTheme="majorHAnsi" w:hAnsiTheme="majorHAnsi"/>
                <w:b/>
                <w:bCs/>
                <w:sz w:val="18"/>
                <w:szCs w:val="18"/>
              </w:rPr>
              <w:t>Website</w:t>
            </w:r>
          </w:p>
        </w:tc>
        <w:tc>
          <w:tcPr>
            <w:tcW w:w="5592" w:type="dxa"/>
          </w:tcPr>
          <w:p w14:paraId="4F56C713">
            <w:pPr>
              <w:spacing w:before="60" w:after="60"/>
            </w:pPr>
            <w:r>
              <w:rPr>
                <w:rFonts w:eastAsia="Muli" w:cs="Muli" w:asciiTheme="majorHAnsi" w:hAnsiTheme="majorHAnsi"/>
                <w:sz w:val="18"/>
                <w:szCs w:val="18"/>
              </w:rPr>
              <w:t>https://www.theonenetwork.org</w:t>
            </w:r>
          </w:p>
        </w:tc>
      </w:tr>
      <w:tr w14:paraId="05810EFE">
        <w:trPr>
          <w:cantSplit/>
        </w:trPr>
        <w:tc>
          <w:tcPr>
            <w:tcW w:w="2300" w:type="dxa"/>
          </w:tcPr>
          <w:p w14:paraId="51A2E401">
            <w:pPr>
              <w:spacing w:before="60" w:after="60"/>
            </w:pPr>
            <w:r>
              <w:rPr>
                <w:rFonts w:eastAsia="Muli" w:cs="Muli" w:asciiTheme="majorHAnsi" w:hAnsiTheme="majorHAnsi"/>
                <w:b/>
                <w:bCs/>
                <w:sz w:val="18"/>
                <w:szCs w:val="18"/>
              </w:rPr>
              <w:t>Regulators</w:t>
            </w:r>
          </w:p>
        </w:tc>
        <w:tc>
          <w:tcPr>
            <w:tcW w:w="5592" w:type="dxa"/>
          </w:tcPr>
          <w:p w14:paraId="37EE06A0">
            <w:pPr>
              <w:spacing w:before="60" w:after="60"/>
            </w:pPr>
            <w:r>
              <w:rPr>
                <w:rFonts w:eastAsia="Muli" w:cs="Muli" w:asciiTheme="majorHAnsi" w:hAnsiTheme="majorHAnsi"/>
                <w:sz w:val="18"/>
                <w:szCs w:val="18"/>
              </w:rPr>
              <w:t>ACCC: www.accc.gov.au  |  ASIC: www.asic.gov.au  |  OAIC: www.oaic.gov.au  |  eSafety: www.esafety.gov.au</w:t>
            </w:r>
          </w:p>
        </w:tc>
      </w:tr>
    </w:tbl>
    <w:p w14:paraId="37E98A40">
      <w:r>
        <w:br w:type="page"/>
      </w:r>
    </w:p>
    <w:p w14:paraId="3A566C99">
      <w:pPr>
        <w:spacing w:before="0" w:after="200"/>
        <w:jc w:val="center"/>
      </w:pPr>
      <w:r>
        <w:rPr>
          <w:rFonts w:eastAsia="Muli" w:cs="Muli" w:asciiTheme="majorHAnsi" w:hAnsiTheme="majorHAnsi"/>
          <w:b/>
          <w:bCs/>
          <w:spacing w:val="20"/>
          <w:sz w:val="20"/>
          <w:szCs w:val="20"/>
          <w:u w:val="single"/>
        </w:rPr>
        <w:t>ACCEPTANCE PANEL</w:t>
      </w:r>
    </w:p>
    <w:p w14:paraId="5FA393E5">
      <w:pPr>
        <w:spacing w:before="0" w:after="120"/>
      </w:pPr>
      <w:r>
        <w:rPr>
          <w:rFonts w:eastAsia="Muli" w:cs="Muli" w:asciiTheme="majorHAnsi" w:hAnsiTheme="majorHAnsi"/>
          <w:b/>
          <w:bCs/>
          <w:sz w:val="20"/>
          <w:szCs w:val="20"/>
        </w:rPr>
        <w:t>Accepted by ticking the Acceptance Box</w:t>
      </w:r>
    </w:p>
    <w:p w14:paraId="141D685F">
      <w:pPr>
        <w:spacing w:before="0" w:after="120"/>
      </w:pPr>
      <w:r>
        <w:rPr>
          <w:rFonts w:eastAsia="Muli" w:cs="Muli" w:asciiTheme="majorHAnsi" w:hAnsiTheme="majorHAnsi"/>
          <w:sz w:val="20"/>
          <w:szCs w:val="20"/>
        </w:rPr>
        <w:t>You enter into these Terms by ticking the Acceptance Box shown on the Platform and continuing, as clause 1.5 explains. You do not sign anything. The screens below show the wording you will see. Each box is unticked until you tick it, and the button to continue stays inactive until you do. The full Terms, the Privacy Policy and the Cookie and Tracking Policy can be opened from the screen before you tick.</w:t>
      </w:r>
    </w:p>
    <w:p w14:paraId="03ABF209">
      <w:pPr>
        <w:keepNext/>
        <w:spacing w:before="200" w:after="80"/>
      </w:pPr>
      <w:r>
        <w:rPr>
          <w:rFonts w:eastAsia="Muli" w:cs="Muli" w:asciiTheme="majorHAnsi" w:hAnsiTheme="majorHAnsi"/>
          <w:b/>
          <w:bCs/>
          <w:sz w:val="20"/>
          <w:szCs w:val="20"/>
        </w:rPr>
        <w:t>Registration screen (everyone)</w:t>
      </w:r>
    </w:p>
    <w:tbl>
      <w:tblPr>
        <w:tblStyle w:val="9"/>
        <w:tblW w:w="9026" w:type="dxa"/>
        <w:tblInd w:w="0" w:type="dxa"/>
        <w:tblLayout w:type="fixed"/>
        <w:tblCellMar>
          <w:top w:w="0" w:type="dxa"/>
          <w:left w:w="108" w:type="dxa"/>
          <w:bottom w:w="0" w:type="dxa"/>
          <w:right w:w="108" w:type="dxa"/>
        </w:tblCellMar>
      </w:tblPr>
      <w:tblGrid>
        <w:gridCol w:w="600"/>
        <w:gridCol w:w="8426"/>
      </w:tblGrid>
      <w:tr w14:paraId="7608BB92">
        <w:trPr>
          <w:cantSplit/>
        </w:trPr>
        <w:tc>
          <w:tcPr>
            <w:tcW w:w="600" w:type="dxa"/>
            <w:tcBorders>
              <w:top w:val="single" w:color="404040" w:sz="6" w:space="0"/>
              <w:left w:val="single" w:color="404040" w:sz="6" w:space="0"/>
              <w:bottom w:val="single" w:color="404040" w:sz="6" w:space="0"/>
              <w:right w:val="single" w:color="404040" w:sz="6" w:space="0"/>
            </w:tcBorders>
            <w:shd w:val="clear" w:color="auto" w:fill="FFFFFF"/>
          </w:tcPr>
          <w:p w14:paraId="6BF05FCF">
            <w:pPr>
              <w:spacing w:before="60" w:after="60"/>
              <w:jc w:val="both"/>
            </w:pPr>
          </w:p>
        </w:tc>
        <w:tc>
          <w:tcPr>
            <w:tcW w:w="8426" w:type="dxa"/>
            <w:tcBorders>
              <w:top w:val="single" w:color="404040" w:sz="6" w:space="0"/>
              <w:left w:val="single" w:color="404040" w:sz="6" w:space="0"/>
              <w:bottom w:val="single" w:color="404040" w:sz="6" w:space="0"/>
              <w:right w:val="single" w:color="404040" w:sz="6" w:space="0"/>
            </w:tcBorders>
            <w:shd w:val="clear" w:color="auto" w:fill="FFFFFF"/>
          </w:tcPr>
          <w:p w14:paraId="471DCFB8">
            <w:pPr>
              <w:spacing w:before="60" w:after="80"/>
            </w:pPr>
            <w:r>
              <w:rPr>
                <w:rFonts w:eastAsia="Muli" w:cs="Muli" w:asciiTheme="majorHAnsi" w:hAnsiTheme="majorHAnsi"/>
                <w:sz w:val="19"/>
                <w:szCs w:val="19"/>
              </w:rPr>
              <w:t xml:space="preserve">I am at least </w:t>
            </w:r>
            <w:r>
              <w:rPr>
                <w:rFonts w:eastAsia="Muli" w:cs="Muli" w:asciiTheme="majorHAnsi" w:hAnsiTheme="majorHAnsi"/>
                <w:sz w:val="19"/>
                <w:szCs w:val="19"/>
                <w:highlight w:val="lightGray"/>
              </w:rPr>
              <w:t>[16]</w:t>
            </w:r>
            <w:r>
              <w:rPr>
                <w:rFonts w:eastAsia="Muli" w:cs="Muli" w:asciiTheme="majorHAnsi" w:hAnsiTheme="majorHAnsi"/>
                <w:sz w:val="19"/>
                <w:szCs w:val="19"/>
              </w:rPr>
              <w:t xml:space="preserve"> years old. I have read and agree to the 1Stop Terms of Service, including the Cookie and Tracking Policy, and I have read the Privacy Policy.</w:t>
            </w:r>
          </w:p>
        </w:tc>
      </w:tr>
    </w:tbl>
    <w:p w14:paraId="069CF558">
      <w:pPr>
        <w:spacing w:before="0" w:after="60"/>
      </w:pPr>
    </w:p>
    <w:p w14:paraId="4163103F">
      <w:pPr>
        <w:spacing w:before="0" w:after="120"/>
      </w:pPr>
      <w:r>
        <w:rPr>
          <w:rFonts w:eastAsia="Muli" w:cs="Muli" w:asciiTheme="majorHAnsi" w:hAnsiTheme="majorHAnsi"/>
          <w:sz w:val="18"/>
          <w:szCs w:val="18"/>
        </w:rPr>
        <w:t>Button: Create account (inactive until the box is ticked).</w:t>
      </w:r>
    </w:p>
    <w:p w14:paraId="16194D4C">
      <w:pPr>
        <w:keepNext/>
        <w:spacing w:before="200" w:after="80"/>
      </w:pPr>
      <w:r>
        <w:rPr>
          <w:rFonts w:eastAsia="Muli" w:cs="Muli" w:asciiTheme="majorHAnsi" w:hAnsiTheme="majorHAnsi"/>
          <w:b/>
          <w:bCs/>
          <w:sz w:val="20"/>
          <w:szCs w:val="20"/>
        </w:rPr>
        <w:t>Business onboarding screen (in addition)</w:t>
      </w:r>
    </w:p>
    <w:tbl>
      <w:tblPr>
        <w:tblStyle w:val="9"/>
        <w:tblW w:w="9026" w:type="dxa"/>
        <w:tblInd w:w="0" w:type="dxa"/>
        <w:tblLayout w:type="fixed"/>
        <w:tblCellMar>
          <w:top w:w="0" w:type="dxa"/>
          <w:left w:w="108" w:type="dxa"/>
          <w:bottom w:w="0" w:type="dxa"/>
          <w:right w:w="108" w:type="dxa"/>
        </w:tblCellMar>
      </w:tblPr>
      <w:tblGrid>
        <w:gridCol w:w="600"/>
        <w:gridCol w:w="8426"/>
      </w:tblGrid>
      <w:tr w14:paraId="42A14FC9">
        <w:trPr>
          <w:cantSplit/>
        </w:trPr>
        <w:tc>
          <w:tcPr>
            <w:tcW w:w="600" w:type="dxa"/>
            <w:tcBorders>
              <w:top w:val="single" w:color="404040" w:sz="6" w:space="0"/>
              <w:left w:val="single" w:color="404040" w:sz="6" w:space="0"/>
              <w:bottom w:val="single" w:color="404040" w:sz="6" w:space="0"/>
              <w:right w:val="single" w:color="404040" w:sz="6" w:space="0"/>
            </w:tcBorders>
            <w:shd w:val="clear" w:color="auto" w:fill="FFFFFF"/>
          </w:tcPr>
          <w:p w14:paraId="191E7184">
            <w:pPr>
              <w:spacing w:before="60" w:after="60"/>
              <w:jc w:val="center"/>
            </w:pPr>
          </w:p>
        </w:tc>
        <w:tc>
          <w:tcPr>
            <w:tcW w:w="8426" w:type="dxa"/>
            <w:tcBorders>
              <w:top w:val="single" w:color="404040" w:sz="6" w:space="0"/>
              <w:left w:val="single" w:color="404040" w:sz="6" w:space="0"/>
              <w:bottom w:val="single" w:color="404040" w:sz="6" w:space="0"/>
              <w:right w:val="single" w:color="404040" w:sz="6" w:space="0"/>
            </w:tcBorders>
            <w:shd w:val="clear" w:color="auto" w:fill="FFFFFF"/>
          </w:tcPr>
          <w:p w14:paraId="7BBBA001">
            <w:pPr>
              <w:spacing w:before="60" w:after="80"/>
            </w:pPr>
            <w:r>
              <w:rPr>
                <w:rFonts w:eastAsia="Muli" w:cs="Muli" w:asciiTheme="majorHAnsi" w:hAnsiTheme="majorHAnsi"/>
                <w:sz w:val="19"/>
                <w:szCs w:val="19"/>
              </w:rPr>
              <w:t xml:space="preserve">I am authorised to accept these Terms for </w:t>
            </w:r>
            <w:r>
              <w:rPr>
                <w:rFonts w:eastAsia="Muli" w:cs="Muli" w:asciiTheme="majorHAnsi" w:hAnsiTheme="majorHAnsi"/>
                <w:sz w:val="19"/>
                <w:szCs w:val="19"/>
                <w:highlight w:val="lightGray"/>
              </w:rPr>
              <w:t>[Business name]</w:t>
            </w:r>
            <w:r>
              <w:rPr>
                <w:rFonts w:eastAsia="Muli" w:cs="Muli" w:asciiTheme="majorHAnsi" w:hAnsiTheme="majorHAnsi"/>
                <w:sz w:val="19"/>
                <w:szCs w:val="19"/>
              </w:rPr>
              <w:t xml:space="preserve"> (ABN </w:t>
            </w:r>
            <w:r>
              <w:rPr>
                <w:rFonts w:eastAsia="Muli" w:cs="Muli" w:asciiTheme="majorHAnsi" w:hAnsiTheme="majorHAnsi"/>
                <w:sz w:val="19"/>
                <w:szCs w:val="19"/>
                <w:highlight w:val="lightGray"/>
              </w:rPr>
              <w:t>[ABN]</w:t>
            </w:r>
            <w:r>
              <w:rPr>
                <w:rFonts w:eastAsia="Muli" w:cs="Muli" w:asciiTheme="majorHAnsi" w:hAnsiTheme="majorHAnsi"/>
                <w:sz w:val="19"/>
                <w:szCs w:val="19"/>
              </w:rPr>
              <w:t>) and the Business agrees to be bound by them, including Part C.</w:t>
            </w:r>
          </w:p>
        </w:tc>
      </w:tr>
    </w:tbl>
    <w:p w14:paraId="1B88A93D">
      <w:pPr>
        <w:spacing w:before="0" w:after="60"/>
      </w:pPr>
    </w:p>
    <w:tbl>
      <w:tblPr>
        <w:tblStyle w:val="9"/>
        <w:tblW w:w="9026" w:type="dxa"/>
        <w:tblInd w:w="0" w:type="dxa"/>
        <w:tblLayout w:type="fixed"/>
        <w:tblCellMar>
          <w:top w:w="0" w:type="dxa"/>
          <w:left w:w="108" w:type="dxa"/>
          <w:bottom w:w="0" w:type="dxa"/>
          <w:right w:w="108" w:type="dxa"/>
        </w:tblCellMar>
      </w:tblPr>
      <w:tblGrid>
        <w:gridCol w:w="600"/>
        <w:gridCol w:w="8426"/>
      </w:tblGrid>
      <w:tr w14:paraId="335D5CF5">
        <w:trPr>
          <w:cantSplit/>
        </w:trPr>
        <w:tc>
          <w:tcPr>
            <w:tcW w:w="600" w:type="dxa"/>
            <w:tcBorders>
              <w:top w:val="single" w:color="404040" w:sz="6" w:space="0"/>
              <w:left w:val="single" w:color="404040" w:sz="6" w:space="0"/>
              <w:bottom w:val="single" w:color="404040" w:sz="6" w:space="0"/>
              <w:right w:val="single" w:color="404040" w:sz="6" w:space="0"/>
            </w:tcBorders>
            <w:shd w:val="clear" w:color="auto" w:fill="FFFFFF"/>
          </w:tcPr>
          <w:p w14:paraId="037551F3">
            <w:pPr>
              <w:spacing w:before="60" w:after="60"/>
              <w:jc w:val="center"/>
            </w:pPr>
          </w:p>
        </w:tc>
        <w:tc>
          <w:tcPr>
            <w:tcW w:w="8426" w:type="dxa"/>
            <w:tcBorders>
              <w:top w:val="single" w:color="404040" w:sz="6" w:space="0"/>
              <w:left w:val="single" w:color="404040" w:sz="6" w:space="0"/>
              <w:bottom w:val="single" w:color="404040" w:sz="6" w:space="0"/>
              <w:right w:val="single" w:color="404040" w:sz="6" w:space="0"/>
            </w:tcBorders>
            <w:shd w:val="clear" w:color="auto" w:fill="FFFFFF"/>
          </w:tcPr>
          <w:p w14:paraId="0616D344">
            <w:pPr>
              <w:spacing w:before="60" w:after="80"/>
            </w:pPr>
            <w:r>
              <w:rPr>
                <w:rFonts w:eastAsia="Muli" w:cs="Muli" w:asciiTheme="majorHAnsi" w:hAnsiTheme="majorHAnsi"/>
                <w:sz w:val="19"/>
                <w:szCs w:val="19"/>
              </w:rPr>
              <w:t>I confirm that the Business meets the AMAPP in clause 22.</w:t>
            </w:r>
          </w:p>
        </w:tc>
      </w:tr>
    </w:tbl>
    <w:p w14:paraId="46233489">
      <w:pPr>
        <w:spacing w:before="0" w:after="60"/>
      </w:pPr>
    </w:p>
    <w:p w14:paraId="7E5F8043">
      <w:pPr>
        <w:spacing w:before="0" w:after="120"/>
      </w:pPr>
      <w:r>
        <w:rPr>
          <w:rFonts w:eastAsia="Muli" w:cs="Muli" w:asciiTheme="majorHAnsi" w:hAnsiTheme="majorHAnsi"/>
          <w:sz w:val="18"/>
          <w:szCs w:val="18"/>
        </w:rPr>
        <w:t>Stripe will then ask the Business to accept the Stripe Terms in its own onboarding flow (clause 16.8).</w:t>
      </w:r>
    </w:p>
    <w:p w14:paraId="14C5C129">
      <w:pPr>
        <w:keepNext/>
        <w:spacing w:before="200" w:after="80"/>
      </w:pPr>
      <w:r>
        <w:rPr>
          <w:rFonts w:eastAsia="Muli" w:cs="Muli" w:asciiTheme="majorHAnsi" w:hAnsiTheme="majorHAnsi"/>
          <w:b/>
          <w:bCs/>
          <w:sz w:val="20"/>
          <w:szCs w:val="20"/>
        </w:rPr>
        <w:t>Optional and separate (not needed to use the Platform)</w:t>
      </w:r>
    </w:p>
    <w:tbl>
      <w:tblPr>
        <w:tblStyle w:val="9"/>
        <w:tblW w:w="9026" w:type="dxa"/>
        <w:tblInd w:w="0" w:type="dxa"/>
        <w:tblLayout w:type="fixed"/>
        <w:tblCellMar>
          <w:top w:w="0" w:type="dxa"/>
          <w:left w:w="108" w:type="dxa"/>
          <w:bottom w:w="0" w:type="dxa"/>
          <w:right w:w="108" w:type="dxa"/>
        </w:tblCellMar>
      </w:tblPr>
      <w:tblGrid>
        <w:gridCol w:w="600"/>
        <w:gridCol w:w="8426"/>
      </w:tblGrid>
      <w:tr w14:paraId="36F02224">
        <w:trPr>
          <w:cantSplit/>
        </w:trPr>
        <w:tc>
          <w:tcPr>
            <w:tcW w:w="600" w:type="dxa"/>
            <w:tcBorders>
              <w:top w:val="single" w:color="404040" w:sz="6" w:space="0"/>
              <w:left w:val="single" w:color="404040" w:sz="6" w:space="0"/>
              <w:bottom w:val="single" w:color="404040" w:sz="6" w:space="0"/>
              <w:right w:val="single" w:color="404040" w:sz="6" w:space="0"/>
            </w:tcBorders>
            <w:shd w:val="clear" w:color="auto" w:fill="FFFFFF"/>
          </w:tcPr>
          <w:p w14:paraId="041B13E4">
            <w:pPr>
              <w:spacing w:before="60" w:after="60"/>
              <w:jc w:val="center"/>
            </w:pPr>
          </w:p>
        </w:tc>
        <w:tc>
          <w:tcPr>
            <w:tcW w:w="8426" w:type="dxa"/>
            <w:tcBorders>
              <w:top w:val="single" w:color="404040" w:sz="6" w:space="0"/>
              <w:left w:val="single" w:color="404040" w:sz="6" w:space="0"/>
              <w:bottom w:val="single" w:color="404040" w:sz="6" w:space="0"/>
              <w:right w:val="single" w:color="404040" w:sz="6" w:space="0"/>
            </w:tcBorders>
            <w:shd w:val="clear" w:color="auto" w:fill="FFFFFF"/>
          </w:tcPr>
          <w:p w14:paraId="53D6F77B">
            <w:pPr>
              <w:spacing w:before="60" w:after="80"/>
            </w:pPr>
            <w:r>
              <w:rPr>
                <w:rFonts w:eastAsia="Muli" w:cs="Muli" w:asciiTheme="majorHAnsi" w:hAnsiTheme="majorHAnsi"/>
                <w:sz w:val="19"/>
                <w:szCs w:val="19"/>
              </w:rPr>
              <w:t>Send me offers and updates from 1Stop. I can opt out at any time.</w:t>
            </w:r>
          </w:p>
        </w:tc>
      </w:tr>
    </w:tbl>
    <w:p w14:paraId="2632F53D">
      <w:pPr>
        <w:spacing w:before="0" w:after="60"/>
      </w:pPr>
    </w:p>
    <w:p w14:paraId="2620A52B">
      <w:pPr>
        <w:spacing w:before="0" w:after="120"/>
      </w:pPr>
      <w:r>
        <w:rPr>
          <w:rFonts w:eastAsia="Muli" w:cs="Muli" w:asciiTheme="majorHAnsi" w:hAnsiTheme="majorHAnsi"/>
          <w:sz w:val="18"/>
          <w:szCs w:val="18"/>
        </w:rPr>
        <w:t>This box is never combined with the Terms and is unticked by default.</w:t>
      </w:r>
    </w:p>
    <w:p w14:paraId="7437337E">
      <w:pPr>
        <w:keepNext/>
        <w:spacing w:before="200" w:after="80"/>
      </w:pPr>
      <w:r>
        <w:rPr>
          <w:rFonts w:eastAsia="Muli" w:cs="Muli" w:asciiTheme="majorHAnsi" w:hAnsiTheme="majorHAnsi"/>
          <w:b/>
          <w:bCs/>
          <w:sz w:val="20"/>
          <w:szCs w:val="20"/>
        </w:rPr>
        <w:t>What we record</w:t>
      </w:r>
    </w:p>
    <w:p w14:paraId="01886545">
      <w:pPr>
        <w:spacing w:before="0" w:after="160"/>
      </w:pPr>
      <w:r>
        <w:rPr>
          <w:rFonts w:eastAsia="Muli" w:cs="Muli" w:asciiTheme="majorHAnsi" w:hAnsiTheme="majorHAnsi"/>
          <w:sz w:val="20"/>
          <w:szCs w:val="20"/>
        </w:rPr>
        <w:t xml:space="preserve">When you tick the Acceptance Box we record your user ID, the date and time, the version of the Terms shown, the app version and your device type, and keep the record for </w:t>
      </w:r>
      <w:r>
        <w:rPr>
          <w:rFonts w:eastAsia="Muli" w:cs="Muli" w:asciiTheme="majorHAnsi" w:hAnsiTheme="majorHAnsi"/>
          <w:sz w:val="20"/>
          <w:szCs w:val="20"/>
          <w:highlight w:val="lightGray"/>
        </w:rPr>
        <w:t>[six]</w:t>
      </w:r>
      <w:r>
        <w:rPr>
          <w:rFonts w:eastAsia="Muli" w:cs="Muli" w:asciiTheme="majorHAnsi" w:hAnsiTheme="majorHAnsi"/>
          <w:sz w:val="20"/>
          <w:szCs w:val="20"/>
        </w:rPr>
        <w:t xml:space="preserve"> years. If the Terms change materially we will show the new version and ask you to tick the box again before you carry on (clause 37).</w:t>
      </w:r>
    </w:p>
    <w:p w14:paraId="77900974">
      <w:r>
        <w:br w:type="page"/>
      </w:r>
    </w:p>
    <w:p w14:paraId="172ED795">
      <w:pPr>
        <w:spacing w:before="0" w:after="200"/>
        <w:jc w:val="center"/>
      </w:pPr>
      <w:r>
        <w:rPr>
          <w:rFonts w:eastAsia="Muli" w:cs="Muli" w:asciiTheme="majorHAnsi" w:hAnsiTheme="majorHAnsi"/>
          <w:b/>
          <w:bCs/>
          <w:spacing w:val="20"/>
          <w:sz w:val="20"/>
          <w:szCs w:val="20"/>
          <w:u w:val="single"/>
        </w:rPr>
        <w:t>SCHEDULE 1: BUSINESS PLANS AND FEES</w:t>
      </w:r>
    </w:p>
    <w:p w14:paraId="583F05C5">
      <w:pPr>
        <w:spacing w:before="0" w:after="160"/>
      </w:pPr>
      <w:r>
        <w:rPr>
          <w:rFonts w:eastAsia="Muli" w:cs="Muli" w:asciiTheme="majorHAnsi" w:hAnsiTheme="majorHAnsi"/>
          <w:sz w:val="20"/>
          <w:szCs w:val="20"/>
        </w:rPr>
        <w:t xml:space="preserve">The plans below are indicative until confirmed in the Platform at the time you subscribe (clause 15.1). Fees are in Australian dollars and </w:t>
      </w:r>
      <w:r>
        <w:rPr>
          <w:rFonts w:hint="default" w:eastAsia="Muli" w:cs="Muli" w:asciiTheme="majorHAnsi" w:hAnsiTheme="majorHAnsi"/>
          <w:sz w:val="20"/>
          <w:szCs w:val="20"/>
          <w:highlight w:val="none"/>
          <w:lang w:val="en-US"/>
        </w:rPr>
        <w:t xml:space="preserve">including </w:t>
      </w:r>
      <w:r>
        <w:rPr>
          <w:rFonts w:eastAsia="Muli" w:cs="Muli" w:asciiTheme="majorHAnsi" w:hAnsiTheme="majorHAnsi"/>
          <w:sz w:val="20"/>
          <w:szCs w:val="20"/>
        </w:rPr>
        <w:t>GST. Billing is monthly in advance through the Apple App Store or Google Play.</w:t>
      </w:r>
    </w:p>
    <w:tbl>
      <w:tblPr>
        <w:tblStyle w:val="43"/>
        <w:tblW w:w="9000" w:type="dxa"/>
        <w:tblInd w:w="0" w:type="dxa"/>
        <w:tblBorders>
          <w:top w:val="single" w:color="404040" w:sz="2" w:space="0"/>
          <w:left w:val="none" w:color="auto" w:sz="0" w:space="0"/>
          <w:bottom w:val="single" w:color="404040" w:sz="2" w:space="0"/>
          <w:right w:val="none" w:color="auto" w:sz="0" w:space="0"/>
          <w:insideH w:val="single" w:color="404040" w:sz="2" w:space="0"/>
          <w:insideV w:val="single" w:color="404040" w:sz="2" w:space="0"/>
        </w:tblBorders>
        <w:tblLayout w:type="fixed"/>
        <w:tblCellMar>
          <w:top w:w="0" w:type="dxa"/>
          <w:left w:w="108" w:type="dxa"/>
          <w:bottom w:w="0" w:type="dxa"/>
          <w:right w:w="108" w:type="dxa"/>
        </w:tblCellMar>
      </w:tblPr>
      <w:tblGrid>
        <w:gridCol w:w="2000"/>
        <w:gridCol w:w="4300"/>
        <w:gridCol w:w="2700"/>
      </w:tblGrid>
      <w:tr w14:paraId="0D6818E8">
        <w:trPr>
          <w:cantSplit/>
        </w:trPr>
        <w:tc>
          <w:tcPr>
            <w:tcW w:w="2000" w:type="dxa"/>
          </w:tcPr>
          <w:p w14:paraId="51A1537E">
            <w:pPr>
              <w:spacing w:before="60" w:after="60"/>
            </w:pPr>
            <w:r>
              <w:rPr>
                <w:rFonts w:eastAsia="Muli" w:cs="Muli" w:asciiTheme="majorHAnsi" w:hAnsiTheme="majorHAnsi"/>
                <w:b/>
                <w:bCs/>
                <w:sz w:val="18"/>
                <w:szCs w:val="18"/>
              </w:rPr>
              <w:t>Plan</w:t>
            </w:r>
          </w:p>
        </w:tc>
        <w:tc>
          <w:tcPr>
            <w:tcW w:w="4300" w:type="dxa"/>
          </w:tcPr>
          <w:p w14:paraId="3CC89050">
            <w:pPr>
              <w:spacing w:before="60" w:after="60"/>
            </w:pPr>
            <w:r>
              <w:rPr>
                <w:rFonts w:eastAsia="Muli" w:cs="Muli" w:asciiTheme="majorHAnsi" w:hAnsiTheme="majorHAnsi"/>
                <w:b/>
                <w:bCs/>
                <w:sz w:val="18"/>
                <w:szCs w:val="18"/>
              </w:rPr>
              <w:t>Indicative features</w:t>
            </w:r>
          </w:p>
        </w:tc>
        <w:tc>
          <w:tcPr>
            <w:tcW w:w="2700" w:type="dxa"/>
          </w:tcPr>
          <w:p w14:paraId="56DAFAD7">
            <w:pPr>
              <w:spacing w:before="60" w:after="60"/>
            </w:pPr>
            <w:r>
              <w:rPr>
                <w:rFonts w:eastAsia="Muli" w:cs="Muli" w:asciiTheme="majorHAnsi" w:hAnsiTheme="majorHAnsi"/>
                <w:b/>
                <w:bCs/>
                <w:sz w:val="18"/>
                <w:szCs w:val="18"/>
              </w:rPr>
              <w:t>Fee (AUD / month)</w:t>
            </w:r>
          </w:p>
        </w:tc>
      </w:tr>
      <w:tr w14:paraId="61008DCF">
        <w:trPr>
          <w:cantSplit/>
        </w:trPr>
        <w:tc>
          <w:tcPr>
            <w:tcW w:w="2000" w:type="dxa"/>
          </w:tcPr>
          <w:p w14:paraId="4CF8BBF5">
            <w:pPr>
              <w:spacing w:before="60" w:after="60"/>
            </w:pPr>
            <w:r>
              <w:rPr>
                <w:rFonts w:eastAsia="Muli" w:cs="Muli" w:asciiTheme="majorHAnsi" w:hAnsiTheme="majorHAnsi"/>
                <w:b/>
                <w:bCs/>
                <w:sz w:val="18"/>
                <w:szCs w:val="18"/>
              </w:rPr>
              <w:t>Bronze</w:t>
            </w:r>
          </w:p>
        </w:tc>
        <w:tc>
          <w:tcPr>
            <w:tcW w:w="4300" w:type="dxa"/>
          </w:tcPr>
          <w:p w14:paraId="13728DFC">
            <w:pPr>
              <w:spacing w:before="60" w:after="60"/>
            </w:pPr>
            <w:r>
              <w:rPr>
                <w:rFonts w:eastAsia="Muli" w:cs="Muli" w:asciiTheme="majorHAnsi" w:hAnsiTheme="majorHAnsi"/>
                <w:sz w:val="18"/>
                <w:szCs w:val="18"/>
              </w:rPr>
              <w:t>Upto 2 Live ads</w:t>
            </w:r>
          </w:p>
        </w:tc>
        <w:tc>
          <w:tcPr>
            <w:tcW w:w="2700" w:type="dxa"/>
          </w:tcPr>
          <w:p w14:paraId="30FE7F6C">
            <w:pPr>
              <w:spacing w:before="60" w:after="60"/>
              <w:rPr>
                <w:highlight w:val="none"/>
              </w:rPr>
            </w:pPr>
            <w:r>
              <w:rPr>
                <w:rFonts w:eastAsia="Muli" w:cs="Muli" w:asciiTheme="majorHAnsi" w:hAnsiTheme="majorHAnsi"/>
                <w:sz w:val="18"/>
                <w:szCs w:val="18"/>
                <w:highlight w:val="none"/>
              </w:rPr>
              <w:t>[$19.99]</w:t>
            </w:r>
          </w:p>
        </w:tc>
      </w:tr>
      <w:tr w14:paraId="5FE9F9FD">
        <w:trPr>
          <w:cantSplit/>
        </w:trPr>
        <w:tc>
          <w:tcPr>
            <w:tcW w:w="2000" w:type="dxa"/>
          </w:tcPr>
          <w:p w14:paraId="64182274">
            <w:pPr>
              <w:spacing w:before="60" w:after="60"/>
            </w:pPr>
            <w:r>
              <w:rPr>
                <w:rFonts w:eastAsia="Muli" w:cs="Muli" w:asciiTheme="majorHAnsi" w:hAnsiTheme="majorHAnsi"/>
                <w:b/>
                <w:bCs/>
                <w:sz w:val="18"/>
                <w:szCs w:val="18"/>
              </w:rPr>
              <w:t>Silver</w:t>
            </w:r>
          </w:p>
        </w:tc>
        <w:tc>
          <w:tcPr>
            <w:tcW w:w="4300" w:type="dxa"/>
          </w:tcPr>
          <w:p w14:paraId="0E8CCC3D">
            <w:pPr>
              <w:spacing w:before="60" w:after="60"/>
            </w:pPr>
            <w:r>
              <w:rPr>
                <w:rFonts w:eastAsia="Muli" w:cs="Muli" w:asciiTheme="majorHAnsi" w:hAnsiTheme="majorHAnsi"/>
                <w:sz w:val="18"/>
                <w:szCs w:val="18"/>
              </w:rPr>
              <w:t>3-5 Live ads</w:t>
            </w:r>
          </w:p>
        </w:tc>
        <w:tc>
          <w:tcPr>
            <w:tcW w:w="2700" w:type="dxa"/>
          </w:tcPr>
          <w:p w14:paraId="61EB108D">
            <w:pPr>
              <w:spacing w:before="60" w:after="60"/>
              <w:rPr>
                <w:highlight w:val="none"/>
              </w:rPr>
            </w:pPr>
            <w:r>
              <w:rPr>
                <w:rFonts w:eastAsia="Muli" w:cs="Muli" w:asciiTheme="majorHAnsi" w:hAnsiTheme="majorHAnsi"/>
                <w:sz w:val="18"/>
                <w:szCs w:val="18"/>
                <w:highlight w:val="none"/>
              </w:rPr>
              <w:t>[$29.99]</w:t>
            </w:r>
          </w:p>
        </w:tc>
      </w:tr>
      <w:tr w14:paraId="60979A81">
        <w:trPr>
          <w:cantSplit/>
        </w:trPr>
        <w:tc>
          <w:tcPr>
            <w:tcW w:w="2000" w:type="dxa"/>
          </w:tcPr>
          <w:p w14:paraId="4B820C8A">
            <w:pPr>
              <w:spacing w:before="60" w:after="60"/>
            </w:pPr>
            <w:r>
              <w:rPr>
                <w:rFonts w:eastAsia="Muli" w:cs="Muli" w:asciiTheme="majorHAnsi" w:hAnsiTheme="majorHAnsi"/>
                <w:b/>
                <w:bCs/>
                <w:sz w:val="18"/>
                <w:szCs w:val="18"/>
              </w:rPr>
              <w:t>Gold</w:t>
            </w:r>
          </w:p>
        </w:tc>
        <w:tc>
          <w:tcPr>
            <w:tcW w:w="4300" w:type="dxa"/>
          </w:tcPr>
          <w:p w14:paraId="206A9352">
            <w:pPr>
              <w:spacing w:before="60" w:after="60"/>
            </w:pPr>
            <w:r>
              <w:rPr>
                <w:rFonts w:eastAsia="Muli" w:cs="Muli" w:asciiTheme="majorHAnsi" w:hAnsiTheme="majorHAnsi"/>
                <w:sz w:val="18"/>
                <w:szCs w:val="18"/>
              </w:rPr>
              <w:t>Unlimited live ads</w:t>
            </w:r>
          </w:p>
        </w:tc>
        <w:tc>
          <w:tcPr>
            <w:tcW w:w="2700" w:type="dxa"/>
          </w:tcPr>
          <w:p w14:paraId="1E4BEA38">
            <w:pPr>
              <w:spacing w:before="60" w:after="60"/>
              <w:rPr>
                <w:highlight w:val="none"/>
              </w:rPr>
            </w:pPr>
            <w:r>
              <w:rPr>
                <w:rFonts w:eastAsia="Muli" w:cs="Muli" w:asciiTheme="majorHAnsi" w:hAnsiTheme="majorHAnsi"/>
                <w:sz w:val="18"/>
                <w:szCs w:val="18"/>
                <w:highlight w:val="none"/>
              </w:rPr>
              <w:t>[$49.99]</w:t>
            </w:r>
          </w:p>
        </w:tc>
      </w:tr>
    </w:tbl>
    <w:p w14:paraId="303397BE">
      <w:pPr>
        <w:spacing w:before="0" w:after="160"/>
      </w:pPr>
    </w:p>
    <w:tbl>
      <w:tblPr>
        <w:tblStyle w:val="43"/>
        <w:tblW w:w="9000" w:type="dxa"/>
        <w:tblInd w:w="0" w:type="dxa"/>
        <w:tblBorders>
          <w:top w:val="single" w:color="404040" w:sz="2" w:space="0"/>
          <w:left w:val="none" w:color="auto" w:sz="0" w:space="0"/>
          <w:bottom w:val="single" w:color="404040" w:sz="2" w:space="0"/>
          <w:right w:val="none" w:color="auto" w:sz="0" w:space="0"/>
          <w:insideH w:val="single" w:color="404040" w:sz="2" w:space="0"/>
          <w:insideV w:val="single" w:color="404040" w:sz="2" w:space="0"/>
        </w:tblBorders>
        <w:tblLayout w:type="fixed"/>
        <w:tblCellMar>
          <w:top w:w="0" w:type="dxa"/>
          <w:left w:w="108" w:type="dxa"/>
          <w:bottom w:w="0" w:type="dxa"/>
          <w:right w:w="108" w:type="dxa"/>
        </w:tblCellMar>
      </w:tblPr>
      <w:tblGrid>
        <w:gridCol w:w="2300"/>
        <w:gridCol w:w="6700"/>
      </w:tblGrid>
      <w:tr w14:paraId="1FDF9BFE">
        <w:trPr>
          <w:cantSplit/>
        </w:trPr>
        <w:tc>
          <w:tcPr>
            <w:tcW w:w="2300" w:type="dxa"/>
          </w:tcPr>
          <w:p w14:paraId="17E4AFFD">
            <w:pPr>
              <w:spacing w:before="60" w:after="60"/>
            </w:pPr>
            <w:r>
              <w:rPr>
                <w:rFonts w:eastAsia="Muli" w:cs="Muli" w:asciiTheme="majorHAnsi" w:hAnsiTheme="majorHAnsi"/>
                <w:b/>
                <w:bCs/>
                <w:sz w:val="18"/>
                <w:szCs w:val="18"/>
              </w:rPr>
              <w:t>Item</w:t>
            </w:r>
          </w:p>
        </w:tc>
        <w:tc>
          <w:tcPr>
            <w:tcW w:w="6700" w:type="dxa"/>
          </w:tcPr>
          <w:p w14:paraId="6AFB93B5">
            <w:pPr>
              <w:spacing w:before="60" w:after="60"/>
            </w:pPr>
            <w:r>
              <w:rPr>
                <w:rFonts w:eastAsia="Muli" w:cs="Muli" w:asciiTheme="majorHAnsi" w:hAnsiTheme="majorHAnsi"/>
                <w:b/>
                <w:bCs/>
                <w:sz w:val="18"/>
                <w:szCs w:val="18"/>
              </w:rPr>
              <w:t>Terms</w:t>
            </w:r>
          </w:p>
        </w:tc>
      </w:tr>
      <w:tr w14:paraId="364A18A1">
        <w:trPr>
          <w:cantSplit/>
        </w:trPr>
        <w:tc>
          <w:tcPr>
            <w:tcW w:w="2300" w:type="dxa"/>
          </w:tcPr>
          <w:p w14:paraId="55718120">
            <w:pPr>
              <w:spacing w:before="60" w:after="60"/>
            </w:pPr>
            <w:r>
              <w:rPr>
                <w:rFonts w:eastAsia="Muli" w:cs="Muli" w:asciiTheme="majorHAnsi" w:hAnsiTheme="majorHAnsi"/>
                <w:b/>
                <w:bCs/>
                <w:sz w:val="18"/>
                <w:szCs w:val="18"/>
              </w:rPr>
              <w:t>Free trial</w:t>
            </w:r>
          </w:p>
        </w:tc>
        <w:tc>
          <w:tcPr>
            <w:tcW w:w="6700" w:type="dxa"/>
          </w:tcPr>
          <w:p w14:paraId="7B08F570">
            <w:pPr>
              <w:spacing w:before="60" w:after="60"/>
              <w:rPr>
                <w:highlight w:val="none"/>
              </w:rPr>
            </w:pPr>
            <w:r>
              <w:rPr>
                <w:rFonts w:eastAsia="Muli" w:cs="Muli" w:asciiTheme="majorHAnsi" w:hAnsiTheme="majorHAnsi"/>
                <w:sz w:val="18"/>
                <w:szCs w:val="18"/>
                <w:highlight w:val="none"/>
              </w:rPr>
              <w:t>[Three] months from activation for eligible new Businesses (clause 15.3). Converts to the paid plan unless cancelled before the trial ends, as disclosed to you before the trial starts (clause 15.4).</w:t>
            </w:r>
          </w:p>
        </w:tc>
      </w:tr>
      <w:tr w14:paraId="0AE69579">
        <w:trPr>
          <w:cantSplit/>
        </w:trPr>
        <w:tc>
          <w:tcPr>
            <w:tcW w:w="2300" w:type="dxa"/>
          </w:tcPr>
          <w:p w14:paraId="6E7692F7">
            <w:pPr>
              <w:spacing w:before="60" w:after="60"/>
            </w:pPr>
            <w:r>
              <w:rPr>
                <w:rFonts w:eastAsia="Muli" w:cs="Muli" w:asciiTheme="majorHAnsi" w:hAnsiTheme="majorHAnsi"/>
                <w:b/>
                <w:bCs/>
                <w:sz w:val="18"/>
                <w:szCs w:val="18"/>
              </w:rPr>
              <w:t>Pre-launch offer</w:t>
            </w:r>
          </w:p>
        </w:tc>
        <w:tc>
          <w:tcPr>
            <w:tcW w:w="6700" w:type="dxa"/>
          </w:tcPr>
          <w:p w14:paraId="34489072">
            <w:pPr>
              <w:spacing w:before="60" w:after="60"/>
              <w:rPr>
                <w:highlight w:val="none"/>
              </w:rPr>
            </w:pPr>
            <w:r>
              <w:rPr>
                <w:rFonts w:eastAsia="Muli" w:cs="Muli" w:asciiTheme="majorHAnsi" w:hAnsiTheme="majorHAnsi"/>
                <w:sz w:val="18"/>
                <w:szCs w:val="18"/>
                <w:highlight w:val="none"/>
              </w:rPr>
              <w:t>[An additional month to make it 4 free months] The offer as published when made applies to the Business that accepted it.</w:t>
            </w:r>
          </w:p>
        </w:tc>
      </w:tr>
      <w:tr w14:paraId="3B8DEB92">
        <w:trPr>
          <w:cantSplit/>
        </w:trPr>
        <w:tc>
          <w:tcPr>
            <w:tcW w:w="2300" w:type="dxa"/>
          </w:tcPr>
          <w:p w14:paraId="75B87638">
            <w:pPr>
              <w:spacing w:before="60" w:after="60"/>
            </w:pPr>
            <w:r>
              <w:rPr>
                <w:rFonts w:eastAsia="Muli" w:cs="Muli" w:asciiTheme="majorHAnsi" w:hAnsiTheme="majorHAnsi"/>
                <w:b/>
                <w:bCs/>
                <w:sz w:val="18"/>
                <w:szCs w:val="18"/>
              </w:rPr>
              <w:t>Platform Fee (Consumers)</w:t>
            </w:r>
          </w:p>
        </w:tc>
        <w:tc>
          <w:tcPr>
            <w:tcW w:w="6700" w:type="dxa"/>
          </w:tcPr>
          <w:p w14:paraId="2B251FCC">
            <w:pPr>
              <w:spacing w:before="60" w:after="60"/>
              <w:rPr>
                <w:highlight w:val="none"/>
              </w:rPr>
            </w:pPr>
            <w:r>
              <w:rPr>
                <w:rFonts w:eastAsia="Muli" w:cs="Muli" w:asciiTheme="majorHAnsi" w:hAnsiTheme="majorHAnsi"/>
                <w:sz w:val="18"/>
                <w:szCs w:val="18"/>
                <w:highlight w:val="none"/>
              </w:rPr>
              <w:t>2.5% of the Order subtotal [confirm whether delivery charges are included, and whether the fee includes GST]. Shown in the price and checkout summary before payment. Charged once per transaction (clause 8.2) and paid to TWCW through Stripe.</w:t>
            </w:r>
          </w:p>
        </w:tc>
      </w:tr>
      <w:tr w14:paraId="105E9072">
        <w:trPr>
          <w:cantSplit/>
        </w:trPr>
        <w:tc>
          <w:tcPr>
            <w:tcW w:w="2300" w:type="dxa"/>
          </w:tcPr>
          <w:p w14:paraId="0ED96C6F">
            <w:pPr>
              <w:spacing w:before="60" w:after="60"/>
            </w:pPr>
            <w:r>
              <w:rPr>
                <w:rFonts w:eastAsia="Muli" w:cs="Muli" w:asciiTheme="majorHAnsi" w:hAnsiTheme="majorHAnsi"/>
                <w:b/>
                <w:bCs/>
                <w:sz w:val="18"/>
                <w:szCs w:val="18"/>
              </w:rPr>
              <w:t>Transaction commission (Businesses)</w:t>
            </w:r>
          </w:p>
        </w:tc>
        <w:tc>
          <w:tcPr>
            <w:tcW w:w="6700" w:type="dxa"/>
          </w:tcPr>
          <w:p w14:paraId="27ADFF93">
            <w:pPr>
              <w:spacing w:before="60" w:after="60"/>
            </w:pPr>
            <w:r>
              <w:rPr>
                <w:rFonts w:eastAsia="Muli" w:cs="Muli" w:asciiTheme="majorHAnsi" w:hAnsiTheme="majorHAnsi"/>
                <w:sz w:val="18"/>
                <w:szCs w:val="18"/>
              </w:rPr>
              <w:t>None. Businesses pay a monthly Subscription only. Any commission will be disclosed on at least 30 days’ notice before it applies (clause 16.3).</w:t>
            </w:r>
          </w:p>
        </w:tc>
      </w:tr>
      <w:tr w14:paraId="6EA67626">
        <w:trPr>
          <w:cantSplit/>
        </w:trPr>
        <w:tc>
          <w:tcPr>
            <w:tcW w:w="2300" w:type="dxa"/>
          </w:tcPr>
          <w:p w14:paraId="59DF35B8">
            <w:pPr>
              <w:spacing w:before="60" w:after="60"/>
            </w:pPr>
            <w:r>
              <w:rPr>
                <w:rFonts w:eastAsia="Muli" w:cs="Muli" w:asciiTheme="majorHAnsi" w:hAnsiTheme="majorHAnsi"/>
                <w:b/>
                <w:bCs/>
                <w:sz w:val="18"/>
                <w:szCs w:val="18"/>
              </w:rPr>
              <w:t>Payment Provider fees</w:t>
            </w:r>
          </w:p>
        </w:tc>
        <w:tc>
          <w:tcPr>
            <w:tcW w:w="6700" w:type="dxa"/>
          </w:tcPr>
          <w:p w14:paraId="0CC34771">
            <w:pPr>
              <w:spacing w:before="60" w:after="60"/>
              <w:rPr>
                <w:highlight w:val="none"/>
              </w:rPr>
            </w:pPr>
            <w:r>
              <w:rPr>
                <w:rFonts w:eastAsia="Muli" w:cs="Muli" w:asciiTheme="majorHAnsi" w:hAnsiTheme="majorHAnsi"/>
                <w:sz w:val="18"/>
                <w:szCs w:val="18"/>
                <w:highlight w:val="none"/>
              </w:rPr>
              <w:t>Charged by the Payment Provider under its own terms and deducted from settlements (clause 16.2). [Confirm who bears Stripe’s processing fees on Orders: the Business’s settlement or TWCW]</w:t>
            </w:r>
          </w:p>
        </w:tc>
      </w:tr>
      <w:tr w14:paraId="30F2F0C8">
        <w:trPr>
          <w:cantSplit/>
        </w:trPr>
        <w:tc>
          <w:tcPr>
            <w:tcW w:w="2300" w:type="dxa"/>
          </w:tcPr>
          <w:p w14:paraId="5521A20E">
            <w:pPr>
              <w:spacing w:before="60" w:after="60"/>
            </w:pPr>
            <w:r>
              <w:rPr>
                <w:rFonts w:eastAsia="Muli" w:cs="Muli" w:asciiTheme="majorHAnsi" w:hAnsiTheme="majorHAnsi"/>
                <w:b/>
                <w:bCs/>
                <w:sz w:val="18"/>
                <w:szCs w:val="18"/>
              </w:rPr>
              <w:t>Payment Provider and structure</w:t>
            </w:r>
          </w:p>
        </w:tc>
        <w:tc>
          <w:tcPr>
            <w:tcW w:w="6700" w:type="dxa"/>
          </w:tcPr>
          <w:p w14:paraId="02E11FB8">
            <w:pPr>
              <w:spacing w:before="60" w:after="60"/>
              <w:rPr>
                <w:highlight w:val="none"/>
              </w:rPr>
            </w:pPr>
            <w:r>
              <w:rPr>
                <w:rFonts w:eastAsia="Muli" w:cs="Muli" w:asciiTheme="majorHAnsi" w:hAnsiTheme="majorHAnsi"/>
                <w:sz w:val="18"/>
                <w:szCs w:val="18"/>
                <w:highlight w:val="none"/>
              </w:rPr>
              <w:t>Orders and the Platform Fee: Stripe Connect. Stripe, not TWCW, receives, holds and settles funds (clause 16.10). [Confirm charge type] Subscriptions: billed by the Apple App Store or Google Play (clause 15.2).</w:t>
            </w:r>
          </w:p>
        </w:tc>
      </w:tr>
      <w:tr w14:paraId="08AA0762">
        <w:trPr>
          <w:cantSplit/>
        </w:trPr>
        <w:tc>
          <w:tcPr>
            <w:tcW w:w="2300" w:type="dxa"/>
          </w:tcPr>
          <w:p w14:paraId="34FE9809">
            <w:pPr>
              <w:spacing w:before="60" w:after="60"/>
            </w:pPr>
            <w:r>
              <w:rPr>
                <w:rFonts w:eastAsia="Muli" w:cs="Muli" w:asciiTheme="majorHAnsi" w:hAnsiTheme="majorHAnsi"/>
                <w:b/>
                <w:bCs/>
                <w:sz w:val="18"/>
                <w:szCs w:val="18"/>
              </w:rPr>
              <w:t>Business pricing</w:t>
            </w:r>
          </w:p>
        </w:tc>
        <w:tc>
          <w:tcPr>
            <w:tcW w:w="6700" w:type="dxa"/>
          </w:tcPr>
          <w:p w14:paraId="62389905">
            <w:pPr>
              <w:spacing w:before="60" w:after="60"/>
            </w:pPr>
            <w:r>
              <w:rPr>
                <w:rFonts w:eastAsia="Muli" w:cs="Muli" w:asciiTheme="majorHAnsi" w:hAnsiTheme="majorHAnsi"/>
                <w:sz w:val="18"/>
                <w:szCs w:val="18"/>
              </w:rPr>
              <w:t>A Business’s listed price is a single price that includes GST and covers its costs. The Platform Fee is added separately at checkout (clause 8.1).</w:t>
            </w:r>
          </w:p>
        </w:tc>
      </w:tr>
      <w:tr w14:paraId="402F41C6">
        <w:trPr>
          <w:cantSplit/>
        </w:trPr>
        <w:tc>
          <w:tcPr>
            <w:tcW w:w="2300" w:type="dxa"/>
          </w:tcPr>
          <w:p w14:paraId="7EE3ACB1">
            <w:pPr>
              <w:spacing w:before="60" w:after="60"/>
            </w:pPr>
            <w:r>
              <w:rPr>
                <w:rFonts w:eastAsia="Muli" w:cs="Muli" w:asciiTheme="majorHAnsi" w:hAnsiTheme="majorHAnsi"/>
                <w:b/>
                <w:bCs/>
                <w:sz w:val="18"/>
                <w:szCs w:val="18"/>
              </w:rPr>
              <w:t>Card surcharges</w:t>
            </w:r>
          </w:p>
        </w:tc>
        <w:tc>
          <w:tcPr>
            <w:tcW w:w="6700" w:type="dxa"/>
          </w:tcPr>
          <w:p w14:paraId="31EF340C">
            <w:pPr>
              <w:spacing w:before="60" w:after="60"/>
            </w:pPr>
            <w:r>
              <w:rPr>
                <w:rFonts w:eastAsia="Muli" w:cs="Muli" w:asciiTheme="majorHAnsi" w:hAnsiTheme="majorHAnsi"/>
                <w:sz w:val="18"/>
                <w:szCs w:val="18"/>
              </w:rPr>
              <w:t>None permitted (clause 8.8).</w:t>
            </w:r>
          </w:p>
        </w:tc>
      </w:tr>
      <w:tr w14:paraId="6F3B4C69">
        <w:trPr>
          <w:cantSplit/>
        </w:trPr>
        <w:tc>
          <w:tcPr>
            <w:tcW w:w="2300" w:type="dxa"/>
          </w:tcPr>
          <w:p w14:paraId="5A403280">
            <w:pPr>
              <w:spacing w:before="60" w:after="60"/>
            </w:pPr>
            <w:r>
              <w:rPr>
                <w:rFonts w:eastAsia="Muli" w:cs="Muli" w:asciiTheme="majorHAnsi" w:hAnsiTheme="majorHAnsi"/>
                <w:b/>
                <w:bCs/>
                <w:sz w:val="18"/>
                <w:szCs w:val="18"/>
              </w:rPr>
              <w:t>GST</w:t>
            </w:r>
          </w:p>
        </w:tc>
        <w:tc>
          <w:tcPr>
            <w:tcW w:w="6700" w:type="dxa"/>
          </w:tcPr>
          <w:p w14:paraId="546B98AC">
            <w:pPr>
              <w:spacing w:before="60" w:after="60"/>
              <w:rPr>
                <w:highlight w:val="none"/>
              </w:rPr>
            </w:pPr>
            <w:r>
              <w:rPr>
                <w:rFonts w:eastAsia="Muli" w:cs="Muli" w:asciiTheme="majorHAnsi" w:hAnsiTheme="majorHAnsi"/>
                <w:sz w:val="18"/>
                <w:szCs w:val="18"/>
                <w:highlight w:val="none"/>
              </w:rPr>
              <w:t>[Fees include / exclude GST] (clause 16.7).</w:t>
            </w:r>
          </w:p>
        </w:tc>
      </w:tr>
    </w:tbl>
    <w:p w14:paraId="6FA9101F">
      <w:r>
        <w:br w:type="page"/>
      </w:r>
    </w:p>
    <w:p w14:paraId="21CA4BD9">
      <w:pPr>
        <w:spacing w:before="0" w:after="200"/>
        <w:jc w:val="center"/>
      </w:pPr>
      <w:r>
        <w:rPr>
          <w:rFonts w:eastAsia="Muli" w:cs="Muli" w:asciiTheme="majorHAnsi" w:hAnsiTheme="majorHAnsi"/>
          <w:b/>
          <w:bCs/>
          <w:spacing w:val="20"/>
          <w:sz w:val="20"/>
          <w:szCs w:val="20"/>
          <w:u w:val="single"/>
        </w:rPr>
        <w:t>SCHEDULE 2: REQUIRED BUSINESS DISCLOSURES AND MARKETPLACE NOTICES</w:t>
      </w:r>
    </w:p>
    <w:p w14:paraId="0E8B9673">
      <w:pPr>
        <w:spacing w:before="0" w:after="160"/>
      </w:pPr>
      <w:r>
        <w:rPr>
          <w:rFonts w:eastAsia="Muli" w:cs="Muli" w:asciiTheme="majorHAnsi" w:hAnsiTheme="majorHAnsi"/>
          <w:sz w:val="20"/>
          <w:szCs w:val="20"/>
        </w:rPr>
        <w:t>To keep the roles of TWCW and each Business clear, the Platform and each Business must show the following information. TWCW may change the exact wording or placement in the Platform.</w:t>
      </w:r>
    </w:p>
    <w:tbl>
      <w:tblPr>
        <w:tblStyle w:val="43"/>
        <w:tblW w:w="9000" w:type="dxa"/>
        <w:tblInd w:w="0" w:type="dxa"/>
        <w:tblBorders>
          <w:top w:val="single" w:color="404040" w:sz="2" w:space="0"/>
          <w:left w:val="none" w:color="auto" w:sz="0" w:space="0"/>
          <w:bottom w:val="single" w:color="404040" w:sz="2" w:space="0"/>
          <w:right w:val="none" w:color="auto" w:sz="0" w:space="0"/>
          <w:insideH w:val="single" w:color="404040" w:sz="2" w:space="0"/>
          <w:insideV w:val="single" w:color="404040" w:sz="2" w:space="0"/>
        </w:tblBorders>
        <w:tblLayout w:type="fixed"/>
        <w:tblCellMar>
          <w:top w:w="0" w:type="dxa"/>
          <w:left w:w="108" w:type="dxa"/>
          <w:bottom w:w="0" w:type="dxa"/>
          <w:right w:w="108" w:type="dxa"/>
        </w:tblCellMar>
      </w:tblPr>
      <w:tblGrid>
        <w:gridCol w:w="2300"/>
        <w:gridCol w:w="6700"/>
      </w:tblGrid>
      <w:tr w14:paraId="3C8E0A23">
        <w:trPr>
          <w:cantSplit/>
        </w:trPr>
        <w:tc>
          <w:tcPr>
            <w:tcW w:w="2300" w:type="dxa"/>
          </w:tcPr>
          <w:p w14:paraId="0B7A6460">
            <w:pPr>
              <w:spacing w:before="60" w:after="60"/>
            </w:pPr>
            <w:r>
              <w:rPr>
                <w:rFonts w:eastAsia="Muli" w:cs="Muli" w:asciiTheme="majorHAnsi" w:hAnsiTheme="majorHAnsi"/>
                <w:b/>
                <w:bCs/>
                <w:sz w:val="18"/>
                <w:szCs w:val="18"/>
              </w:rPr>
              <w:t>Where</w:t>
            </w:r>
          </w:p>
        </w:tc>
        <w:tc>
          <w:tcPr>
            <w:tcW w:w="6700" w:type="dxa"/>
          </w:tcPr>
          <w:p w14:paraId="3152E05B">
            <w:pPr>
              <w:spacing w:before="60" w:after="60"/>
            </w:pPr>
            <w:r>
              <w:rPr>
                <w:rFonts w:eastAsia="Muli" w:cs="Muli" w:asciiTheme="majorHAnsi" w:hAnsiTheme="majorHAnsi"/>
                <w:b/>
                <w:bCs/>
                <w:sz w:val="18"/>
                <w:szCs w:val="18"/>
              </w:rPr>
              <w:t>What must be shown</w:t>
            </w:r>
          </w:p>
        </w:tc>
      </w:tr>
      <w:tr w14:paraId="2B04487B">
        <w:trPr>
          <w:cantSplit/>
        </w:trPr>
        <w:tc>
          <w:tcPr>
            <w:tcW w:w="2300" w:type="dxa"/>
          </w:tcPr>
          <w:p w14:paraId="5C09E543">
            <w:pPr>
              <w:spacing w:before="60" w:after="60"/>
            </w:pPr>
            <w:r>
              <w:rPr>
                <w:rFonts w:eastAsia="Muli" w:cs="Muli" w:asciiTheme="majorHAnsi" w:hAnsiTheme="majorHAnsi"/>
                <w:b/>
                <w:bCs/>
                <w:sz w:val="18"/>
                <w:szCs w:val="18"/>
              </w:rPr>
              <w:t>Every listing and Business profile</w:t>
            </w:r>
          </w:p>
        </w:tc>
        <w:tc>
          <w:tcPr>
            <w:tcW w:w="6700" w:type="dxa"/>
          </w:tcPr>
          <w:p w14:paraId="6A5C01CB">
            <w:pPr>
              <w:spacing w:before="60" w:after="60"/>
            </w:pPr>
            <w:r>
              <w:rPr>
                <w:rFonts w:eastAsia="Muli" w:cs="Muli" w:asciiTheme="majorHAnsi" w:hAnsiTheme="majorHAnsi"/>
                <w:sz w:val="18"/>
                <w:szCs w:val="18"/>
              </w:rPr>
              <w:t>The Business’s trading name and legal name, ABN or ACN where applicable, contact details, and a link to its returns, refund and cancellation policy.</w:t>
            </w:r>
          </w:p>
        </w:tc>
      </w:tr>
      <w:tr w14:paraId="709A910D">
        <w:trPr>
          <w:cantSplit/>
        </w:trPr>
        <w:tc>
          <w:tcPr>
            <w:tcW w:w="2300" w:type="dxa"/>
          </w:tcPr>
          <w:p w14:paraId="14CD833C">
            <w:pPr>
              <w:spacing w:before="60" w:after="60"/>
            </w:pPr>
            <w:r>
              <w:rPr>
                <w:rFonts w:eastAsia="Muli" w:cs="Muli" w:asciiTheme="majorHAnsi" w:hAnsiTheme="majorHAnsi"/>
                <w:b/>
                <w:bCs/>
                <w:sz w:val="18"/>
                <w:szCs w:val="18"/>
              </w:rPr>
              <w:t>Checkout</w:t>
            </w:r>
          </w:p>
        </w:tc>
        <w:tc>
          <w:tcPr>
            <w:tcW w:w="6700" w:type="dxa"/>
          </w:tcPr>
          <w:p w14:paraId="595F939D">
            <w:pPr>
              <w:spacing w:before="60" w:after="60"/>
              <w:rPr>
                <w:highlight w:val="none"/>
              </w:rPr>
            </w:pPr>
            <w:r>
              <w:rPr>
                <w:rFonts w:eastAsia="Muli" w:cs="Muli" w:asciiTheme="majorHAnsi" w:hAnsiTheme="majorHAnsi"/>
                <w:sz w:val="18"/>
                <w:szCs w:val="18"/>
                <w:highlight w:val="none"/>
              </w:rPr>
              <w:t>The Business as seller (“Sold by [Business name], ABN [ ]”), the total price including GST, delivery charges and any Platform Fee, and the notice below.</w:t>
            </w:r>
          </w:p>
        </w:tc>
      </w:tr>
      <w:tr w14:paraId="5E5058F8">
        <w:trPr>
          <w:cantSplit/>
        </w:trPr>
        <w:tc>
          <w:tcPr>
            <w:tcW w:w="2300" w:type="dxa"/>
          </w:tcPr>
          <w:p w14:paraId="3713136C">
            <w:pPr>
              <w:spacing w:before="60" w:after="60"/>
            </w:pPr>
            <w:r>
              <w:rPr>
                <w:rFonts w:eastAsia="Muli" w:cs="Muli" w:asciiTheme="majorHAnsi" w:hAnsiTheme="majorHAnsi"/>
                <w:b/>
                <w:bCs/>
                <w:sz w:val="18"/>
                <w:szCs w:val="18"/>
              </w:rPr>
              <w:t>Order confirmation, receipt and tax invoice</w:t>
            </w:r>
          </w:p>
        </w:tc>
        <w:tc>
          <w:tcPr>
            <w:tcW w:w="6700" w:type="dxa"/>
          </w:tcPr>
          <w:p w14:paraId="4F006AE6">
            <w:pPr>
              <w:spacing w:before="60" w:after="60"/>
            </w:pPr>
            <w:r>
              <w:rPr>
                <w:rFonts w:eastAsia="Muli" w:cs="Muli" w:asciiTheme="majorHAnsi" w:hAnsiTheme="majorHAnsi"/>
                <w:sz w:val="18"/>
                <w:szCs w:val="18"/>
              </w:rPr>
              <w:t>The Business’s name, ABN and contact details as seller, the order details, and how to contact the Business about a problem.</w:t>
            </w:r>
          </w:p>
        </w:tc>
      </w:tr>
      <w:tr w14:paraId="49417032">
        <w:trPr>
          <w:cantSplit/>
        </w:trPr>
        <w:tc>
          <w:tcPr>
            <w:tcW w:w="2300" w:type="dxa"/>
          </w:tcPr>
          <w:p w14:paraId="4F1836CE">
            <w:pPr>
              <w:spacing w:before="60" w:after="60"/>
            </w:pPr>
            <w:r>
              <w:rPr>
                <w:rFonts w:eastAsia="Muli" w:cs="Muli" w:asciiTheme="majorHAnsi" w:hAnsiTheme="majorHAnsi"/>
                <w:b/>
                <w:bCs/>
                <w:sz w:val="18"/>
                <w:szCs w:val="18"/>
              </w:rPr>
              <w:t>Customer support and dispute screens</w:t>
            </w:r>
          </w:p>
        </w:tc>
        <w:tc>
          <w:tcPr>
            <w:tcW w:w="6700" w:type="dxa"/>
          </w:tcPr>
          <w:p w14:paraId="0C4CD9F3">
            <w:pPr>
              <w:spacing w:before="60" w:after="60"/>
            </w:pPr>
            <w:r>
              <w:rPr>
                <w:rFonts w:eastAsia="Muli" w:cs="Muli" w:asciiTheme="majorHAnsi" w:hAnsiTheme="majorHAnsi"/>
                <w:sz w:val="18"/>
                <w:szCs w:val="18"/>
              </w:rPr>
              <w:t>The Business’s identity and contact details, and the notice below.</w:t>
            </w:r>
          </w:p>
        </w:tc>
      </w:tr>
    </w:tbl>
    <w:p w14:paraId="2FD0BB48">
      <w:pPr>
        <w:spacing w:before="0" w:after="160"/>
      </w:pPr>
    </w:p>
    <w:tbl>
      <w:tblPr>
        <w:tblStyle w:val="9"/>
        <w:tblW w:w="9026" w:type="dxa"/>
        <w:tblInd w:w="0" w:type="dxa"/>
        <w:tblLayout w:type="fixed"/>
        <w:tblCellMar>
          <w:top w:w="0" w:type="dxa"/>
          <w:left w:w="108" w:type="dxa"/>
          <w:bottom w:w="0" w:type="dxa"/>
          <w:right w:w="108" w:type="dxa"/>
        </w:tblCellMar>
      </w:tblPr>
      <w:tblGrid>
        <w:gridCol w:w="9026"/>
      </w:tblGrid>
      <w:tr w14:paraId="7A111826">
        <w:trPr>
          <w:cantSplit/>
        </w:trPr>
        <w:tc>
          <w:tcPr>
            <w:tcW w:w="9026" w:type="dxa"/>
            <w:tcBorders>
              <w:top w:val="single" w:color="404040" w:sz="6" w:space="0"/>
              <w:left w:val="single" w:color="404040" w:sz="6" w:space="0"/>
              <w:bottom w:val="single" w:color="404040" w:sz="6" w:space="0"/>
              <w:right w:val="single" w:color="404040" w:sz="6" w:space="0"/>
            </w:tcBorders>
            <w:shd w:val="clear" w:color="auto" w:fill="E7E6E6"/>
          </w:tcPr>
          <w:p w14:paraId="7D2D8D00">
            <w:pPr>
              <w:spacing w:before="60" w:after="80"/>
            </w:pPr>
            <w:r>
              <w:rPr>
                <w:rFonts w:eastAsia="Muli" w:cs="Muli" w:asciiTheme="majorHAnsi" w:hAnsiTheme="majorHAnsi"/>
                <w:b/>
                <w:bCs/>
                <w:sz w:val="19"/>
                <w:szCs w:val="19"/>
              </w:rPr>
              <w:t>Marketplace notice shown to Consumers</w:t>
            </w:r>
          </w:p>
          <w:p w14:paraId="559B251D">
            <w:pPr>
              <w:spacing w:before="60" w:after="80"/>
            </w:pPr>
            <w:r>
              <w:rPr>
                <w:rFonts w:eastAsia="Muli" w:cs="Muli" w:asciiTheme="majorHAnsi" w:hAnsiTheme="majorHAnsi"/>
                <w:sz w:val="19"/>
                <w:szCs w:val="19"/>
              </w:rPr>
              <w:t>1Stop is a marketplace operated by TWCW Pty Ltd (ACN 665 682 324). Goods and services are sold by the independent Business named at checkout, which is responsible for them and for any refund, repair or replacement you are entitled to. TWCW is not the seller. Your rights under the Australian Consumer Law are not affected. If a Business does not resolve a problem, you can ask TWCW to review it, and you can also contact the ACCC or your State or Territory consumer agency.</w:t>
            </w:r>
          </w:p>
        </w:tc>
      </w:tr>
    </w:tbl>
    <w:p w14:paraId="5DC801AF">
      <w:pPr>
        <w:spacing w:before="0" w:after="120"/>
      </w:pPr>
    </w:p>
    <w:tbl>
      <w:tblPr>
        <w:tblStyle w:val="9"/>
        <w:tblW w:w="9026" w:type="dxa"/>
        <w:tblInd w:w="0" w:type="dxa"/>
        <w:tblLayout w:type="fixed"/>
        <w:tblCellMar>
          <w:top w:w="0" w:type="dxa"/>
          <w:left w:w="108" w:type="dxa"/>
          <w:bottom w:w="0" w:type="dxa"/>
          <w:right w:w="108" w:type="dxa"/>
        </w:tblCellMar>
      </w:tblPr>
      <w:tblGrid>
        <w:gridCol w:w="9026"/>
      </w:tblGrid>
      <w:tr w14:paraId="27E9A3A8">
        <w:trPr>
          <w:cantSplit/>
        </w:trPr>
        <w:tc>
          <w:tcPr>
            <w:tcW w:w="9026" w:type="dxa"/>
            <w:tcBorders>
              <w:top w:val="single" w:color="404040" w:sz="6" w:space="0"/>
              <w:left w:val="single" w:color="404040" w:sz="6" w:space="0"/>
              <w:bottom w:val="single" w:color="404040" w:sz="6" w:space="0"/>
              <w:right w:val="single" w:color="404040" w:sz="6" w:space="0"/>
            </w:tcBorders>
            <w:shd w:val="clear" w:color="auto" w:fill="E7E6E6"/>
          </w:tcPr>
          <w:p w14:paraId="5BBE28CD">
            <w:pPr>
              <w:spacing w:before="60" w:after="80"/>
            </w:pPr>
            <w:r>
              <w:rPr>
                <w:rFonts w:eastAsia="Muli" w:cs="Muli" w:asciiTheme="majorHAnsi" w:hAnsiTheme="majorHAnsi"/>
                <w:b/>
                <w:bCs/>
                <w:sz w:val="19"/>
                <w:szCs w:val="19"/>
              </w:rPr>
              <w:t>Statement a Business must not make</w:t>
            </w:r>
          </w:p>
          <w:p w14:paraId="0DAA4D2B">
            <w:pPr>
              <w:spacing w:before="60" w:after="80"/>
            </w:pPr>
            <w:r>
              <w:rPr>
                <w:rFonts w:eastAsia="Muli" w:cs="Muli" w:asciiTheme="majorHAnsi" w:hAnsiTheme="majorHAnsi"/>
                <w:sz w:val="19"/>
                <w:szCs w:val="19"/>
              </w:rPr>
              <w:t>A Business must not state or imply that 1Stop or TWCW sells, guarantees, insures, inspects, certifies or endorses its goods, services or business.</w:t>
            </w:r>
          </w:p>
        </w:tc>
      </w:tr>
    </w:tbl>
    <w:p w14:paraId="24E3E8A7">
      <w:pPr>
        <w:spacing w:before="0" w:after="120"/>
      </w:pPr>
    </w:p>
    <w:p w14:paraId="07A939B1">
      <w:r>
        <w:br w:type="page"/>
      </w:r>
    </w:p>
    <w:p w14:paraId="57F5A11E">
      <w:pPr>
        <w:spacing w:before="0" w:after="200"/>
        <w:jc w:val="center"/>
      </w:pPr>
      <w:r>
        <w:rPr>
          <w:rFonts w:eastAsia="Muli" w:cs="Muli" w:asciiTheme="majorHAnsi" w:hAnsiTheme="majorHAnsi"/>
          <w:b/>
          <w:bCs/>
          <w:spacing w:val="20"/>
          <w:sz w:val="20"/>
          <w:szCs w:val="20"/>
          <w:u w:val="single"/>
        </w:rPr>
        <w:t>SCHEDULE 3: COOKIE AND TRACKING POLICY</w:t>
      </w:r>
    </w:p>
    <w:p w14:paraId="71E39FE5">
      <w:pPr>
        <w:spacing w:before="0" w:after="120"/>
      </w:pPr>
      <w:r>
        <w:rPr>
          <w:rFonts w:eastAsia="Muli" w:cs="Muli" w:asciiTheme="majorHAnsi" w:hAnsiTheme="majorHAnsi"/>
          <w:sz w:val="20"/>
          <w:szCs w:val="20"/>
        </w:rPr>
        <w:t>This Policy forms part of the Terms (clause 1.6). It explains how the Platform remembers your choices and measures how it is used. These technologies operate only while you are using the app. In short, 1Stop uses only the preferences you set and the activity you carry out inside the app. The Platform does not connect to external advertising or social platforms to track you, and does not follow you across other apps, websites or services. The only analytics it uses are in-app usage metrics provided through Google Firebase.</w:t>
      </w:r>
    </w:p>
    <w:p w14:paraId="5553DE33">
      <w:pPr>
        <w:keepNext/>
        <w:spacing w:before="160" w:after="60"/>
      </w:pPr>
      <w:r>
        <w:rPr>
          <w:rFonts w:eastAsia="Muli" w:cs="Muli" w:asciiTheme="majorHAnsi" w:hAnsiTheme="majorHAnsi"/>
          <w:b/>
          <w:bCs/>
          <w:sz w:val="20"/>
          <w:szCs w:val="20"/>
        </w:rPr>
        <w:t>1. What we use</w:t>
      </w:r>
    </w:p>
    <w:tbl>
      <w:tblPr>
        <w:tblStyle w:val="43"/>
        <w:tblW w:w="9000" w:type="dxa"/>
        <w:tblInd w:w="0" w:type="dxa"/>
        <w:tblBorders>
          <w:top w:val="single" w:color="404040" w:sz="2" w:space="0"/>
          <w:left w:val="none" w:color="auto" w:sz="0" w:space="0"/>
          <w:bottom w:val="single" w:color="404040" w:sz="2" w:space="0"/>
          <w:right w:val="none" w:color="auto" w:sz="0" w:space="0"/>
          <w:insideH w:val="single" w:color="404040" w:sz="2" w:space="0"/>
          <w:insideV w:val="single" w:color="404040" w:sz="2" w:space="0"/>
        </w:tblBorders>
        <w:tblLayout w:type="fixed"/>
        <w:tblCellMar>
          <w:top w:w="0" w:type="dxa"/>
          <w:left w:w="108" w:type="dxa"/>
          <w:bottom w:w="0" w:type="dxa"/>
          <w:right w:w="108" w:type="dxa"/>
        </w:tblCellMar>
      </w:tblPr>
      <w:tblGrid>
        <w:gridCol w:w="2100"/>
        <w:gridCol w:w="3500"/>
        <w:gridCol w:w="1300"/>
        <w:gridCol w:w="2100"/>
      </w:tblGrid>
      <w:tr w14:paraId="1A56656E">
        <w:trPr>
          <w:cantSplit/>
        </w:trPr>
        <w:tc>
          <w:tcPr>
            <w:tcW w:w="2100" w:type="dxa"/>
          </w:tcPr>
          <w:p w14:paraId="73D0337D">
            <w:pPr>
              <w:spacing w:before="60" w:after="60"/>
            </w:pPr>
            <w:r>
              <w:rPr>
                <w:rFonts w:eastAsia="Muli" w:cs="Muli" w:asciiTheme="majorHAnsi" w:hAnsiTheme="majorHAnsi"/>
                <w:b/>
                <w:bCs/>
                <w:sz w:val="18"/>
                <w:szCs w:val="18"/>
              </w:rPr>
              <w:t>Technology</w:t>
            </w:r>
          </w:p>
        </w:tc>
        <w:tc>
          <w:tcPr>
            <w:tcW w:w="3500" w:type="dxa"/>
          </w:tcPr>
          <w:p w14:paraId="777C2DEC">
            <w:pPr>
              <w:spacing w:before="60" w:after="60"/>
            </w:pPr>
            <w:r>
              <w:rPr>
                <w:rFonts w:eastAsia="Muli" w:cs="Muli" w:asciiTheme="majorHAnsi" w:hAnsiTheme="majorHAnsi"/>
                <w:b/>
                <w:bCs/>
                <w:sz w:val="18"/>
                <w:szCs w:val="18"/>
              </w:rPr>
              <w:t>What it does</w:t>
            </w:r>
          </w:p>
        </w:tc>
        <w:tc>
          <w:tcPr>
            <w:tcW w:w="1300" w:type="dxa"/>
          </w:tcPr>
          <w:p w14:paraId="319C940F">
            <w:pPr>
              <w:spacing w:before="60" w:after="60"/>
            </w:pPr>
            <w:r>
              <w:rPr>
                <w:rFonts w:eastAsia="Muli" w:cs="Muli" w:asciiTheme="majorHAnsi" w:hAnsiTheme="majorHAnsi"/>
                <w:b/>
                <w:bCs/>
                <w:sz w:val="18"/>
                <w:szCs w:val="18"/>
              </w:rPr>
              <w:t>Needed?</w:t>
            </w:r>
          </w:p>
        </w:tc>
        <w:tc>
          <w:tcPr>
            <w:tcW w:w="2100" w:type="dxa"/>
          </w:tcPr>
          <w:p w14:paraId="10F6843E">
            <w:pPr>
              <w:spacing w:before="60" w:after="60"/>
            </w:pPr>
            <w:r>
              <w:rPr>
                <w:rFonts w:eastAsia="Muli" w:cs="Muli" w:asciiTheme="majorHAnsi" w:hAnsiTheme="majorHAnsi"/>
                <w:b/>
                <w:bCs/>
                <w:sz w:val="18"/>
                <w:szCs w:val="18"/>
              </w:rPr>
              <w:t>Your control</w:t>
            </w:r>
          </w:p>
        </w:tc>
      </w:tr>
      <w:tr w14:paraId="0EF4E617">
        <w:trPr>
          <w:cantSplit/>
        </w:trPr>
        <w:tc>
          <w:tcPr>
            <w:tcW w:w="2100" w:type="dxa"/>
          </w:tcPr>
          <w:p w14:paraId="706D750F">
            <w:pPr>
              <w:spacing w:before="60" w:after="60"/>
            </w:pPr>
            <w:r>
              <w:rPr>
                <w:rFonts w:eastAsia="Muli" w:cs="Muli" w:asciiTheme="majorHAnsi" w:hAnsiTheme="majorHAnsi"/>
                <w:b/>
                <w:bCs/>
                <w:sz w:val="18"/>
                <w:szCs w:val="18"/>
              </w:rPr>
              <w:t>Essential session and security tokens</w:t>
            </w:r>
          </w:p>
        </w:tc>
        <w:tc>
          <w:tcPr>
            <w:tcW w:w="3500" w:type="dxa"/>
          </w:tcPr>
          <w:p w14:paraId="292565C7">
            <w:pPr>
              <w:spacing w:before="60" w:after="60"/>
            </w:pPr>
            <w:r>
              <w:rPr>
                <w:rFonts w:eastAsia="Muli" w:cs="Muli" w:asciiTheme="majorHAnsi" w:hAnsiTheme="majorHAnsi"/>
                <w:sz w:val="18"/>
                <w:szCs w:val="18"/>
              </w:rPr>
              <w:t>Keep you signed in, secure your account and detect fraud and abuse.</w:t>
            </w:r>
          </w:p>
        </w:tc>
        <w:tc>
          <w:tcPr>
            <w:tcW w:w="1300" w:type="dxa"/>
          </w:tcPr>
          <w:p w14:paraId="7EBA4299">
            <w:pPr>
              <w:spacing w:before="60" w:after="60"/>
            </w:pPr>
            <w:r>
              <w:rPr>
                <w:rFonts w:eastAsia="Muli" w:cs="Muli" w:asciiTheme="majorHAnsi" w:hAnsiTheme="majorHAnsi"/>
                <w:sz w:val="18"/>
                <w:szCs w:val="18"/>
              </w:rPr>
              <w:t>Yes</w:t>
            </w:r>
          </w:p>
        </w:tc>
        <w:tc>
          <w:tcPr>
            <w:tcW w:w="2100" w:type="dxa"/>
          </w:tcPr>
          <w:p w14:paraId="415CE488">
            <w:pPr>
              <w:spacing w:before="60" w:after="60"/>
            </w:pPr>
            <w:r>
              <w:rPr>
                <w:rFonts w:eastAsia="Muli" w:cs="Muli" w:asciiTheme="majorHAnsi" w:hAnsiTheme="majorHAnsi"/>
                <w:sz w:val="18"/>
                <w:szCs w:val="18"/>
              </w:rPr>
              <w:t>Cannot be switched off. The Platform cannot work without them.</w:t>
            </w:r>
          </w:p>
        </w:tc>
      </w:tr>
      <w:tr w14:paraId="1F62DAFB">
        <w:trPr>
          <w:cantSplit/>
        </w:trPr>
        <w:tc>
          <w:tcPr>
            <w:tcW w:w="2100" w:type="dxa"/>
          </w:tcPr>
          <w:p w14:paraId="0AC7C04A">
            <w:pPr>
              <w:spacing w:before="60" w:after="60"/>
            </w:pPr>
            <w:r>
              <w:rPr>
                <w:rFonts w:eastAsia="Muli" w:cs="Muli" w:asciiTheme="majorHAnsi" w:hAnsiTheme="majorHAnsi"/>
                <w:b/>
                <w:bCs/>
                <w:sz w:val="18"/>
                <w:szCs w:val="18"/>
              </w:rPr>
              <w:t>Device settings storage</w:t>
            </w:r>
          </w:p>
        </w:tc>
        <w:tc>
          <w:tcPr>
            <w:tcW w:w="3500" w:type="dxa"/>
          </w:tcPr>
          <w:p w14:paraId="1948943E">
            <w:pPr>
              <w:spacing w:before="60" w:after="60"/>
            </w:pPr>
            <w:r>
              <w:rPr>
                <w:rFonts w:eastAsia="Muli" w:cs="Muli" w:asciiTheme="majorHAnsi" w:hAnsiTheme="majorHAnsi"/>
                <w:sz w:val="18"/>
                <w:szCs w:val="18"/>
              </w:rPr>
              <w:t>Remembers choices such as language, search radius, notification settings and display options on your device.</w:t>
            </w:r>
          </w:p>
        </w:tc>
        <w:tc>
          <w:tcPr>
            <w:tcW w:w="1300" w:type="dxa"/>
          </w:tcPr>
          <w:p w14:paraId="37CBFC25">
            <w:pPr>
              <w:spacing w:before="60" w:after="60"/>
            </w:pPr>
            <w:r>
              <w:rPr>
                <w:rFonts w:eastAsia="Muli" w:cs="Muli" w:asciiTheme="majorHAnsi" w:hAnsiTheme="majorHAnsi"/>
                <w:sz w:val="18"/>
                <w:szCs w:val="18"/>
              </w:rPr>
              <w:t>Yes, for basic function</w:t>
            </w:r>
          </w:p>
        </w:tc>
        <w:tc>
          <w:tcPr>
            <w:tcW w:w="2100" w:type="dxa"/>
          </w:tcPr>
          <w:p w14:paraId="0C9EBAF6">
            <w:pPr>
              <w:spacing w:before="60" w:after="60"/>
            </w:pPr>
            <w:r>
              <w:rPr>
                <w:rFonts w:eastAsia="Muli" w:cs="Muli" w:asciiTheme="majorHAnsi" w:hAnsiTheme="majorHAnsi"/>
                <w:sz w:val="18"/>
                <w:szCs w:val="18"/>
              </w:rPr>
              <w:t>Clear the app data or delete the app.</w:t>
            </w:r>
          </w:p>
        </w:tc>
      </w:tr>
      <w:tr w14:paraId="26C5F83F">
        <w:trPr>
          <w:cantSplit/>
        </w:trPr>
        <w:tc>
          <w:tcPr>
            <w:tcW w:w="2100" w:type="dxa"/>
          </w:tcPr>
          <w:p w14:paraId="54E6EB44">
            <w:pPr>
              <w:spacing w:before="60" w:after="60"/>
            </w:pPr>
            <w:r>
              <w:rPr>
                <w:rFonts w:eastAsia="Muli" w:cs="Muli" w:asciiTheme="majorHAnsi" w:hAnsiTheme="majorHAnsi"/>
                <w:b/>
                <w:bCs/>
                <w:sz w:val="18"/>
                <w:szCs w:val="18"/>
              </w:rPr>
              <w:t>In-App Preferences profile</w:t>
            </w:r>
          </w:p>
        </w:tc>
        <w:tc>
          <w:tcPr>
            <w:tcW w:w="3500" w:type="dxa"/>
          </w:tcPr>
          <w:p w14:paraId="409C8F2B">
            <w:pPr>
              <w:spacing w:before="60" w:after="60"/>
            </w:pPr>
            <w:r>
              <w:rPr>
                <w:rFonts w:eastAsia="Muli" w:cs="Muli" w:asciiTheme="majorHAnsi" w:hAnsiTheme="majorHAnsi"/>
                <w:sz w:val="18"/>
                <w:szCs w:val="18"/>
              </w:rPr>
              <w:t>Stored in your account. Used to rank, recommend and match listings and advertising inside the Platform.</w:t>
            </w:r>
          </w:p>
        </w:tc>
        <w:tc>
          <w:tcPr>
            <w:tcW w:w="1300" w:type="dxa"/>
          </w:tcPr>
          <w:p w14:paraId="2E8D1A4F">
            <w:pPr>
              <w:spacing w:before="60" w:after="60"/>
            </w:pPr>
            <w:r>
              <w:rPr>
                <w:rFonts w:eastAsia="Muli" w:cs="Muli" w:asciiTheme="majorHAnsi" w:hAnsiTheme="majorHAnsi"/>
                <w:sz w:val="18"/>
                <w:szCs w:val="18"/>
              </w:rPr>
              <w:t>No</w:t>
            </w:r>
          </w:p>
        </w:tc>
        <w:tc>
          <w:tcPr>
            <w:tcW w:w="2100" w:type="dxa"/>
          </w:tcPr>
          <w:p w14:paraId="4E778ED4">
            <w:pPr>
              <w:spacing w:before="60" w:after="60"/>
            </w:pPr>
            <w:r>
              <w:rPr>
                <w:rFonts w:eastAsia="Muli" w:cs="Muli" w:asciiTheme="majorHAnsi" w:hAnsiTheme="majorHAnsi"/>
                <w:sz w:val="18"/>
                <w:szCs w:val="18"/>
              </w:rPr>
              <w:t>Settings: edit, reset or switch off personalised matching.</w:t>
            </w:r>
          </w:p>
        </w:tc>
      </w:tr>
      <w:tr w14:paraId="60700205">
        <w:trPr>
          <w:cantSplit/>
        </w:trPr>
        <w:tc>
          <w:tcPr>
            <w:tcW w:w="2100" w:type="dxa"/>
          </w:tcPr>
          <w:p w14:paraId="78EA4B77">
            <w:pPr>
              <w:spacing w:before="60" w:after="60"/>
            </w:pPr>
            <w:r>
              <w:rPr>
                <w:rFonts w:eastAsia="Muli" w:cs="Muli" w:asciiTheme="majorHAnsi" w:hAnsiTheme="majorHAnsi"/>
                <w:b/>
                <w:bCs/>
                <w:sz w:val="18"/>
                <w:szCs w:val="18"/>
              </w:rPr>
              <w:t>App analytics (Google Firebase)</w:t>
            </w:r>
          </w:p>
        </w:tc>
        <w:tc>
          <w:tcPr>
            <w:tcW w:w="3500" w:type="dxa"/>
          </w:tcPr>
          <w:p w14:paraId="64A7D89E">
            <w:pPr>
              <w:spacing w:before="60" w:after="60"/>
            </w:pPr>
            <w:r>
              <w:rPr>
                <w:rFonts w:eastAsia="Muli" w:cs="Muli" w:asciiTheme="majorHAnsi" w:hAnsiTheme="majorHAnsi"/>
                <w:sz w:val="18"/>
                <w:szCs w:val="18"/>
              </w:rPr>
              <w:t xml:space="preserve">Measures how the app is used (for example screens viewed, features used, crashes and performance) so we can fix faults and improve the Platform. Google acts as our service provider. The data is used for our own metrics, is not used for advertising and is not combined with data from outside the app. </w:t>
            </w:r>
          </w:p>
        </w:tc>
        <w:tc>
          <w:tcPr>
            <w:tcW w:w="1300" w:type="dxa"/>
          </w:tcPr>
          <w:p w14:paraId="3E275159">
            <w:pPr>
              <w:spacing w:before="60" w:after="60"/>
            </w:pPr>
            <w:r>
              <w:rPr>
                <w:rFonts w:eastAsia="Muli" w:cs="Muli" w:asciiTheme="majorHAnsi" w:hAnsiTheme="majorHAnsi"/>
                <w:sz w:val="18"/>
                <w:szCs w:val="18"/>
              </w:rPr>
              <w:t>Yes</w:t>
            </w:r>
          </w:p>
        </w:tc>
        <w:tc>
          <w:tcPr>
            <w:tcW w:w="2100" w:type="dxa"/>
          </w:tcPr>
          <w:p w14:paraId="06151188">
            <w:pPr>
              <w:spacing w:before="60" w:after="60"/>
              <w:rPr>
                <w:rFonts w:hint="default"/>
                <w:lang w:val="en-US"/>
              </w:rPr>
            </w:pPr>
            <w:r>
              <w:rPr>
                <w:rFonts w:hint="default"/>
                <w:lang w:val="en-US"/>
              </w:rPr>
              <w:t>Can opt out</w:t>
            </w:r>
          </w:p>
        </w:tc>
      </w:tr>
      <w:tr w14:paraId="306E551D">
        <w:trPr>
          <w:cantSplit/>
        </w:trPr>
        <w:tc>
          <w:tcPr>
            <w:tcW w:w="2100" w:type="dxa"/>
          </w:tcPr>
          <w:p w14:paraId="072A3A26">
            <w:pPr>
              <w:spacing w:before="60" w:after="60"/>
            </w:pPr>
            <w:r>
              <w:rPr>
                <w:rFonts w:eastAsia="Muli" w:cs="Muli" w:asciiTheme="majorHAnsi" w:hAnsiTheme="majorHAnsi"/>
                <w:b/>
                <w:bCs/>
                <w:sz w:val="18"/>
                <w:szCs w:val="18"/>
              </w:rPr>
              <w:t>Hosting and app backend (AWS and Firebase)</w:t>
            </w:r>
          </w:p>
        </w:tc>
        <w:tc>
          <w:tcPr>
            <w:tcW w:w="3500" w:type="dxa"/>
          </w:tcPr>
          <w:p w14:paraId="408EAA5D">
            <w:pPr>
              <w:spacing w:before="60" w:after="60"/>
            </w:pPr>
            <w:r>
              <w:rPr>
                <w:rFonts w:eastAsia="Muli" w:cs="Muli" w:asciiTheme="majorHAnsi" w:hAnsiTheme="majorHAnsi"/>
                <w:sz w:val="18"/>
                <w:szCs w:val="18"/>
              </w:rPr>
              <w:t>Stores your account and Platform data so the app can work, keeps it secure and backed up. Data is stored to run the app and is not exported to external platforms.</w:t>
            </w:r>
          </w:p>
        </w:tc>
        <w:tc>
          <w:tcPr>
            <w:tcW w:w="1300" w:type="dxa"/>
          </w:tcPr>
          <w:p w14:paraId="76F9568F">
            <w:pPr>
              <w:spacing w:before="60" w:after="60"/>
            </w:pPr>
            <w:r>
              <w:rPr>
                <w:rFonts w:eastAsia="Muli" w:cs="Muli" w:asciiTheme="majorHAnsi" w:hAnsiTheme="majorHAnsi"/>
                <w:sz w:val="18"/>
                <w:szCs w:val="18"/>
              </w:rPr>
              <w:t>Yes</w:t>
            </w:r>
          </w:p>
        </w:tc>
        <w:tc>
          <w:tcPr>
            <w:tcW w:w="2100" w:type="dxa"/>
          </w:tcPr>
          <w:p w14:paraId="5328A431">
            <w:pPr>
              <w:spacing w:before="60" w:after="60"/>
            </w:pPr>
            <w:r>
              <w:rPr>
                <w:rFonts w:eastAsia="Muli" w:cs="Muli" w:asciiTheme="majorHAnsi" w:hAnsiTheme="majorHAnsi"/>
                <w:sz w:val="18"/>
                <w:szCs w:val="18"/>
              </w:rPr>
              <w:t>Close your account to have it deleted or de-identified (section 5).</w:t>
            </w:r>
          </w:p>
        </w:tc>
      </w:tr>
      <w:tr w14:paraId="587393EE">
        <w:trPr>
          <w:cantSplit/>
        </w:trPr>
        <w:tc>
          <w:tcPr>
            <w:tcW w:w="2100" w:type="dxa"/>
          </w:tcPr>
          <w:p w14:paraId="5B0297EB">
            <w:pPr>
              <w:spacing w:before="60" w:after="60"/>
            </w:pPr>
            <w:r>
              <w:rPr>
                <w:rFonts w:eastAsia="Muli" w:cs="Muli" w:asciiTheme="majorHAnsi" w:hAnsiTheme="majorHAnsi"/>
                <w:b/>
                <w:bCs/>
                <w:sz w:val="18"/>
                <w:szCs w:val="18"/>
              </w:rPr>
              <w:t>Software kits and APIs (functional only)</w:t>
            </w:r>
          </w:p>
        </w:tc>
        <w:tc>
          <w:tcPr>
            <w:tcW w:w="3500" w:type="dxa"/>
          </w:tcPr>
          <w:p w14:paraId="3FB42DEE">
            <w:pPr>
              <w:spacing w:before="60" w:after="60"/>
            </w:pPr>
            <w:r>
              <w:rPr>
                <w:rFonts w:eastAsia="Muli" w:cs="Muli" w:asciiTheme="majorHAnsi" w:hAnsiTheme="majorHAnsi"/>
                <w:sz w:val="18"/>
                <w:szCs w:val="18"/>
              </w:rPr>
              <w:t>Our developer, DotSquares, builds the app using software kits and APIs for functions such as payments, maps, notifications and data storage. They are used only to make features work and act on our behalf. They are not used to show you advertising or follow you elsewhere.</w:t>
            </w:r>
          </w:p>
        </w:tc>
        <w:tc>
          <w:tcPr>
            <w:tcW w:w="1300" w:type="dxa"/>
          </w:tcPr>
          <w:p w14:paraId="1C6FB751">
            <w:pPr>
              <w:spacing w:before="60" w:after="60"/>
            </w:pPr>
            <w:r>
              <w:rPr>
                <w:rFonts w:eastAsia="Muli" w:cs="Muli" w:asciiTheme="majorHAnsi" w:hAnsiTheme="majorHAnsi"/>
                <w:sz w:val="18"/>
                <w:szCs w:val="18"/>
              </w:rPr>
              <w:t>Yes</w:t>
            </w:r>
          </w:p>
        </w:tc>
        <w:tc>
          <w:tcPr>
            <w:tcW w:w="2100" w:type="dxa"/>
          </w:tcPr>
          <w:p w14:paraId="77140069">
            <w:pPr>
              <w:spacing w:before="60" w:after="60"/>
            </w:pPr>
            <w:r>
              <w:rPr>
                <w:rFonts w:eastAsia="Muli" w:cs="Muli" w:asciiTheme="majorHAnsi" w:hAnsiTheme="majorHAnsi"/>
                <w:sz w:val="18"/>
                <w:szCs w:val="18"/>
              </w:rPr>
              <w:t>Delete the app or change device permissions.</w:t>
            </w:r>
          </w:p>
        </w:tc>
      </w:tr>
      <w:tr w14:paraId="5FCE14D9">
        <w:trPr>
          <w:cantSplit/>
        </w:trPr>
        <w:tc>
          <w:tcPr>
            <w:tcW w:w="2100" w:type="dxa"/>
          </w:tcPr>
          <w:p w14:paraId="585847A4">
            <w:pPr>
              <w:spacing w:before="60" w:after="60"/>
            </w:pPr>
            <w:r>
              <w:rPr>
                <w:rFonts w:eastAsia="Muli" w:cs="Muli" w:asciiTheme="majorHAnsi" w:hAnsiTheme="majorHAnsi"/>
                <w:b/>
                <w:bCs/>
                <w:sz w:val="18"/>
                <w:szCs w:val="18"/>
              </w:rPr>
              <w:t>Precise location</w:t>
            </w:r>
          </w:p>
        </w:tc>
        <w:tc>
          <w:tcPr>
            <w:tcW w:w="3500" w:type="dxa"/>
          </w:tcPr>
          <w:p w14:paraId="6BD9E3CB">
            <w:pPr>
              <w:spacing w:before="60" w:after="60"/>
            </w:pPr>
            <w:r>
              <w:rPr>
                <w:rFonts w:eastAsia="Muli" w:cs="Muli" w:asciiTheme="majorHAnsi" w:hAnsiTheme="majorHAnsi"/>
                <w:sz w:val="18"/>
                <w:szCs w:val="18"/>
              </w:rPr>
              <w:t>Used only for location-based discovery while you allow it.</w:t>
            </w:r>
          </w:p>
        </w:tc>
        <w:tc>
          <w:tcPr>
            <w:tcW w:w="1300" w:type="dxa"/>
          </w:tcPr>
          <w:p w14:paraId="48DAA090">
            <w:pPr>
              <w:spacing w:before="60" w:after="60"/>
            </w:pPr>
            <w:r>
              <w:rPr>
                <w:rFonts w:eastAsia="Muli" w:cs="Muli" w:asciiTheme="majorHAnsi" w:hAnsiTheme="majorHAnsi"/>
                <w:sz w:val="18"/>
                <w:szCs w:val="18"/>
              </w:rPr>
              <w:t>No</w:t>
            </w:r>
          </w:p>
        </w:tc>
        <w:tc>
          <w:tcPr>
            <w:tcW w:w="2100" w:type="dxa"/>
          </w:tcPr>
          <w:p w14:paraId="082B26A9">
            <w:pPr>
              <w:spacing w:before="60" w:after="60"/>
            </w:pPr>
            <w:r>
              <w:rPr>
                <w:rFonts w:eastAsia="Muli" w:cs="Muli" w:asciiTheme="majorHAnsi" w:hAnsiTheme="majorHAnsi"/>
                <w:sz w:val="18"/>
                <w:szCs w:val="18"/>
              </w:rPr>
              <w:t>Device location permission, which you can change at any time.</w:t>
            </w:r>
          </w:p>
        </w:tc>
      </w:tr>
      <w:tr w14:paraId="73638466">
        <w:trPr>
          <w:cantSplit/>
        </w:trPr>
        <w:tc>
          <w:tcPr>
            <w:tcW w:w="2100" w:type="dxa"/>
          </w:tcPr>
          <w:p w14:paraId="72A60AD1">
            <w:pPr>
              <w:spacing w:before="60" w:after="60"/>
            </w:pPr>
            <w:r>
              <w:rPr>
                <w:rFonts w:eastAsia="Muli" w:cs="Muli" w:asciiTheme="majorHAnsi" w:hAnsiTheme="majorHAnsi"/>
                <w:b/>
                <w:bCs/>
                <w:sz w:val="18"/>
                <w:szCs w:val="18"/>
              </w:rPr>
              <w:t>Payments (Stripe)</w:t>
            </w:r>
          </w:p>
        </w:tc>
        <w:tc>
          <w:tcPr>
            <w:tcW w:w="3500" w:type="dxa"/>
          </w:tcPr>
          <w:p w14:paraId="30D273DC">
            <w:pPr>
              <w:spacing w:before="60" w:after="60"/>
            </w:pPr>
            <w:r>
              <w:rPr>
                <w:rFonts w:eastAsia="Muli" w:cs="Muli" w:asciiTheme="majorHAnsi" w:hAnsiTheme="majorHAnsi"/>
                <w:sz w:val="18"/>
                <w:szCs w:val="18"/>
              </w:rPr>
              <w:t>When you pay, the Stripe payment form may set its own identifiers to process the payment and prevent fraud, under Stripe’s terms and privacy policy. We do not use them for advertising or tracking.</w:t>
            </w:r>
          </w:p>
        </w:tc>
        <w:tc>
          <w:tcPr>
            <w:tcW w:w="1300" w:type="dxa"/>
          </w:tcPr>
          <w:p w14:paraId="525F946D">
            <w:pPr>
              <w:spacing w:before="60" w:after="60"/>
            </w:pPr>
            <w:r>
              <w:rPr>
                <w:rFonts w:eastAsia="Muli" w:cs="Muli" w:asciiTheme="majorHAnsi" w:hAnsiTheme="majorHAnsi"/>
                <w:sz w:val="18"/>
                <w:szCs w:val="18"/>
              </w:rPr>
              <w:t>Yes, to pay by card</w:t>
            </w:r>
          </w:p>
        </w:tc>
        <w:tc>
          <w:tcPr>
            <w:tcW w:w="2100" w:type="dxa"/>
          </w:tcPr>
          <w:p w14:paraId="63944A5B">
            <w:pPr>
              <w:spacing w:before="60" w:after="60"/>
            </w:pPr>
            <w:r>
              <w:rPr>
                <w:rFonts w:eastAsia="Muli" w:cs="Muli" w:asciiTheme="majorHAnsi" w:hAnsiTheme="majorHAnsi"/>
                <w:sz w:val="18"/>
                <w:szCs w:val="18"/>
              </w:rPr>
              <w:t>Use another payment method where offered.</w:t>
            </w:r>
          </w:p>
        </w:tc>
      </w:tr>
      <w:tr w14:paraId="0CDEB446">
        <w:trPr>
          <w:cantSplit/>
        </w:trPr>
        <w:tc>
          <w:tcPr>
            <w:tcW w:w="2100" w:type="dxa"/>
          </w:tcPr>
          <w:p w14:paraId="5C76526D">
            <w:pPr>
              <w:spacing w:before="60" w:after="60"/>
            </w:pPr>
            <w:r>
              <w:rPr>
                <w:rFonts w:eastAsia="Muli" w:cs="Muli" w:asciiTheme="majorHAnsi" w:hAnsiTheme="majorHAnsi"/>
                <w:b/>
                <w:bCs/>
                <w:sz w:val="18"/>
                <w:szCs w:val="18"/>
              </w:rPr>
              <w:t xml:space="preserve">Device services </w:t>
            </w:r>
          </w:p>
        </w:tc>
        <w:tc>
          <w:tcPr>
            <w:tcW w:w="3500" w:type="dxa"/>
          </w:tcPr>
          <w:p w14:paraId="54A4FEF6">
            <w:pPr>
              <w:spacing w:before="60" w:after="60"/>
            </w:pPr>
            <w:r>
              <w:rPr>
                <w:rFonts w:eastAsia="Muli" w:cs="Muli" w:asciiTheme="majorHAnsi" w:hAnsiTheme="majorHAnsi"/>
                <w:sz w:val="18"/>
                <w:szCs w:val="18"/>
              </w:rPr>
              <w:t>Push notifications and maps are supplied by your device’s operating system provider (Apple or Google) under their terms, and only if you allow them.</w:t>
            </w:r>
          </w:p>
        </w:tc>
        <w:tc>
          <w:tcPr>
            <w:tcW w:w="1300" w:type="dxa"/>
          </w:tcPr>
          <w:p w14:paraId="0C92BFE6">
            <w:pPr>
              <w:spacing w:before="60" w:after="60"/>
            </w:pPr>
            <w:r>
              <w:rPr>
                <w:rFonts w:eastAsia="Muli" w:cs="Muli" w:asciiTheme="majorHAnsi" w:hAnsiTheme="majorHAnsi"/>
                <w:sz w:val="18"/>
                <w:szCs w:val="18"/>
              </w:rPr>
              <w:t>No</w:t>
            </w:r>
          </w:p>
        </w:tc>
        <w:tc>
          <w:tcPr>
            <w:tcW w:w="2100" w:type="dxa"/>
          </w:tcPr>
          <w:p w14:paraId="3605AC8C">
            <w:pPr>
              <w:spacing w:before="60" w:after="60"/>
            </w:pPr>
            <w:r>
              <w:rPr>
                <w:rFonts w:eastAsia="Muli" w:cs="Muli" w:asciiTheme="majorHAnsi" w:hAnsiTheme="majorHAnsi"/>
                <w:sz w:val="18"/>
                <w:szCs w:val="18"/>
              </w:rPr>
              <w:t>Device notification and location settings.</w:t>
            </w:r>
          </w:p>
        </w:tc>
      </w:tr>
    </w:tbl>
    <w:p w14:paraId="5CC46B1C">
      <w:pPr>
        <w:spacing w:before="0" w:after="120"/>
      </w:pPr>
    </w:p>
    <w:p w14:paraId="1B692D3E">
      <w:pPr>
        <w:keepNext/>
        <w:spacing w:before="160" w:after="60"/>
      </w:pPr>
      <w:r>
        <w:rPr>
          <w:rFonts w:eastAsia="Muli" w:cs="Muli" w:asciiTheme="majorHAnsi" w:hAnsiTheme="majorHAnsi"/>
          <w:b/>
          <w:bCs/>
          <w:sz w:val="20"/>
          <w:szCs w:val="20"/>
        </w:rPr>
        <w:t>2. What we do not do</w:t>
      </w:r>
    </w:p>
    <w:p w14:paraId="3C50C866">
      <w:pPr>
        <w:pStyle w:val="20"/>
        <w:numPr>
          <w:ilvl w:val="0"/>
          <w:numId w:val="2"/>
        </w:numPr>
        <w:spacing w:before="0" w:after="60"/>
        <w:contextualSpacing w:val="0"/>
      </w:pPr>
      <w:r>
        <w:rPr>
          <w:rFonts w:eastAsia="Muli" w:cs="Muli" w:asciiTheme="majorHAnsi" w:hAnsiTheme="majorHAnsi"/>
          <w:sz w:val="20"/>
          <w:szCs w:val="20"/>
        </w:rPr>
        <w:t>use third-party advertising or tracking cookies, software kits or pixels (the software kits and APIs we use are functional only, as section 1 explains);</w:t>
      </w:r>
    </w:p>
    <w:p w14:paraId="4E2177F9">
      <w:pPr>
        <w:pStyle w:val="20"/>
        <w:numPr>
          <w:ilvl w:val="0"/>
          <w:numId w:val="2"/>
        </w:numPr>
        <w:spacing w:before="0" w:after="60"/>
        <w:contextualSpacing w:val="0"/>
      </w:pPr>
      <w:r>
        <w:rPr>
          <w:rFonts w:eastAsia="Muli" w:cs="Muli" w:asciiTheme="majorHAnsi" w:hAnsiTheme="majorHAnsi"/>
          <w:sz w:val="20"/>
          <w:szCs w:val="20"/>
        </w:rPr>
        <w:t>track you across other apps, websites or services, or combine your activity in the Platform with data from outside it;</w:t>
      </w:r>
    </w:p>
    <w:p w14:paraId="003426B9">
      <w:pPr>
        <w:pStyle w:val="20"/>
        <w:numPr>
          <w:ilvl w:val="0"/>
          <w:numId w:val="2"/>
        </w:numPr>
        <w:spacing w:before="0" w:after="60"/>
        <w:contextualSpacing w:val="0"/>
      </w:pPr>
      <w:r>
        <w:rPr>
          <w:rFonts w:eastAsia="Muli" w:cs="Muli" w:asciiTheme="majorHAnsi" w:hAnsiTheme="majorHAnsi"/>
          <w:sz w:val="20"/>
          <w:szCs w:val="20"/>
        </w:rPr>
        <w:t>collect or use device advertising identifiers (such as the Apple IDFA or the Google Advertising ID)</w:t>
      </w:r>
      <w:r>
        <w:rPr>
          <w:rFonts w:hint="default" w:eastAsia="Muli" w:cs="Muli" w:asciiTheme="majorHAnsi" w:hAnsiTheme="majorHAnsi"/>
          <w:sz w:val="20"/>
          <w:szCs w:val="20"/>
          <w:lang w:val="en-US"/>
        </w:rPr>
        <w:t>;</w:t>
      </w:r>
    </w:p>
    <w:p w14:paraId="5F1695FD">
      <w:pPr>
        <w:pStyle w:val="20"/>
        <w:numPr>
          <w:ilvl w:val="0"/>
          <w:numId w:val="2"/>
        </w:numPr>
        <w:spacing w:before="0" w:after="60"/>
        <w:contextualSpacing w:val="0"/>
      </w:pPr>
      <w:r>
        <w:rPr>
          <w:rFonts w:eastAsia="Muli" w:cs="Muli" w:asciiTheme="majorHAnsi" w:hAnsiTheme="majorHAnsi"/>
          <w:sz w:val="20"/>
          <w:szCs w:val="20"/>
        </w:rPr>
        <w:t>use social-media or advertising-network logins or tracking;</w:t>
      </w:r>
    </w:p>
    <w:p w14:paraId="2E0835E7">
      <w:pPr>
        <w:pStyle w:val="20"/>
        <w:numPr>
          <w:ilvl w:val="0"/>
          <w:numId w:val="2"/>
        </w:numPr>
        <w:spacing w:before="0" w:after="60"/>
        <w:contextualSpacing w:val="0"/>
      </w:pPr>
      <w:r>
        <w:rPr>
          <w:rFonts w:eastAsia="Muli" w:cs="Muli" w:asciiTheme="majorHAnsi" w:hAnsiTheme="majorHAnsi"/>
          <w:sz w:val="20"/>
          <w:szCs w:val="20"/>
        </w:rPr>
        <w:t>sell or share your In-App Preferences with data brokers, advertisers or external platforms; or</w:t>
      </w:r>
    </w:p>
    <w:p w14:paraId="18CAA123">
      <w:pPr>
        <w:pStyle w:val="20"/>
        <w:numPr>
          <w:ilvl w:val="0"/>
          <w:numId w:val="2"/>
        </w:numPr>
        <w:spacing w:before="0" w:after="60"/>
        <w:contextualSpacing w:val="0"/>
      </w:pPr>
      <w:r>
        <w:rPr>
          <w:rFonts w:eastAsia="Muli" w:cs="Muli" w:asciiTheme="majorHAnsi" w:hAnsiTheme="majorHAnsi"/>
          <w:sz w:val="20"/>
          <w:szCs w:val="20"/>
        </w:rPr>
        <w:t>show a Business your personal information or individual preferences. Businesses see only aggregated, de-identified reports</w:t>
      </w:r>
      <w:r>
        <w:rPr>
          <w:rFonts w:hint="default" w:eastAsia="Muli" w:cs="Muli" w:asciiTheme="majorHAnsi" w:hAnsiTheme="majorHAnsi"/>
          <w:sz w:val="20"/>
          <w:szCs w:val="20"/>
          <w:lang w:val="en-US"/>
        </w:rPr>
        <w:t>.</w:t>
      </w:r>
    </w:p>
    <w:p w14:paraId="4AE72791">
      <w:pPr>
        <w:keepNext/>
        <w:spacing w:before="160" w:after="60"/>
      </w:pPr>
      <w:r>
        <w:rPr>
          <w:rFonts w:eastAsia="Muli" w:cs="Muli" w:asciiTheme="majorHAnsi" w:hAnsiTheme="majorHAnsi"/>
          <w:b/>
          <w:bCs/>
          <w:sz w:val="20"/>
          <w:szCs w:val="20"/>
        </w:rPr>
        <w:t>3. Advertising</w:t>
      </w:r>
    </w:p>
    <w:p w14:paraId="29140437">
      <w:pPr>
        <w:spacing w:before="0" w:after="120"/>
      </w:pPr>
      <w:r>
        <w:rPr>
          <w:rFonts w:eastAsia="Muli" w:cs="Muli" w:asciiTheme="majorHAnsi" w:hAnsiTheme="majorHAnsi"/>
          <w:sz w:val="20"/>
          <w:szCs w:val="20"/>
        </w:rPr>
        <w:t>Advertising in the Platform is matched using your In-App Preferences only and is always labelled as promoted. If you switch off personalised matching you will still see advertising, but it will not be based on your preferences. We do not show personalised advertising to anyone under 18 (clause 29.15).</w:t>
      </w:r>
    </w:p>
    <w:p w14:paraId="4DE5A4DF">
      <w:pPr>
        <w:keepNext/>
        <w:spacing w:before="160" w:after="60"/>
      </w:pPr>
      <w:r>
        <w:rPr>
          <w:rFonts w:eastAsia="Muli" w:cs="Muli" w:asciiTheme="majorHAnsi" w:hAnsiTheme="majorHAnsi"/>
          <w:b/>
          <w:bCs/>
          <w:sz w:val="20"/>
          <w:szCs w:val="20"/>
        </w:rPr>
        <w:t>4. Your choices</w:t>
      </w:r>
    </w:p>
    <w:p w14:paraId="7581059B">
      <w:pPr>
        <w:spacing w:before="0" w:after="120"/>
      </w:pPr>
      <w:r>
        <w:rPr>
          <w:rFonts w:eastAsia="Muli" w:cs="Muli" w:asciiTheme="majorHAnsi" w:hAnsiTheme="majorHAnsi"/>
          <w:sz w:val="20"/>
          <w:szCs w:val="20"/>
        </w:rPr>
        <w:t>You can view, change or reset your preferences in Settings at any time, switch off personalised matching, withdraw location permission in your device settings, and delete your account in the Platform. Changing a setting may make the Platform less relevant to you but will not stop it working, except that essential tokens are needed for you to stay signed in.</w:t>
      </w:r>
    </w:p>
    <w:p w14:paraId="0FACCBE6">
      <w:pPr>
        <w:keepNext/>
        <w:spacing w:before="160" w:after="60"/>
      </w:pPr>
      <w:r>
        <w:rPr>
          <w:rFonts w:eastAsia="Muli" w:cs="Muli" w:asciiTheme="majorHAnsi" w:hAnsiTheme="majorHAnsi"/>
          <w:b/>
          <w:bCs/>
          <w:sz w:val="20"/>
          <w:szCs w:val="20"/>
        </w:rPr>
        <w:t>5. Where it is stored and how long we keep it</w:t>
      </w:r>
    </w:p>
    <w:p w14:paraId="20A3473E">
      <w:pPr>
        <w:spacing w:before="0" w:after="120"/>
      </w:pPr>
      <w:r>
        <w:rPr>
          <w:rFonts w:eastAsia="Muli" w:cs="Muli" w:asciiTheme="majorHAnsi" w:hAnsiTheme="majorHAnsi"/>
          <w:sz w:val="20"/>
          <w:szCs w:val="20"/>
        </w:rPr>
        <w:t>Platform data is stored in our hosting environment (Amazon Web Services in Sydney, Australia, and Google Firebase), encrypted in transit and at rest, to run the app and is not exported to external platforms. Database backups are kept on a</w:t>
      </w:r>
      <w:r>
        <w:rPr>
          <w:rFonts w:eastAsia="Muli" w:cs="Muli" w:asciiTheme="majorHAnsi" w:hAnsiTheme="majorHAnsi"/>
          <w:sz w:val="20"/>
          <w:szCs w:val="20"/>
          <w:highlight w:val="none"/>
        </w:rPr>
        <w:t xml:space="preserve"> rolling [35]-day cycle, so deleted data can remain in backups for up to that period. In-App Preferences are kept while your account is active and are deleted or de-identified within [30] days after you delete it, unless the law requires us to keep them. Essential tokens expire when you sign out or after [X] </w:t>
      </w:r>
      <w:r>
        <w:rPr>
          <w:rFonts w:eastAsia="Muli" w:cs="Muli" w:asciiTheme="majorHAnsi" w:hAnsiTheme="majorHAnsi"/>
          <w:sz w:val="20"/>
          <w:szCs w:val="20"/>
        </w:rPr>
        <w:t>days.</w:t>
      </w:r>
    </w:p>
    <w:p w14:paraId="75F00E71">
      <w:pPr>
        <w:keepNext/>
        <w:spacing w:before="160" w:after="60"/>
      </w:pPr>
      <w:r>
        <w:rPr>
          <w:rFonts w:eastAsia="Muli" w:cs="Muli" w:asciiTheme="majorHAnsi" w:hAnsiTheme="majorHAnsi"/>
          <w:b/>
          <w:bCs/>
          <w:sz w:val="20"/>
          <w:szCs w:val="20"/>
        </w:rPr>
        <w:t>6. Changes</w:t>
      </w:r>
    </w:p>
    <w:p w14:paraId="2EED14E6">
      <w:pPr>
        <w:spacing w:before="0" w:after="120"/>
      </w:pPr>
      <w:r>
        <w:rPr>
          <w:rFonts w:eastAsia="Muli" w:cs="Muli" w:asciiTheme="majorHAnsi" w:hAnsiTheme="majorHAnsi"/>
          <w:sz w:val="20"/>
          <w:szCs w:val="20"/>
        </w:rPr>
        <w:t>If we ever add a third-party service that tracks you or collects data from the Platform, we will first update this Schedule and our Privacy Policy and ask for your consent (clause 37).</w:t>
      </w:r>
    </w:p>
    <w:p w14:paraId="53BBDC88">
      <w:pPr>
        <w:keepNext/>
        <w:spacing w:before="160" w:after="60"/>
      </w:pPr>
      <w:r>
        <w:rPr>
          <w:rFonts w:eastAsia="Muli" w:cs="Muli" w:asciiTheme="majorHAnsi" w:hAnsiTheme="majorHAnsi"/>
          <w:b/>
          <w:bCs/>
          <w:sz w:val="20"/>
          <w:szCs w:val="20"/>
        </w:rPr>
        <w:t>7. Privacy law and contact</w:t>
      </w:r>
    </w:p>
    <w:p w14:paraId="69B62FA6">
      <w:pPr>
        <w:spacing w:before="0" w:after="120"/>
      </w:pPr>
      <w:r>
        <w:rPr>
          <w:rFonts w:eastAsia="Muli" w:cs="Muli" w:asciiTheme="majorHAnsi" w:hAnsiTheme="majorHAnsi"/>
          <w:sz w:val="20"/>
          <w:szCs w:val="20"/>
        </w:rPr>
        <w:t>We handle personal information collected through these technologies under the Privacy Act 1988 (Cth) and our Privacy Policy. Contact us at team@1stopapp.com with any question. You may also complain to the Office of the Australian Information Commissioner at www.oaic.gov.au.</w:t>
      </w:r>
    </w:p>
    <w:sectPr>
      <w:headerReference r:id="rId4" w:type="default"/>
      <w:footerReference r:id="rId5" w:type="default"/>
      <w:pgSz w:w="11906" w:h="16838"/>
      <w:pgMar w:top="1985" w:right="1440" w:bottom="1350" w:left="1440" w:header="720" w:footer="720" w:gutter="0"/>
      <w:pgNumType w:start="0"/>
      <w:cols w:space="720" w:num="1"/>
      <w:titlePg/>
      <w:docGrid w:linePitch="245"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SimSun"/>
    <w:panose1 w:val="02010600030101010101"/>
    <w:charset w:val="86"/>
    <w:family w:val="auto"/>
    <w:pitch w:val="variable"/>
    <w:sig w:usb0="00000003" w:usb1="080E0000" w:usb2="00000010" w:usb3="00000000" w:csb0="00040001" w:csb1="00000000"/>
  </w:font>
  <w:font w:name="SimSun">
    <w:altName w:val="宋体-简"/>
    <w:panose1 w:val="00000000000000000000"/>
    <w:charset w:val="86"/>
    <w:family w:val="auto"/>
    <w:pitch w:val="default"/>
    <w:sig w:usb0="00000000" w:usb1="00000000" w:usb2="00000000" w:usb3="00000000" w:csb0="00000000" w:csb1="00000000"/>
  </w:font>
  <w:font w:name="Arial">
    <w:panose1 w:val="020B0704020202020204"/>
    <w:charset w:val="86"/>
    <w:family w:val="swiss"/>
    <w:pitch w:val="default"/>
    <w:sig w:usb0="E0002AFF" w:usb1="C0007843" w:usb2="00000009" w:usb3="00000000" w:csb0="400001FF" w:csb1="FFFF0000"/>
  </w:font>
  <w:font w:name="SimHei">
    <w:altName w:val="黑体-简"/>
    <w:panose1 w:val="02010600030101010101"/>
    <w:charset w:val="00"/>
    <w:family w:val="auto"/>
    <w:pitch w:val="default"/>
    <w:sig w:usb0="00000001" w:usb1="080E0000" w:usb2="00000010" w:usb3="00000000" w:csb0="00040000" w:csb1="00000000"/>
  </w:font>
  <w:font w:name="Courier New">
    <w:panose1 w:val="02070609020205020404"/>
    <w:charset w:val="00"/>
    <w:family w:val="modern"/>
    <w:pitch w:val="default"/>
    <w:sig w:usb0="E0002AFF" w:usb1="C0007843" w:usb2="00000009" w:usb3="00000000" w:csb0="400001FF" w:csb1="FFFF0000"/>
  </w:font>
  <w:font w:name="Wingdings">
    <w:panose1 w:val="05000000000000000000"/>
    <w:charset w:val="00"/>
    <w:family w:val="auto"/>
    <w:pitch w:val="default"/>
    <w:sig w:usb0="00000000" w:usb1="00000000" w:usb2="00000000" w:usb3="00000000" w:csb0="80000000" w:csb1="00000000"/>
  </w:font>
  <w:font w:name="Calibri">
    <w:altName w:val="Helvetica Neue"/>
    <w:panose1 w:val="020F0502020204030204"/>
    <w:charset w:val="00"/>
    <w:family w:val="swiss"/>
    <w:pitch w:val="default"/>
    <w:sig w:usb0="00000000" w:usb1="00000000" w:usb2="00000001" w:usb3="00000000" w:csb0="0000019F" w:csb1="00000000"/>
  </w:font>
  <w:font w:name="等线">
    <w:altName w:val="宋体-简"/>
    <w:panose1 w:val="00000000000000000000"/>
    <w:charset w:val="86"/>
    <w:family w:val="auto"/>
    <w:pitch w:val="default"/>
    <w:sig w:usb0="00000000" w:usb1="00000000" w:usb2="00000000" w:usb3="00000000" w:csb0="00000000" w:csb1="00000000"/>
  </w:font>
  <w:font w:name="Arial">
    <w:panose1 w:val="020B0704020202020204"/>
    <w:charset w:val="86"/>
    <w:family w:val="swiss"/>
    <w:pitch w:val="default"/>
    <w:sig w:usb0="E0002AFF" w:usb1="C0007843" w:usb2="00000009" w:usb3="00000000" w:csb0="400001FF" w:csb1="FFFF0000"/>
  </w:font>
  <w:font w:name="Arial">
    <w:panose1 w:val="020B0704020202020204"/>
    <w:charset w:val="00"/>
    <w:family w:val="auto"/>
    <w:pitch w:val="default"/>
    <w:sig w:usb0="E0002AFF" w:usb1="C0007843" w:usb2="00000009" w:usb3="00000000" w:csb0="400001FF" w:csb1="FFFF0000"/>
  </w:font>
  <w:font w:name="Georgia">
    <w:panose1 w:val="02040502050405090303"/>
    <w:charset w:val="00"/>
    <w:family w:val="roman"/>
    <w:pitch w:val="default"/>
    <w:sig w:usb0="00000287" w:usb1="00000000" w:usb2="00000000" w:usb3="00000000" w:csb0="2000009F" w:csb1="00000000"/>
  </w:font>
  <w:font w:name="Playfair Display ExtraBold">
    <w:altName w:val="苹方-简"/>
    <w:panose1 w:val="00000000000000000000"/>
    <w:charset w:val="00"/>
    <w:family w:val="auto"/>
    <w:pitch w:val="default"/>
    <w:sig w:usb0="00000000" w:usb1="00000000" w:usb2="00000000" w:usb3="00000000" w:csb0="00000097" w:csb1="00000000"/>
  </w:font>
  <w:font w:name="Muli">
    <w:altName w:val="苹方-简"/>
    <w:panose1 w:val="00000000000000000000"/>
    <w:charset w:val="00"/>
    <w:family w:val="auto"/>
    <w:pitch w:val="default"/>
    <w:sig w:usb0="00000000" w:usb1="00000000" w:usb2="00000000" w:usb3="00000000" w:csb0="00000093" w:csb1="00000000"/>
  </w:font>
  <w:font w:name="Segoe UI">
    <w:altName w:val="苹方-简"/>
    <w:panose1 w:val="020B0502040204020203"/>
    <w:charset w:val="00"/>
    <w:family w:val="swiss"/>
    <w:pitch w:val="default"/>
    <w:sig w:usb0="00000000" w:usb1="00000000" w:usb2="00000009" w:usb3="00000000" w:csb0="000001FF" w:csb1="00000000"/>
  </w:font>
  <w:font w:name="黑体-简">
    <w:panose1 w:val="00000000000000000000"/>
    <w:charset w:val="86"/>
    <w:family w:val="auto"/>
    <w:pitch w:val="default"/>
    <w:sig w:usb0="8000002F" w:usb1="0800004A" w:usb2="00000000" w:usb3="00000000" w:csb0="203E0000" w:csb1="00000000"/>
  </w:font>
  <w:font w:name="Helvetica Neue">
    <w:panose1 w:val="02000503000000020004"/>
    <w:charset w:val="00"/>
    <w:family w:val="auto"/>
    <w:pitch w:val="default"/>
    <w:sig w:usb0="E50002FF" w:usb1="500079DB" w:usb2="00000010" w:usb3="00000000" w:csb0="00000000" w:csb1="00000000"/>
  </w:font>
  <w:font w:name="Arial Unicode MS">
    <w:panose1 w:val="020B0604020202020204"/>
    <w:charset w:val="86"/>
    <w:family w:val="auto"/>
    <w:pitch w:val="default"/>
    <w:sig w:usb0="FFFFFFFF" w:usb1="E9FFFFFF" w:usb2="0000003F" w:usb3="00000000" w:csb0="603F01FF" w:csb1="FFFF0000"/>
  </w:font>
  <w:font w:name="苹方-简">
    <w:altName w:val="Times New Roman"/>
    <w:panose1 w:val="020B0600000000000000"/>
    <w:charset w:val="00"/>
    <w:family w:val="auto"/>
    <w:pitch w:val="default"/>
    <w:sig w:usb0="A00002FF" w:usb1="7ACFFDFB" w:usb2="00000017" w:usb3="00000000" w:csb0="00040001" w:csb1="00000000"/>
  </w:font>
  <w:font w:name="宋体-简">
    <w:panose1 w:val="02010800040101010101"/>
    <w:charset w:val="86"/>
    <w:family w:val="auto"/>
    <w:pitch w:val="default"/>
    <w:sig w:usb0="00000001" w:usb1="080F0000" w:usb2="00000000" w:usb3="00000000" w:csb0="00040000" w:csb1="00000000"/>
  </w:font>
  <w:font w:name="Calibri Light">
    <w:altName w:val="Helvetica Neue"/>
    <w:panose1 w:val="020F0302020204030204"/>
    <w:charset w:val="00"/>
    <w:family w:val="swiss"/>
    <w:pitch w:val="default"/>
    <w:sig w:usb0="00000000" w:usb1="00000000" w:usb2="00000009" w:usb3="00000000" w:csb0="000001FF" w:csb1="00000000"/>
  </w:font>
  <w:font w:name="Arial Bold">
    <w:panose1 w:val="020B0704020202020204"/>
    <w:charset w:val="00"/>
    <w:family w:val="auto"/>
    <w:pitch w:val="default"/>
    <w:sig w:usb0="E0002AFF" w:usb1="C0007843" w:usb2="00000009" w:usb3="00000000" w:csb0="400001FF" w:csb1="FFFF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6EAACAA">
    <w:pPr>
      <w:jc w:val="center"/>
      <w:rPr>
        <w:sz w:val="16"/>
      </w:rPr>
    </w:pPr>
    <w:r>
      <w:rPr>
        <w:sz w:val="16"/>
        <w:szCs w:val="16"/>
      </w:rPr>
      <w:t>1Stop Terms of Service  |  TWCW Pty Ltd  |  Version 7.0 (October 2026)</w:t>
    </w:r>
  </w:p>
  <w:p w14:paraId="0F14E9FD">
    <w:pPr>
      <w:pStyle w:val="13"/>
      <w:jc w:val="center"/>
      <w:rPr>
        <w:color w:val="000000"/>
        <w:szCs w:val="18"/>
        <w:lang w:val="en-US"/>
      </w:rPr>
    </w:pPr>
    <w:r>
      <w:rPr>
        <w:color w:val="000000"/>
        <w:szCs w:val="18"/>
        <w:lang w:val="en-US"/>
      </w:rPr>
      <w:tab/>
    </w:r>
    <w:r>
      <w:rPr>
        <w:color w:val="000000"/>
        <w:szCs w:val="18"/>
        <w:lang w:val="en-US"/>
      </w:rPr>
      <w:tab/>
    </w:r>
    <w:sdt>
      <w:sdtPr>
        <w:rPr>
          <w:szCs w:val="18"/>
        </w:rPr>
        <w:id w:val="397796048"/>
        <w:docPartObj>
          <w:docPartGallery w:val="autotext"/>
        </w:docPartObj>
      </w:sdtPr>
      <w:sdtEndPr>
        <w:rPr>
          <w:szCs w:val="18"/>
        </w:rPr>
      </w:sdtEndPr>
      <w:sdtContent>
        <w:sdt>
          <w:sdtPr>
            <w:rPr>
              <w:szCs w:val="18"/>
            </w:rPr>
            <w:id w:val="-1"/>
            <w:docPartObj>
              <w:docPartGallery w:val="autotext"/>
            </w:docPartObj>
          </w:sdtPr>
          <w:sdtEndPr>
            <w:rPr>
              <w:szCs w:val="18"/>
            </w:rPr>
          </w:sdtEndPr>
          <w:sdtContent>
            <w:r>
              <w:rPr>
                <w:szCs w:val="18"/>
              </w:rPr>
              <w:t xml:space="preserve">Page </w:t>
            </w:r>
            <w:r>
              <w:rPr>
                <w:b/>
                <w:bCs/>
                <w:szCs w:val="18"/>
              </w:rPr>
              <w:fldChar w:fldCharType="begin"/>
            </w:r>
            <w:r>
              <w:rPr>
                <w:b/>
                <w:bCs/>
                <w:szCs w:val="18"/>
              </w:rPr>
              <w:instrText xml:space="preserve"> PAGE </w:instrText>
            </w:r>
            <w:r>
              <w:rPr>
                <w:b/>
                <w:bCs/>
                <w:szCs w:val="18"/>
              </w:rPr>
              <w:fldChar w:fldCharType="separate"/>
            </w:r>
            <w:r>
              <w:rPr>
                <w:b/>
                <w:bCs/>
                <w:szCs w:val="18"/>
              </w:rPr>
              <w:t>2</w:t>
            </w:r>
            <w:r>
              <w:rPr>
                <w:b/>
                <w:bCs/>
                <w:szCs w:val="18"/>
              </w:rPr>
              <w:fldChar w:fldCharType="end"/>
            </w:r>
            <w:r>
              <w:rPr>
                <w:szCs w:val="18"/>
              </w:rPr>
              <w:t xml:space="preserve"> of </w:t>
            </w:r>
            <w:r>
              <w:rPr>
                <w:rFonts w:hint="default" w:ascii="Arial Bold" w:hAnsi="Arial Bold" w:cs="Arial Bold"/>
                <w:b/>
                <w:bCs/>
                <w:szCs w:val="18"/>
                <w:lang w:val="en-US"/>
              </w:rPr>
              <w:t>41</w:t>
            </w:r>
          </w:sdtContent>
        </w:sdt>
      </w:sdtContent>
    </w:sdt>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pPr>
      <w:r>
        <w:separator/>
      </w:r>
    </w:p>
  </w:footnote>
  <w:footnote w:type="continuationSeparator" w:id="1">
    <w:p>
      <w:pPr>
        <w:spacing w:before="0" w:after="0"/>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6EAACA4">
    <w:pPr>
      <w:pStyle w:val="14"/>
      <w:spacing w:before="0"/>
      <w:jc w:val="right"/>
    </w:pPr>
    <w:r>
      <w:drawing>
        <wp:inline distT="0" distB="0" distL="0" distR="0">
          <wp:extent cx="770255" cy="399415"/>
          <wp:effectExtent l="0" t="0" r="0" b="0"/>
          <wp:docPr id="981" name="1Stop logo"/>
          <wp:cNvGraphicFramePr/>
          <a:graphic xmlns:a="http://schemas.openxmlformats.org/drawingml/2006/main">
            <a:graphicData uri="http://schemas.openxmlformats.org/drawingml/2006/picture">
              <pic:pic xmlns:pic="http://schemas.openxmlformats.org/drawingml/2006/picture">
                <pic:nvPicPr>
                  <pic:cNvPr id="981" name="1Stop logo"/>
                  <pic:cNvPicPr/>
                </pic:nvPicPr>
                <pic:blipFill>
                  <a:blip r:embed="rId1"/>
                  <a:stretch>
                    <a:fillRect/>
                  </a:stretch>
                </pic:blipFill>
                <pic:spPr>
                  <a:xfrm>
                    <a:off x="0" y="0"/>
                    <a:ext cx="770877" cy="400000"/>
                  </a:xfrm>
                  <a:prstGeom prst="rect">
                    <a:avLst/>
                  </a:prstGeom>
                </pic:spPr>
              </pic:pic>
            </a:graphicData>
          </a:graphic>
        </wp:inline>
      </w:drawing>
    </w:r>
    <w:r>
      <w:rPr>
        <w:color w:val="000000"/>
        <w:sz w:val="28"/>
      </w:rPr>
      <w:t xml:space="preserve">  ×  </w:t>
    </w:r>
    <w:r>
      <w:drawing>
        <wp:inline distT="0" distB="0" distL="0" distR="0">
          <wp:extent cx="399415" cy="399415"/>
          <wp:effectExtent l="0" t="0" r="0" b="0"/>
          <wp:docPr id="982" name="TWCW logo"/>
          <wp:cNvGraphicFramePr/>
          <a:graphic xmlns:a="http://schemas.openxmlformats.org/drawingml/2006/main">
            <a:graphicData uri="http://schemas.openxmlformats.org/drawingml/2006/picture">
              <pic:pic xmlns:pic="http://schemas.openxmlformats.org/drawingml/2006/picture">
                <pic:nvPicPr>
                  <pic:cNvPr id="982" name="TWCW logo"/>
                  <pic:cNvPicPr/>
                </pic:nvPicPr>
                <pic:blipFill>
                  <a:blip r:embed="rId2"/>
                  <a:stretch>
                    <a:fillRect/>
                  </a:stretch>
                </pic:blipFill>
                <pic:spPr>
                  <a:xfrm>
                    <a:off x="0" y="0"/>
                    <a:ext cx="400000" cy="400000"/>
                  </a:xfrm>
                  <a:prstGeom prst="rect">
                    <a:avLst/>
                  </a:prstGeom>
                </pic:spPr>
              </pic:pic>
            </a:graphicData>
          </a:graphic>
        </wp:inline>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8F7E7C3D"/>
    <w:multiLevelType w:val="singleLevel"/>
    <w:tmpl w:val="8F7E7C3D"/>
    <w:lvl w:ilvl="0" w:tentative="0">
      <w:start w:val="1"/>
      <w:numFmt w:val="bullet"/>
      <w:lvlText w:val="•"/>
      <w:lvlJc w:val="left"/>
      <w:pPr>
        <w:ind w:left="567" w:hanging="283"/>
      </w:pPr>
      <w:rPr>
        <w:rFonts w:hint="default" w:ascii="Calibri" w:hAnsi="Calibri"/>
      </w:rPr>
    </w:lvl>
  </w:abstractNum>
  <w:abstractNum w:abstractNumId="1">
    <w:nsid w:val="4A1A16F3"/>
    <w:multiLevelType w:val="multilevel"/>
    <w:tmpl w:val="4A1A16F3"/>
    <w:lvl w:ilvl="0" w:tentative="0">
      <w:start w:val="1"/>
      <w:numFmt w:val="decimal"/>
      <w:lvlText w:val="%1."/>
      <w:lvlJc w:val="left"/>
      <w:pPr>
        <w:ind w:left="567" w:hanging="425"/>
      </w:pPr>
      <w:rPr>
        <w:b/>
        <w:bCs/>
        <w:spacing w:val="0"/>
      </w:rPr>
    </w:lvl>
    <w:lvl w:ilvl="1" w:tentative="0">
      <w:start w:val="1"/>
      <w:numFmt w:val="decimal"/>
      <w:lvlText w:val="%1.%2."/>
      <w:lvlJc w:val="left"/>
      <w:pPr>
        <w:ind w:left="1134" w:hanging="567"/>
      </w:pPr>
      <w:rPr>
        <w:b w:val="0"/>
        <w:bCs/>
        <w:spacing w:val="0"/>
        <w:sz w:val="20"/>
        <w:szCs w:val="20"/>
      </w:rPr>
    </w:lvl>
    <w:lvl w:ilvl="2" w:tentative="0">
      <w:start w:val="1"/>
      <w:numFmt w:val="lowerLetter"/>
      <w:lvlText w:val="%3."/>
      <w:lvlJc w:val="left"/>
      <w:pPr>
        <w:ind w:left="1559" w:hanging="425"/>
      </w:pPr>
      <w:rPr>
        <w:b w:val="0"/>
        <w:bCs/>
      </w:rPr>
    </w:lvl>
    <w:lvl w:ilvl="3" w:tentative="0">
      <w:start w:val="1"/>
      <w:numFmt w:val="decimal"/>
      <w:lvlText w:val="%1.%2.%3.%4."/>
      <w:lvlJc w:val="left"/>
      <w:pPr>
        <w:ind w:left="1728" w:hanging="648"/>
      </w:pPr>
    </w:lvl>
    <w:lvl w:ilvl="4" w:tentative="0">
      <w:start w:val="1"/>
      <w:numFmt w:val="decimal"/>
      <w:lvlText w:val="%1.%2.%3.%4.%5."/>
      <w:lvlJc w:val="left"/>
      <w:pPr>
        <w:ind w:left="2232" w:hanging="792"/>
      </w:pPr>
    </w:lvl>
    <w:lvl w:ilvl="5" w:tentative="0">
      <w:start w:val="1"/>
      <w:numFmt w:val="decimal"/>
      <w:lvlText w:val="%1.%2.%3.%4.%5.%6."/>
      <w:lvlJc w:val="left"/>
      <w:pPr>
        <w:ind w:left="2736" w:hanging="936"/>
      </w:pPr>
    </w:lvl>
    <w:lvl w:ilvl="6" w:tentative="0">
      <w:start w:val="1"/>
      <w:numFmt w:val="decimal"/>
      <w:lvlText w:val="%1.%2.%3.%4.%5.%6.%7."/>
      <w:lvlJc w:val="left"/>
      <w:pPr>
        <w:ind w:left="3240" w:hanging="1080"/>
      </w:pPr>
    </w:lvl>
    <w:lvl w:ilvl="7" w:tentative="0">
      <w:start w:val="1"/>
      <w:numFmt w:val="decimal"/>
      <w:lvlText w:val="%1.%2.%3.%4.%5.%6.%7.%8."/>
      <w:lvlJc w:val="left"/>
      <w:pPr>
        <w:ind w:left="3744" w:hanging="1224"/>
      </w:pPr>
    </w:lvl>
    <w:lvl w:ilvl="8" w:tentative="0">
      <w:start w:val="1"/>
      <w:numFmt w:val="decimal"/>
      <w:lvlText w:val="%1.%2.%3.%4.%5.%6.%7.%8.%9."/>
      <w:lvlJc w:val="left"/>
      <w:pPr>
        <w:ind w:left="4320" w:hanging="1440"/>
      </w:pPr>
    </w:lvl>
  </w:abstractNum>
  <w:abstractNum w:abstractNumId="2">
    <w:nsid w:val="7EF01E10"/>
    <w:multiLevelType w:val="multilevel"/>
    <w:tmpl w:val="7EF01E10"/>
    <w:lvl w:ilvl="0" w:tentative="0">
      <w:start w:val="1"/>
      <w:numFmt w:val="none"/>
      <w:pStyle w:val="54"/>
      <w:lvlText w:val=""/>
      <w:lvlJc w:val="left"/>
      <w:pPr>
        <w:ind w:left="0" w:firstLine="0"/>
      </w:pPr>
      <w:rPr>
        <w:rFonts w:hint="default"/>
      </w:rPr>
    </w:lvl>
    <w:lvl w:ilvl="1" w:tentative="0">
      <w:start w:val="1"/>
      <w:numFmt w:val="none"/>
      <w:pStyle w:val="56"/>
      <w:lvlText w:val=""/>
      <w:lvlJc w:val="left"/>
      <w:pPr>
        <w:ind w:left="0" w:firstLine="0"/>
      </w:pPr>
      <w:rPr>
        <w:rFonts w:hint="default"/>
      </w:rPr>
    </w:lvl>
    <w:lvl w:ilvl="2" w:tentative="0">
      <w:start w:val="1"/>
      <w:numFmt w:val="decimal"/>
      <w:pStyle w:val="58"/>
      <w:lvlText w:val="%3."/>
      <w:lvlJc w:val="left"/>
      <w:pPr>
        <w:ind w:left="562" w:hanging="562"/>
      </w:pPr>
      <w:rPr>
        <w:rFonts w:hint="default"/>
      </w:rPr>
    </w:lvl>
    <w:lvl w:ilvl="3" w:tentative="0">
      <w:start w:val="1"/>
      <w:numFmt w:val="none"/>
      <w:pStyle w:val="64"/>
      <w:isLgl/>
      <w:suff w:val="nothing"/>
      <w:lvlText w:val=""/>
      <w:lvlJc w:val="left"/>
      <w:pPr>
        <w:ind w:left="562" w:firstLine="0"/>
      </w:pPr>
      <w:rPr>
        <w:rFonts w:hint="default"/>
      </w:rPr>
    </w:lvl>
    <w:lvl w:ilvl="4" w:tentative="0">
      <w:start w:val="1"/>
      <w:numFmt w:val="decimal"/>
      <w:pStyle w:val="68"/>
      <w:lvlText w:val="%3.%5"/>
      <w:lvlJc w:val="left"/>
      <w:pPr>
        <w:ind w:left="1138" w:hanging="576"/>
      </w:pPr>
      <w:rPr>
        <w:rFonts w:hint="default"/>
        <w:lang w:val="en-AU"/>
      </w:rPr>
    </w:lvl>
    <w:lvl w:ilvl="5" w:tentative="0">
      <w:start w:val="1"/>
      <w:numFmt w:val="none"/>
      <w:pStyle w:val="66"/>
      <w:suff w:val="nothing"/>
      <w:lvlText w:val=""/>
      <w:lvlJc w:val="left"/>
      <w:pPr>
        <w:ind w:left="1138" w:firstLine="0"/>
      </w:pPr>
      <w:rPr>
        <w:rFonts w:hint="default"/>
      </w:rPr>
    </w:lvl>
    <w:lvl w:ilvl="6" w:tentative="0">
      <w:start w:val="1"/>
      <w:numFmt w:val="lowerLetter"/>
      <w:pStyle w:val="60"/>
      <w:lvlText w:val="%7)"/>
      <w:lvlJc w:val="left"/>
      <w:pPr>
        <w:ind w:left="1656" w:hanging="518"/>
      </w:pPr>
      <w:rPr>
        <w:rFonts w:hint="default"/>
      </w:rPr>
    </w:lvl>
    <w:lvl w:ilvl="7" w:tentative="0">
      <w:start w:val="1"/>
      <w:numFmt w:val="lowerRoman"/>
      <w:pStyle w:val="62"/>
      <w:lvlText w:val="%8."/>
      <w:lvlJc w:val="left"/>
      <w:pPr>
        <w:ind w:left="1944" w:hanging="288"/>
      </w:pPr>
      <w:rPr>
        <w:rFonts w:hint="default"/>
      </w:rPr>
    </w:lvl>
    <w:lvl w:ilvl="8" w:tentative="0">
      <w:start w:val="1"/>
      <w:numFmt w:val="none"/>
      <w:lvlText w:val=""/>
      <w:lvlJc w:val="left"/>
      <w:pPr>
        <w:ind w:left="3240" w:hanging="360"/>
      </w:pPr>
      <w:rPr>
        <w:rFonts w:hint="default"/>
      </w:rPr>
    </w:lvl>
  </w:abstractNum>
  <w:num w:numId="1">
    <w:abstractNumId w:val="2"/>
  </w:num>
  <w:num w:numId="2">
    <w:abstractNumId w:val="0"/>
  </w:num>
  <w:num w:numId="3">
    <w:abstractNumId w:val="1"/>
  </w:num>
</w:numbering>
</file>

<file path=word/people.xml><?xml version="1.0" encoding="utf-8"?>
<w15:people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15:person w15:author="Claude">
    <w15:presenceInfo w15:providerId="None" w15:userId="Claude"/>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88"/>
  <w:documentProtection w:enforcement="0"/>
  <w:defaultTabStop w:val="720"/>
  <w:characterSpacingControl w:val="doNotCompress"/>
  <w:footnotePr>
    <w:footnote w:id="0"/>
    <w:footnote w:id="1"/>
  </w:foot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B0C2D"/>
    <w:rsid w:val="000120A1"/>
    <w:rsid w:val="000248DA"/>
    <w:rsid w:val="00044CA6"/>
    <w:rsid w:val="00052083"/>
    <w:rsid w:val="00060156"/>
    <w:rsid w:val="000668B4"/>
    <w:rsid w:val="00075E1F"/>
    <w:rsid w:val="000951CF"/>
    <w:rsid w:val="000C4AD5"/>
    <w:rsid w:val="000E432D"/>
    <w:rsid w:val="000E4AF6"/>
    <w:rsid w:val="00107F60"/>
    <w:rsid w:val="00115C13"/>
    <w:rsid w:val="0012034C"/>
    <w:rsid w:val="00120406"/>
    <w:rsid w:val="00124030"/>
    <w:rsid w:val="001356C7"/>
    <w:rsid w:val="001505F6"/>
    <w:rsid w:val="001508CB"/>
    <w:rsid w:val="00154C91"/>
    <w:rsid w:val="00154FAE"/>
    <w:rsid w:val="00162EB6"/>
    <w:rsid w:val="00173E90"/>
    <w:rsid w:val="001904C8"/>
    <w:rsid w:val="001C7691"/>
    <w:rsid w:val="00204F68"/>
    <w:rsid w:val="00223054"/>
    <w:rsid w:val="00225567"/>
    <w:rsid w:val="00232126"/>
    <w:rsid w:val="002577AE"/>
    <w:rsid w:val="00260F46"/>
    <w:rsid w:val="0027536D"/>
    <w:rsid w:val="002770B2"/>
    <w:rsid w:val="002873E5"/>
    <w:rsid w:val="002A0971"/>
    <w:rsid w:val="002B496B"/>
    <w:rsid w:val="002B49BB"/>
    <w:rsid w:val="002C7B32"/>
    <w:rsid w:val="002E623E"/>
    <w:rsid w:val="002F0262"/>
    <w:rsid w:val="002F17B7"/>
    <w:rsid w:val="003205DB"/>
    <w:rsid w:val="0033239A"/>
    <w:rsid w:val="00333C9C"/>
    <w:rsid w:val="00335C4E"/>
    <w:rsid w:val="003375C4"/>
    <w:rsid w:val="00343089"/>
    <w:rsid w:val="003524E7"/>
    <w:rsid w:val="003809C9"/>
    <w:rsid w:val="00380B58"/>
    <w:rsid w:val="0038248B"/>
    <w:rsid w:val="0038596B"/>
    <w:rsid w:val="00387B6E"/>
    <w:rsid w:val="003938A0"/>
    <w:rsid w:val="003B0C2D"/>
    <w:rsid w:val="003B5C1F"/>
    <w:rsid w:val="003D3047"/>
    <w:rsid w:val="00407006"/>
    <w:rsid w:val="00407951"/>
    <w:rsid w:val="00427C59"/>
    <w:rsid w:val="00447399"/>
    <w:rsid w:val="004577E9"/>
    <w:rsid w:val="0046722C"/>
    <w:rsid w:val="00481B9D"/>
    <w:rsid w:val="00486C85"/>
    <w:rsid w:val="004B48B3"/>
    <w:rsid w:val="004C1E6B"/>
    <w:rsid w:val="004D7E77"/>
    <w:rsid w:val="004E3F82"/>
    <w:rsid w:val="004E5C80"/>
    <w:rsid w:val="00513E4B"/>
    <w:rsid w:val="00523C55"/>
    <w:rsid w:val="00544D1A"/>
    <w:rsid w:val="00565A01"/>
    <w:rsid w:val="005A13EA"/>
    <w:rsid w:val="005A6000"/>
    <w:rsid w:val="005B0BAB"/>
    <w:rsid w:val="005E4A7D"/>
    <w:rsid w:val="00607C2C"/>
    <w:rsid w:val="00621AA5"/>
    <w:rsid w:val="00630731"/>
    <w:rsid w:val="00634666"/>
    <w:rsid w:val="00643D51"/>
    <w:rsid w:val="006557E2"/>
    <w:rsid w:val="0068320D"/>
    <w:rsid w:val="00690757"/>
    <w:rsid w:val="006A0777"/>
    <w:rsid w:val="006A1233"/>
    <w:rsid w:val="006B7072"/>
    <w:rsid w:val="006C1A2A"/>
    <w:rsid w:val="006C5137"/>
    <w:rsid w:val="006C71A0"/>
    <w:rsid w:val="006D1469"/>
    <w:rsid w:val="006D6DDA"/>
    <w:rsid w:val="006E40C4"/>
    <w:rsid w:val="00713D2C"/>
    <w:rsid w:val="0072753F"/>
    <w:rsid w:val="0075280A"/>
    <w:rsid w:val="00754054"/>
    <w:rsid w:val="00760C21"/>
    <w:rsid w:val="00766628"/>
    <w:rsid w:val="00775793"/>
    <w:rsid w:val="007822CB"/>
    <w:rsid w:val="007861C1"/>
    <w:rsid w:val="00793A37"/>
    <w:rsid w:val="007C3907"/>
    <w:rsid w:val="007C3BFA"/>
    <w:rsid w:val="007C5006"/>
    <w:rsid w:val="007D194A"/>
    <w:rsid w:val="007E0EB3"/>
    <w:rsid w:val="007E3C40"/>
    <w:rsid w:val="007E68BB"/>
    <w:rsid w:val="007F186E"/>
    <w:rsid w:val="00804B8D"/>
    <w:rsid w:val="00806364"/>
    <w:rsid w:val="0083016F"/>
    <w:rsid w:val="00864122"/>
    <w:rsid w:val="00870940"/>
    <w:rsid w:val="008B5A90"/>
    <w:rsid w:val="008C0348"/>
    <w:rsid w:val="008CBCBA"/>
    <w:rsid w:val="008D4BC8"/>
    <w:rsid w:val="008E40CC"/>
    <w:rsid w:val="009079A8"/>
    <w:rsid w:val="0091118E"/>
    <w:rsid w:val="00921AED"/>
    <w:rsid w:val="0092372A"/>
    <w:rsid w:val="00937BC1"/>
    <w:rsid w:val="009422E9"/>
    <w:rsid w:val="00942DF6"/>
    <w:rsid w:val="0094325C"/>
    <w:rsid w:val="009443A2"/>
    <w:rsid w:val="0095552B"/>
    <w:rsid w:val="00973332"/>
    <w:rsid w:val="009764E9"/>
    <w:rsid w:val="00976CCF"/>
    <w:rsid w:val="00985DF2"/>
    <w:rsid w:val="00990EBB"/>
    <w:rsid w:val="0099534F"/>
    <w:rsid w:val="009B2965"/>
    <w:rsid w:val="009B2B74"/>
    <w:rsid w:val="009C4A00"/>
    <w:rsid w:val="00A01108"/>
    <w:rsid w:val="00A20E83"/>
    <w:rsid w:val="00A408FD"/>
    <w:rsid w:val="00A44D94"/>
    <w:rsid w:val="00A53218"/>
    <w:rsid w:val="00A57467"/>
    <w:rsid w:val="00A63CC4"/>
    <w:rsid w:val="00A73064"/>
    <w:rsid w:val="00A93A64"/>
    <w:rsid w:val="00AC224D"/>
    <w:rsid w:val="00AC6C10"/>
    <w:rsid w:val="00AF1174"/>
    <w:rsid w:val="00AF39CC"/>
    <w:rsid w:val="00B025D2"/>
    <w:rsid w:val="00B047F1"/>
    <w:rsid w:val="00B11EB5"/>
    <w:rsid w:val="00B1627C"/>
    <w:rsid w:val="00B16FEF"/>
    <w:rsid w:val="00B2323D"/>
    <w:rsid w:val="00B2723F"/>
    <w:rsid w:val="00B400AC"/>
    <w:rsid w:val="00B47069"/>
    <w:rsid w:val="00B70F37"/>
    <w:rsid w:val="00B761DD"/>
    <w:rsid w:val="00B82846"/>
    <w:rsid w:val="00BA31A6"/>
    <w:rsid w:val="00BA558D"/>
    <w:rsid w:val="00BC0E89"/>
    <w:rsid w:val="00BC295F"/>
    <w:rsid w:val="00BC4B58"/>
    <w:rsid w:val="00BD487A"/>
    <w:rsid w:val="00C236D6"/>
    <w:rsid w:val="00C35574"/>
    <w:rsid w:val="00C413C3"/>
    <w:rsid w:val="00C54286"/>
    <w:rsid w:val="00C626DC"/>
    <w:rsid w:val="00C72715"/>
    <w:rsid w:val="00C74942"/>
    <w:rsid w:val="00C76B6C"/>
    <w:rsid w:val="00C77BD7"/>
    <w:rsid w:val="00C863F3"/>
    <w:rsid w:val="00C946EB"/>
    <w:rsid w:val="00CA7CAA"/>
    <w:rsid w:val="00CD33B5"/>
    <w:rsid w:val="00CF00CE"/>
    <w:rsid w:val="00CF1ADC"/>
    <w:rsid w:val="00D0E960"/>
    <w:rsid w:val="00D372BB"/>
    <w:rsid w:val="00D46C32"/>
    <w:rsid w:val="00D5211C"/>
    <w:rsid w:val="00D5366B"/>
    <w:rsid w:val="00D54DD4"/>
    <w:rsid w:val="00D831EC"/>
    <w:rsid w:val="00D85537"/>
    <w:rsid w:val="00D93149"/>
    <w:rsid w:val="00DA4F8B"/>
    <w:rsid w:val="00DC0B88"/>
    <w:rsid w:val="00DD617E"/>
    <w:rsid w:val="00DE2C3E"/>
    <w:rsid w:val="00DF5638"/>
    <w:rsid w:val="00E01C4F"/>
    <w:rsid w:val="00E02FFB"/>
    <w:rsid w:val="00E11C94"/>
    <w:rsid w:val="00E50A83"/>
    <w:rsid w:val="00E67035"/>
    <w:rsid w:val="00E70BFD"/>
    <w:rsid w:val="00E849D2"/>
    <w:rsid w:val="00E84FB2"/>
    <w:rsid w:val="00EA3732"/>
    <w:rsid w:val="00EB6DDF"/>
    <w:rsid w:val="00EC132B"/>
    <w:rsid w:val="00EC243C"/>
    <w:rsid w:val="00EC5A8C"/>
    <w:rsid w:val="00ED4C8C"/>
    <w:rsid w:val="00EE65AF"/>
    <w:rsid w:val="00EF4CC7"/>
    <w:rsid w:val="00F14AEF"/>
    <w:rsid w:val="00F349B0"/>
    <w:rsid w:val="00F4367E"/>
    <w:rsid w:val="00F4474C"/>
    <w:rsid w:val="00F827CC"/>
    <w:rsid w:val="00F93F00"/>
    <w:rsid w:val="00F97184"/>
    <w:rsid w:val="00FA04DC"/>
    <w:rsid w:val="00FA205D"/>
    <w:rsid w:val="00FB7ED5"/>
    <w:rsid w:val="00FBC8C1"/>
    <w:rsid w:val="00FE0D3F"/>
    <w:rsid w:val="00FF3C81"/>
    <w:rsid w:val="00FF40CE"/>
    <w:rsid w:val="00FF6D43"/>
    <w:rsid w:val="018C38C3"/>
    <w:rsid w:val="02000D55"/>
    <w:rsid w:val="02415242"/>
    <w:rsid w:val="0346E6D4"/>
    <w:rsid w:val="04131571"/>
    <w:rsid w:val="05330975"/>
    <w:rsid w:val="061F6A6F"/>
    <w:rsid w:val="06482F74"/>
    <w:rsid w:val="07145C52"/>
    <w:rsid w:val="072CA955"/>
    <w:rsid w:val="07596F61"/>
    <w:rsid w:val="0760A854"/>
    <w:rsid w:val="08B40865"/>
    <w:rsid w:val="08FC78B5"/>
    <w:rsid w:val="094B7BF3"/>
    <w:rsid w:val="09EC03BB"/>
    <w:rsid w:val="0A5DEC76"/>
    <w:rsid w:val="0A79ABD5"/>
    <w:rsid w:val="0A984916"/>
    <w:rsid w:val="0A9D27DE"/>
    <w:rsid w:val="0AD398E0"/>
    <w:rsid w:val="0B8E86FC"/>
    <w:rsid w:val="0BF9BCD7"/>
    <w:rsid w:val="0C4F182A"/>
    <w:rsid w:val="0C7A5C69"/>
    <w:rsid w:val="0C82D31E"/>
    <w:rsid w:val="0D09C00E"/>
    <w:rsid w:val="0D5F3CC7"/>
    <w:rsid w:val="0DF3E7FF"/>
    <w:rsid w:val="0E9C1131"/>
    <w:rsid w:val="0EC84547"/>
    <w:rsid w:val="0F0645DA"/>
    <w:rsid w:val="0F212859"/>
    <w:rsid w:val="10983172"/>
    <w:rsid w:val="11479ABC"/>
    <w:rsid w:val="12520A44"/>
    <w:rsid w:val="12FA96A2"/>
    <w:rsid w:val="1324CC05"/>
    <w:rsid w:val="1325E3FD"/>
    <w:rsid w:val="13807084"/>
    <w:rsid w:val="1380E6BC"/>
    <w:rsid w:val="13B054A2"/>
    <w:rsid w:val="140724B9"/>
    <w:rsid w:val="14939054"/>
    <w:rsid w:val="15CB7B35"/>
    <w:rsid w:val="16AD1561"/>
    <w:rsid w:val="1830E944"/>
    <w:rsid w:val="19751C81"/>
    <w:rsid w:val="1A7BFDC6"/>
    <w:rsid w:val="1B8B8269"/>
    <w:rsid w:val="1B903622"/>
    <w:rsid w:val="1CB38671"/>
    <w:rsid w:val="1CEA66AE"/>
    <w:rsid w:val="1DC05A15"/>
    <w:rsid w:val="1DD29191"/>
    <w:rsid w:val="1E324E59"/>
    <w:rsid w:val="1F14A1D7"/>
    <w:rsid w:val="1FA6C25E"/>
    <w:rsid w:val="1FB6E61E"/>
    <w:rsid w:val="2282F105"/>
    <w:rsid w:val="260636E5"/>
    <w:rsid w:val="278C9A0E"/>
    <w:rsid w:val="27A72631"/>
    <w:rsid w:val="27E5A296"/>
    <w:rsid w:val="288D5247"/>
    <w:rsid w:val="2A5C0D8D"/>
    <w:rsid w:val="2B11A822"/>
    <w:rsid w:val="2C24C713"/>
    <w:rsid w:val="2D45641A"/>
    <w:rsid w:val="2D93AE4F"/>
    <w:rsid w:val="2E35131A"/>
    <w:rsid w:val="2E3DD6C7"/>
    <w:rsid w:val="2E5F3CCD"/>
    <w:rsid w:val="2E86A7F4"/>
    <w:rsid w:val="2F803099"/>
    <w:rsid w:val="2FBA161B"/>
    <w:rsid w:val="30D51C65"/>
    <w:rsid w:val="3186ADD3"/>
    <w:rsid w:val="31F5DCDA"/>
    <w:rsid w:val="323E1362"/>
    <w:rsid w:val="33232D3B"/>
    <w:rsid w:val="33848998"/>
    <w:rsid w:val="33AA4201"/>
    <w:rsid w:val="33B22AAB"/>
    <w:rsid w:val="34146E0E"/>
    <w:rsid w:val="34665B62"/>
    <w:rsid w:val="34EC6EEF"/>
    <w:rsid w:val="35139E6C"/>
    <w:rsid w:val="3518483B"/>
    <w:rsid w:val="355075FF"/>
    <w:rsid w:val="35B698ED"/>
    <w:rsid w:val="36117876"/>
    <w:rsid w:val="361F6AE1"/>
    <w:rsid w:val="3631732E"/>
    <w:rsid w:val="36AF6ECD"/>
    <w:rsid w:val="36C3D88B"/>
    <w:rsid w:val="36E28BC8"/>
    <w:rsid w:val="36ECA800"/>
    <w:rsid w:val="38198894"/>
    <w:rsid w:val="3917DA18"/>
    <w:rsid w:val="3945D268"/>
    <w:rsid w:val="3B94C918"/>
    <w:rsid w:val="3CB18AB5"/>
    <w:rsid w:val="3D23CE0B"/>
    <w:rsid w:val="3DA4BCB2"/>
    <w:rsid w:val="3DAD80B7"/>
    <w:rsid w:val="3DB1BF9F"/>
    <w:rsid w:val="3DB81278"/>
    <w:rsid w:val="3F16CBD5"/>
    <w:rsid w:val="3F2836AA"/>
    <w:rsid w:val="3F4AD94D"/>
    <w:rsid w:val="3F776654"/>
    <w:rsid w:val="3FDBFB3A"/>
    <w:rsid w:val="406E4815"/>
    <w:rsid w:val="40FF748D"/>
    <w:rsid w:val="429DDD4F"/>
    <w:rsid w:val="42EC3577"/>
    <w:rsid w:val="4348D479"/>
    <w:rsid w:val="4399645A"/>
    <w:rsid w:val="45555EF2"/>
    <w:rsid w:val="45C772BE"/>
    <w:rsid w:val="467740B1"/>
    <w:rsid w:val="47F5398D"/>
    <w:rsid w:val="4811EA2A"/>
    <w:rsid w:val="4816886A"/>
    <w:rsid w:val="4881C25A"/>
    <w:rsid w:val="48BFEDAB"/>
    <w:rsid w:val="48EC84C0"/>
    <w:rsid w:val="49706B99"/>
    <w:rsid w:val="49CE146D"/>
    <w:rsid w:val="49F6FF0E"/>
    <w:rsid w:val="4A111223"/>
    <w:rsid w:val="4A11DC6C"/>
    <w:rsid w:val="4B35751E"/>
    <w:rsid w:val="4C73DAC6"/>
    <w:rsid w:val="4C8D7D80"/>
    <w:rsid w:val="4E294DE1"/>
    <w:rsid w:val="4EBBA65C"/>
    <w:rsid w:val="50C6D8AC"/>
    <w:rsid w:val="50D7C807"/>
    <w:rsid w:val="50F796A5"/>
    <w:rsid w:val="521CEE51"/>
    <w:rsid w:val="543724ED"/>
    <w:rsid w:val="5447689D"/>
    <w:rsid w:val="5511BF83"/>
    <w:rsid w:val="551F18AC"/>
    <w:rsid w:val="55AF4ABB"/>
    <w:rsid w:val="56277E96"/>
    <w:rsid w:val="5681BB1E"/>
    <w:rsid w:val="57398AF6"/>
    <w:rsid w:val="576EC5AF"/>
    <w:rsid w:val="57FA3D3B"/>
    <w:rsid w:val="58E6EB7D"/>
    <w:rsid w:val="58FC40B6"/>
    <w:rsid w:val="591D24D0"/>
    <w:rsid w:val="597533C0"/>
    <w:rsid w:val="59EBBF78"/>
    <w:rsid w:val="5AA66671"/>
    <w:rsid w:val="5B320C45"/>
    <w:rsid w:val="5C4236D2"/>
    <w:rsid w:val="5D46A7BC"/>
    <w:rsid w:val="5F79D794"/>
    <w:rsid w:val="603662E4"/>
    <w:rsid w:val="61AD01F4"/>
    <w:rsid w:val="61D7E2C2"/>
    <w:rsid w:val="61F4E61E"/>
    <w:rsid w:val="6251AD03"/>
    <w:rsid w:val="6274C536"/>
    <w:rsid w:val="62A98AD0"/>
    <w:rsid w:val="62CB2A78"/>
    <w:rsid w:val="644D48B7"/>
    <w:rsid w:val="64512AD5"/>
    <w:rsid w:val="6557F4CB"/>
    <w:rsid w:val="65635697"/>
    <w:rsid w:val="65784383"/>
    <w:rsid w:val="66BDB1D9"/>
    <w:rsid w:val="67407192"/>
    <w:rsid w:val="6775C73C"/>
    <w:rsid w:val="677E4FDC"/>
    <w:rsid w:val="69CC1E6D"/>
    <w:rsid w:val="69FF69E5"/>
    <w:rsid w:val="6ABD541D"/>
    <w:rsid w:val="6AF2DAAC"/>
    <w:rsid w:val="6B036ADF"/>
    <w:rsid w:val="6BC9ECFB"/>
    <w:rsid w:val="6BEF0339"/>
    <w:rsid w:val="6BF5388A"/>
    <w:rsid w:val="6C6D1370"/>
    <w:rsid w:val="6C98E7DA"/>
    <w:rsid w:val="6E08E3D1"/>
    <w:rsid w:val="707CFA1D"/>
    <w:rsid w:val="709C59CE"/>
    <w:rsid w:val="70A53073"/>
    <w:rsid w:val="70CC1C8C"/>
    <w:rsid w:val="70D3EDF2"/>
    <w:rsid w:val="712E1AAF"/>
    <w:rsid w:val="71E0CC01"/>
    <w:rsid w:val="72098465"/>
    <w:rsid w:val="72227E3E"/>
    <w:rsid w:val="746EA533"/>
    <w:rsid w:val="75013427"/>
    <w:rsid w:val="75FF87F9"/>
    <w:rsid w:val="760DA511"/>
    <w:rsid w:val="76AC9D62"/>
    <w:rsid w:val="76DD9CDB"/>
    <w:rsid w:val="77356AE5"/>
    <w:rsid w:val="77A645F5"/>
    <w:rsid w:val="77B45718"/>
    <w:rsid w:val="78821A13"/>
    <w:rsid w:val="78F3EF13"/>
    <w:rsid w:val="7971C3B6"/>
    <w:rsid w:val="79A6C20C"/>
    <w:rsid w:val="7A74A373"/>
    <w:rsid w:val="7ABAD48E"/>
    <w:rsid w:val="7B193C36"/>
    <w:rsid w:val="7CF417FD"/>
    <w:rsid w:val="7D3A56C3"/>
    <w:rsid w:val="7D504A81"/>
    <w:rsid w:val="7DB270FA"/>
    <w:rsid w:val="7E744F13"/>
    <w:rsid w:val="7F411DB8"/>
    <w:rsid w:val="7F7D29B0"/>
    <w:rsid w:val="7FC5D7ED"/>
    <w:rsid w:val="7FD8AC50"/>
    <w:rsid w:val="D33F5AFA"/>
    <w:rsid w:val="FFFBDE2B"/>
  </w:rsids>
  <m:mathPr>
    <m:mathFont m:val="Cambria Math"/>
    <m:brkBin m:val="before"/>
    <m:brkBinSub m:val="--"/>
    <m:smallFrac m:val="0"/>
    <m:dispDef/>
    <m:lMargin m:val="0"/>
    <m:rMargin m:val="0"/>
    <m:defJc m:val="centerGroup"/>
    <m:wrapIndent m:val="1440"/>
    <m:intLim m:val="subSup"/>
    <m:naryLim m:val="undOvr"/>
  </m:mathPr>
  <w:themeFontLang w:val="en-AU" w:eastAsia="zh-TW" w:bidi="ar-SA"/>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2"/>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HAnsi"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uiPriority="9" w:name="heading 7"/>
    <w:lsdException w:uiPriority="9" w:name="heading 8"/>
    <w:lsdException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semiHidden="0" w:name="annotation text"/>
    <w:lsdException w:uiPriority="99" w:semiHidden="0" w:name="header"/>
    <w:lsdException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semiHidden="0" w:name="Hyperlink"/>
    <w:lsdException w:uiPriority="99" w:name="FollowedHyperlink"/>
    <w:lsdException w:unhideWhenUsed="0" w:uiPriority="22" w:semiHidden="0" w:name="Strong"/>
    <w:lsdException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spacing w:before="240" w:after="240"/>
    </w:pPr>
    <w:rPr>
      <w:rFonts w:asciiTheme="minorHAnsi" w:hAnsiTheme="minorHAnsi" w:eastAsiaTheme="minorHAnsi" w:cstheme="minorBidi"/>
      <w:kern w:val="2"/>
      <w:sz w:val="18"/>
      <w:szCs w:val="22"/>
      <w:lang w:val="en" w:eastAsia="en-AU" w:bidi="ar-SA"/>
      <w14:ligatures w14:val="standardContextual"/>
    </w:rPr>
  </w:style>
  <w:style w:type="paragraph" w:styleId="2">
    <w:name w:val="heading 1"/>
    <w:basedOn w:val="1"/>
    <w:next w:val="1"/>
    <w:qFormat/>
    <w:uiPriority w:val="9"/>
    <w:pPr>
      <w:keepNext/>
      <w:keepLines/>
      <w:spacing w:before="480" w:after="120"/>
      <w:outlineLvl w:val="0"/>
    </w:pPr>
    <w:rPr>
      <w:b/>
      <w:sz w:val="48"/>
      <w:szCs w:val="48"/>
    </w:rPr>
  </w:style>
  <w:style w:type="paragraph" w:styleId="3">
    <w:name w:val="heading 2"/>
    <w:basedOn w:val="1"/>
    <w:next w:val="1"/>
    <w:semiHidden/>
    <w:unhideWhenUsed/>
    <w:qFormat/>
    <w:uiPriority w:val="9"/>
    <w:pPr>
      <w:keepNext/>
      <w:keepLines/>
      <w:spacing w:before="360" w:after="80"/>
      <w:outlineLvl w:val="1"/>
    </w:pPr>
    <w:rPr>
      <w:b/>
      <w:sz w:val="36"/>
      <w:szCs w:val="36"/>
    </w:rPr>
  </w:style>
  <w:style w:type="paragraph" w:styleId="4">
    <w:name w:val="heading 3"/>
    <w:basedOn w:val="1"/>
    <w:next w:val="1"/>
    <w:semiHidden/>
    <w:unhideWhenUsed/>
    <w:qFormat/>
    <w:uiPriority w:val="9"/>
    <w:pPr>
      <w:keepNext/>
      <w:keepLines/>
      <w:spacing w:before="280" w:after="80"/>
      <w:outlineLvl w:val="2"/>
    </w:pPr>
    <w:rPr>
      <w:b/>
      <w:sz w:val="28"/>
      <w:szCs w:val="28"/>
    </w:rPr>
  </w:style>
  <w:style w:type="paragraph" w:styleId="5">
    <w:name w:val="heading 4"/>
    <w:basedOn w:val="1"/>
    <w:next w:val="1"/>
    <w:semiHidden/>
    <w:unhideWhenUsed/>
    <w:qFormat/>
    <w:uiPriority w:val="9"/>
    <w:pPr>
      <w:keepNext/>
      <w:keepLines/>
      <w:spacing w:after="40"/>
      <w:outlineLvl w:val="3"/>
    </w:pPr>
    <w:rPr>
      <w:b/>
      <w:sz w:val="24"/>
      <w:szCs w:val="24"/>
    </w:rPr>
  </w:style>
  <w:style w:type="paragraph" w:styleId="6">
    <w:name w:val="heading 5"/>
    <w:basedOn w:val="1"/>
    <w:next w:val="1"/>
    <w:semiHidden/>
    <w:unhideWhenUsed/>
    <w:qFormat/>
    <w:uiPriority w:val="9"/>
    <w:pPr>
      <w:keepNext/>
      <w:keepLines/>
      <w:spacing w:before="220" w:after="40"/>
      <w:outlineLvl w:val="4"/>
    </w:pPr>
    <w:rPr>
      <w:b/>
    </w:rPr>
  </w:style>
  <w:style w:type="paragraph" w:styleId="7">
    <w:name w:val="heading 6"/>
    <w:basedOn w:val="1"/>
    <w:next w:val="1"/>
    <w:semiHidden/>
    <w:unhideWhenUsed/>
    <w:qFormat/>
    <w:uiPriority w:val="9"/>
    <w:pPr>
      <w:keepNext/>
      <w:keepLines/>
      <w:spacing w:before="200" w:after="40"/>
      <w:outlineLvl w:val="5"/>
    </w:pPr>
    <w:rPr>
      <w:b/>
      <w:sz w:val="20"/>
      <w:szCs w:val="20"/>
    </w:rPr>
  </w:style>
  <w:style w:type="character" w:default="1" w:styleId="8">
    <w:name w:val="Default Paragraph Font"/>
    <w:semiHidden/>
    <w:unhideWhenUsed/>
    <w:uiPriority w:val="1"/>
  </w:style>
  <w:style w:type="table" w:default="1" w:styleId="9">
    <w:name w:val="Normal Table"/>
    <w:semiHidden/>
    <w:unhideWhenUsed/>
    <w:uiPriority w:val="99"/>
    <w:tblPr>
      <w:tblCellMar>
        <w:top w:w="0" w:type="dxa"/>
        <w:left w:w="108" w:type="dxa"/>
        <w:bottom w:w="0" w:type="dxa"/>
        <w:right w:w="108" w:type="dxa"/>
      </w:tblCellMar>
    </w:tblPr>
  </w:style>
  <w:style w:type="character" w:styleId="10">
    <w:name w:val="annotation reference"/>
    <w:basedOn w:val="8"/>
    <w:semiHidden/>
    <w:unhideWhenUsed/>
    <w:uiPriority w:val="99"/>
    <w:rPr>
      <w:sz w:val="16"/>
      <w:szCs w:val="16"/>
    </w:rPr>
  </w:style>
  <w:style w:type="paragraph" w:styleId="11">
    <w:name w:val="annotation text"/>
    <w:basedOn w:val="1"/>
    <w:link w:val="49"/>
    <w:unhideWhenUsed/>
    <w:uiPriority w:val="99"/>
    <w:rPr>
      <w:sz w:val="20"/>
      <w:szCs w:val="20"/>
    </w:rPr>
  </w:style>
  <w:style w:type="paragraph" w:styleId="12">
    <w:name w:val="annotation subject"/>
    <w:basedOn w:val="11"/>
    <w:next w:val="11"/>
    <w:link w:val="50"/>
    <w:semiHidden/>
    <w:unhideWhenUsed/>
    <w:uiPriority w:val="99"/>
    <w:rPr>
      <w:b/>
      <w:bCs/>
    </w:rPr>
  </w:style>
  <w:style w:type="paragraph" w:styleId="13">
    <w:name w:val="footer"/>
    <w:basedOn w:val="1"/>
    <w:link w:val="42"/>
    <w:unhideWhenUsed/>
    <w:uiPriority w:val="99"/>
    <w:pPr>
      <w:tabs>
        <w:tab w:val="center" w:pos="4513"/>
        <w:tab w:val="right" w:pos="9026"/>
      </w:tabs>
    </w:pPr>
  </w:style>
  <w:style w:type="paragraph" w:styleId="14">
    <w:name w:val="header"/>
    <w:basedOn w:val="1"/>
    <w:link w:val="41"/>
    <w:unhideWhenUsed/>
    <w:uiPriority w:val="99"/>
    <w:pPr>
      <w:tabs>
        <w:tab w:val="center" w:pos="4513"/>
        <w:tab w:val="right" w:pos="9026"/>
      </w:tabs>
    </w:pPr>
  </w:style>
  <w:style w:type="character" w:styleId="15">
    <w:name w:val="Hyperlink"/>
    <w:basedOn w:val="8"/>
    <w:unhideWhenUsed/>
    <w:uiPriority w:val="99"/>
    <w:rPr>
      <w:color w:val="000000"/>
      <w:u w:val="single"/>
    </w:rPr>
  </w:style>
  <w:style w:type="paragraph" w:styleId="16">
    <w:name w:val="Normal (Web)"/>
    <w:basedOn w:val="1"/>
    <w:semiHidden/>
    <w:unhideWhenUsed/>
    <w:uiPriority w:val="99"/>
    <w:pPr>
      <w:spacing w:before="100" w:beforeAutospacing="1" w:after="100" w:afterAutospacing="1"/>
    </w:pPr>
    <w:rPr>
      <w:rFonts w:ascii="Times New Roman" w:hAnsi="Times New Roman" w:eastAsia="Times New Roman" w:cs="Times New Roman"/>
      <w:sz w:val="24"/>
      <w:szCs w:val="24"/>
      <w:lang w:val="en-AU"/>
    </w:rPr>
  </w:style>
  <w:style w:type="paragraph" w:styleId="17">
    <w:name w:val="Subtitle"/>
    <w:basedOn w:val="1"/>
    <w:next w:val="1"/>
    <w:qFormat/>
    <w:uiPriority w:val="11"/>
    <w:pPr>
      <w:keepNext/>
      <w:keepLines/>
      <w:spacing w:before="360" w:after="80"/>
    </w:pPr>
    <w:rPr>
      <w:rFonts w:ascii="Georgia" w:hAnsi="Georgia" w:eastAsia="Georgia" w:cs="Georgia"/>
      <w:i/>
      <w:color w:val="404040"/>
      <w:sz w:val="48"/>
      <w:szCs w:val="48"/>
    </w:rPr>
  </w:style>
  <w:style w:type="table" w:styleId="18">
    <w:name w:val="Table Grid"/>
    <w:basedOn w:val="9"/>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styleId="19">
    <w:name w:val="Title"/>
    <w:basedOn w:val="1"/>
    <w:next w:val="1"/>
    <w:qFormat/>
    <w:uiPriority w:val="10"/>
    <w:pPr>
      <w:keepNext/>
      <w:keepLines/>
      <w:spacing w:before="480" w:after="120"/>
    </w:pPr>
    <w:rPr>
      <w:b/>
      <w:sz w:val="72"/>
      <w:szCs w:val="72"/>
    </w:rPr>
  </w:style>
  <w:style w:type="paragraph" w:styleId="20">
    <w:name w:val="List Paragraph"/>
    <w:basedOn w:val="1"/>
    <w:link w:val="72"/>
    <w:qFormat/>
    <w:uiPriority w:val="34"/>
    <w:pPr>
      <w:ind w:left="720"/>
      <w:contextualSpacing/>
    </w:pPr>
  </w:style>
  <w:style w:type="table" w:customStyle="1" w:styleId="21">
    <w:name w:val="_Style 13"/>
    <w:basedOn w:val="9"/>
    <w:uiPriority w:val="0"/>
    <w:tblPr>
      <w:tblCellMar>
        <w:left w:w="115" w:type="dxa"/>
        <w:right w:w="115" w:type="dxa"/>
      </w:tblCellMar>
    </w:tblPr>
  </w:style>
  <w:style w:type="table" w:customStyle="1" w:styleId="22">
    <w:name w:val="_Style 14"/>
    <w:basedOn w:val="9"/>
    <w:uiPriority w:val="0"/>
    <w:tblPr>
      <w:tblCellMar>
        <w:left w:w="115" w:type="dxa"/>
        <w:right w:w="115" w:type="dxa"/>
      </w:tblCellMar>
    </w:tblPr>
  </w:style>
  <w:style w:type="table" w:customStyle="1" w:styleId="23">
    <w:name w:val="_Style 15"/>
    <w:basedOn w:val="9"/>
    <w:uiPriority w:val="0"/>
    <w:tblPr>
      <w:tblCellMar>
        <w:left w:w="115" w:type="dxa"/>
        <w:right w:w="115" w:type="dxa"/>
      </w:tblCellMar>
    </w:tblPr>
  </w:style>
  <w:style w:type="table" w:customStyle="1" w:styleId="24">
    <w:name w:val="_Style 16"/>
    <w:basedOn w:val="9"/>
    <w:uiPriority w:val="0"/>
    <w:tblPr>
      <w:tblCellMar>
        <w:top w:w="100" w:type="dxa"/>
        <w:left w:w="100" w:type="dxa"/>
        <w:bottom w:w="100" w:type="dxa"/>
        <w:right w:w="100" w:type="dxa"/>
      </w:tblCellMar>
    </w:tblPr>
  </w:style>
  <w:style w:type="table" w:customStyle="1" w:styleId="25">
    <w:name w:val="_Style 17"/>
    <w:basedOn w:val="9"/>
    <w:uiPriority w:val="0"/>
    <w:tblPr>
      <w:tblCellMar>
        <w:top w:w="100" w:type="dxa"/>
        <w:left w:w="100" w:type="dxa"/>
        <w:bottom w:w="100" w:type="dxa"/>
        <w:right w:w="100" w:type="dxa"/>
      </w:tblCellMar>
    </w:tblPr>
  </w:style>
  <w:style w:type="table" w:customStyle="1" w:styleId="26">
    <w:name w:val="_Style 18"/>
    <w:basedOn w:val="9"/>
    <w:uiPriority w:val="0"/>
    <w:tblPr>
      <w:tblCellMar>
        <w:top w:w="100" w:type="dxa"/>
        <w:left w:w="100" w:type="dxa"/>
        <w:bottom w:w="100" w:type="dxa"/>
        <w:right w:w="100" w:type="dxa"/>
      </w:tblCellMar>
    </w:tblPr>
  </w:style>
  <w:style w:type="table" w:customStyle="1" w:styleId="27">
    <w:name w:val="_Style 19"/>
    <w:basedOn w:val="9"/>
    <w:uiPriority w:val="0"/>
    <w:tblPr>
      <w:tblCellMar>
        <w:top w:w="100" w:type="dxa"/>
        <w:left w:w="100" w:type="dxa"/>
        <w:bottom w:w="100" w:type="dxa"/>
        <w:right w:w="100" w:type="dxa"/>
      </w:tblCellMar>
    </w:tblPr>
  </w:style>
  <w:style w:type="table" w:customStyle="1" w:styleId="28">
    <w:name w:val="_Style 20"/>
    <w:basedOn w:val="9"/>
    <w:uiPriority w:val="0"/>
    <w:tblPr>
      <w:tblCellMar>
        <w:top w:w="100" w:type="dxa"/>
        <w:left w:w="100" w:type="dxa"/>
        <w:bottom w:w="100" w:type="dxa"/>
        <w:right w:w="100" w:type="dxa"/>
      </w:tblCellMar>
    </w:tblPr>
  </w:style>
  <w:style w:type="table" w:customStyle="1" w:styleId="29">
    <w:name w:val="_Style 21"/>
    <w:basedOn w:val="9"/>
    <w:uiPriority w:val="0"/>
    <w:tblPr>
      <w:tblCellMar>
        <w:top w:w="100" w:type="dxa"/>
        <w:left w:w="100" w:type="dxa"/>
        <w:bottom w:w="100" w:type="dxa"/>
        <w:right w:w="100" w:type="dxa"/>
      </w:tblCellMar>
    </w:tblPr>
  </w:style>
  <w:style w:type="table" w:customStyle="1" w:styleId="30">
    <w:name w:val="_Style 22"/>
    <w:basedOn w:val="9"/>
    <w:uiPriority w:val="0"/>
    <w:tblPr>
      <w:tblCellMar>
        <w:top w:w="100" w:type="dxa"/>
        <w:left w:w="100" w:type="dxa"/>
        <w:bottom w:w="100" w:type="dxa"/>
        <w:right w:w="100" w:type="dxa"/>
      </w:tblCellMar>
    </w:tblPr>
  </w:style>
  <w:style w:type="table" w:customStyle="1" w:styleId="31">
    <w:name w:val="_Style 23"/>
    <w:basedOn w:val="9"/>
    <w:uiPriority w:val="0"/>
    <w:tblPr>
      <w:tblCellMar>
        <w:top w:w="100" w:type="dxa"/>
        <w:left w:w="100" w:type="dxa"/>
        <w:bottom w:w="100" w:type="dxa"/>
        <w:right w:w="100" w:type="dxa"/>
      </w:tblCellMar>
    </w:tblPr>
  </w:style>
  <w:style w:type="table" w:customStyle="1" w:styleId="32">
    <w:name w:val="_Style 24"/>
    <w:basedOn w:val="9"/>
    <w:uiPriority w:val="0"/>
    <w:tblPr>
      <w:tblCellMar>
        <w:top w:w="100" w:type="dxa"/>
        <w:left w:w="100" w:type="dxa"/>
        <w:bottom w:w="100" w:type="dxa"/>
        <w:right w:w="100" w:type="dxa"/>
      </w:tblCellMar>
    </w:tblPr>
  </w:style>
  <w:style w:type="table" w:customStyle="1" w:styleId="33">
    <w:name w:val="_Style 25"/>
    <w:basedOn w:val="9"/>
    <w:uiPriority w:val="0"/>
    <w:tblPr>
      <w:tblCellMar>
        <w:top w:w="100" w:type="dxa"/>
        <w:left w:w="100" w:type="dxa"/>
        <w:bottom w:w="100" w:type="dxa"/>
        <w:right w:w="100" w:type="dxa"/>
      </w:tblCellMar>
    </w:tblPr>
  </w:style>
  <w:style w:type="table" w:customStyle="1" w:styleId="34">
    <w:name w:val="_Style 26"/>
    <w:basedOn w:val="9"/>
    <w:uiPriority w:val="0"/>
    <w:tblPr>
      <w:tblCellMar>
        <w:top w:w="100" w:type="dxa"/>
        <w:left w:w="100" w:type="dxa"/>
        <w:bottom w:w="100" w:type="dxa"/>
        <w:right w:w="100" w:type="dxa"/>
      </w:tblCellMar>
    </w:tblPr>
  </w:style>
  <w:style w:type="table" w:customStyle="1" w:styleId="35">
    <w:name w:val="_Style 27"/>
    <w:basedOn w:val="9"/>
    <w:uiPriority w:val="0"/>
    <w:tblPr>
      <w:tblCellMar>
        <w:top w:w="100" w:type="dxa"/>
        <w:left w:w="100" w:type="dxa"/>
        <w:bottom w:w="100" w:type="dxa"/>
        <w:right w:w="100" w:type="dxa"/>
      </w:tblCellMar>
    </w:tblPr>
  </w:style>
  <w:style w:type="table" w:customStyle="1" w:styleId="36">
    <w:name w:val="_Style 28"/>
    <w:basedOn w:val="9"/>
    <w:uiPriority w:val="0"/>
    <w:tblPr>
      <w:tblCellMar>
        <w:top w:w="100" w:type="dxa"/>
        <w:left w:w="100" w:type="dxa"/>
        <w:bottom w:w="100" w:type="dxa"/>
        <w:right w:w="100" w:type="dxa"/>
      </w:tblCellMar>
    </w:tblPr>
  </w:style>
  <w:style w:type="table" w:customStyle="1" w:styleId="37">
    <w:name w:val="_Style 29"/>
    <w:basedOn w:val="9"/>
    <w:uiPriority w:val="0"/>
    <w:tblPr>
      <w:tblCellMar>
        <w:top w:w="100" w:type="dxa"/>
        <w:left w:w="100" w:type="dxa"/>
        <w:bottom w:w="100" w:type="dxa"/>
        <w:right w:w="100" w:type="dxa"/>
      </w:tblCellMar>
    </w:tblPr>
  </w:style>
  <w:style w:type="table" w:customStyle="1" w:styleId="38">
    <w:name w:val="_Style 30"/>
    <w:basedOn w:val="9"/>
    <w:uiPriority w:val="0"/>
    <w:tblPr>
      <w:tblCellMar>
        <w:top w:w="100" w:type="dxa"/>
        <w:left w:w="100" w:type="dxa"/>
        <w:bottom w:w="100" w:type="dxa"/>
        <w:right w:w="100" w:type="dxa"/>
      </w:tblCellMar>
    </w:tblPr>
  </w:style>
  <w:style w:type="table" w:customStyle="1" w:styleId="39">
    <w:name w:val="_Style 31"/>
    <w:basedOn w:val="9"/>
    <w:uiPriority w:val="0"/>
    <w:tblPr>
      <w:tblCellMar>
        <w:top w:w="100" w:type="dxa"/>
        <w:left w:w="100" w:type="dxa"/>
        <w:bottom w:w="100" w:type="dxa"/>
        <w:right w:w="100" w:type="dxa"/>
      </w:tblCellMar>
    </w:tblPr>
  </w:style>
  <w:style w:type="table" w:customStyle="1" w:styleId="40">
    <w:name w:val="_Style 32"/>
    <w:basedOn w:val="9"/>
    <w:uiPriority w:val="0"/>
    <w:tblPr>
      <w:tblCellMar>
        <w:top w:w="100" w:type="dxa"/>
        <w:left w:w="100" w:type="dxa"/>
        <w:bottom w:w="100" w:type="dxa"/>
        <w:right w:w="100" w:type="dxa"/>
      </w:tblCellMar>
    </w:tblPr>
  </w:style>
  <w:style w:type="character" w:customStyle="1" w:styleId="41">
    <w:name w:val="Header Char"/>
    <w:basedOn w:val="8"/>
    <w:link w:val="14"/>
    <w:uiPriority w:val="99"/>
  </w:style>
  <w:style w:type="character" w:customStyle="1" w:styleId="42">
    <w:name w:val="Footer Char"/>
    <w:basedOn w:val="8"/>
    <w:link w:val="13"/>
    <w:uiPriority w:val="99"/>
  </w:style>
  <w:style w:type="table" w:customStyle="1" w:styleId="43">
    <w:name w:val="Grid Table 2 Accent 3"/>
    <w:basedOn w:val="9"/>
    <w:uiPriority w:val="47"/>
    <w:tblPr>
      <w:tblBorders>
        <w:top w:val="single" w:color="404040" w:sz="2" w:space="0"/>
        <w:bottom w:val="single" w:color="404040" w:sz="2" w:space="0"/>
        <w:insideH w:val="single" w:color="404040" w:sz="2" w:space="0"/>
        <w:insideV w:val="single" w:color="404040" w:sz="2" w:space="0"/>
      </w:tblBorders>
    </w:tblPr>
    <w:tblStylePr w:type="firstRow">
      <w:rPr>
        <w:b/>
        <w:bCs/>
      </w:rPr>
      <w:tcPr>
        <w:tcBorders>
          <w:top w:val="nil"/>
          <w:bottom w:val="single" w:color="404040" w:sz="12" w:space="0"/>
          <w:insideH w:val="nil"/>
          <w:insideV w:val="nil"/>
        </w:tcBorders>
        <w:shd w:val="clear" w:color="auto" w:fill="FFFFFF" w:themeFill="background1"/>
      </w:tcPr>
    </w:tblStylePr>
    <w:tblStylePr w:type="lastRow">
      <w:rPr>
        <w:b/>
        <w:bCs/>
      </w:rPr>
      <w:tcPr>
        <w:tcBorders>
          <w:top w:val="double" w:color="404040" w:sz="2" w:space="0"/>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cPr>
        <w:shd w:val="clear" w:color="auto" w:fill="DDDDDD" w:themeFill="accent3" w:themeFillTint="33"/>
      </w:tcPr>
    </w:tblStylePr>
    <w:tblStylePr w:type="band1Horz">
      <w:tcPr>
        <w:shd w:val="clear" w:color="auto" w:fill="DDDDDD" w:themeFill="accent3" w:themeFillTint="33"/>
      </w:tcPr>
    </w:tblStylePr>
  </w:style>
  <w:style w:type="table" w:customStyle="1" w:styleId="44">
    <w:name w:val="List Table 2 Accent 3"/>
    <w:basedOn w:val="9"/>
    <w:uiPriority w:val="47"/>
    <w:tblPr>
      <w:tblBorders>
        <w:top w:val="single" w:color="404040" w:sz="4" w:space="0"/>
        <w:bottom w:val="single" w:color="404040" w:sz="4" w:space="0"/>
        <w:insideH w:val="single" w:color="404040" w:sz="4" w:space="0"/>
      </w:tblBorders>
    </w:tblPr>
    <w:tblStylePr w:type="firstRow">
      <w:rPr>
        <w:b/>
        <w:bCs/>
      </w:rPr>
    </w:tblStylePr>
    <w:tblStylePr w:type="lastRow">
      <w:rPr>
        <w:b/>
        <w:bCs/>
      </w:rPr>
    </w:tblStylePr>
    <w:tblStylePr w:type="firstCol">
      <w:rPr>
        <w:b/>
        <w:bCs/>
      </w:rPr>
    </w:tblStylePr>
    <w:tblStylePr w:type="lastCol">
      <w:rPr>
        <w:b/>
        <w:bCs/>
      </w:rPr>
    </w:tblStylePr>
    <w:tblStylePr w:type="band1Vert">
      <w:tcPr>
        <w:shd w:val="clear" w:color="auto" w:fill="DDDDDD" w:themeFill="accent3" w:themeFillTint="33"/>
      </w:tcPr>
    </w:tblStylePr>
    <w:tblStylePr w:type="band1Horz">
      <w:tcPr>
        <w:shd w:val="clear" w:color="auto" w:fill="DDDDDD" w:themeFill="accent3" w:themeFillTint="33"/>
      </w:tcPr>
    </w:tblStylePr>
  </w:style>
  <w:style w:type="table" w:customStyle="1" w:styleId="45">
    <w:name w:val="Plain Table 4"/>
    <w:basedOn w:val="9"/>
    <w:uiPriority w:val="44"/>
    <w:tblStylePr w:type="firstRow">
      <w:rPr>
        <w:b/>
        <w:bCs/>
      </w:rPr>
    </w:tblStylePr>
    <w:tblStylePr w:type="lastRow">
      <w:rPr>
        <w:b/>
        <w:bCs/>
      </w:rPr>
    </w:tblStylePr>
    <w:tblStylePr w:type="firstCol">
      <w:rPr>
        <w:b/>
        <w:bCs/>
      </w:rPr>
    </w:tblStylePr>
    <w:tblStylePr w:type="lastCol">
      <w:rPr>
        <w:b/>
        <w:bCs/>
      </w:rPr>
    </w:tblStylePr>
    <w:tblStylePr w:type="band1Vert">
      <w:tcPr>
        <w:shd w:val="clear" w:color="auto" w:fill="F1F1F1" w:themeFill="background1" w:themeFillShade="F2"/>
      </w:tcPr>
    </w:tblStylePr>
    <w:tblStylePr w:type="band1Horz">
      <w:tcPr>
        <w:shd w:val="clear" w:color="auto" w:fill="F1F1F1" w:themeFill="background1" w:themeFillShade="F2"/>
      </w:tcPr>
    </w:tblStylePr>
  </w:style>
  <w:style w:type="table" w:customStyle="1" w:styleId="46">
    <w:name w:val="Plain Table 3"/>
    <w:basedOn w:val="9"/>
    <w:uiPriority w:val="43"/>
    <w:tblStylePr w:type="firstRow">
      <w:rPr>
        <w:b/>
        <w:bCs/>
        <w:caps/>
      </w:rPr>
      <w:tcPr>
        <w:tcBorders>
          <w:bottom w:val="single" w:color="7F7F7F" w:sz="4" w:space="0"/>
        </w:tcBorders>
      </w:tcPr>
    </w:tblStylePr>
    <w:tblStylePr w:type="lastRow">
      <w:rPr>
        <w:b/>
        <w:bCs/>
        <w:caps/>
      </w:rPr>
      <w:tcPr>
        <w:tcBorders>
          <w:top w:val="nil"/>
        </w:tcBorders>
      </w:tcPr>
    </w:tblStylePr>
    <w:tblStylePr w:type="firstCol">
      <w:rPr>
        <w:b/>
        <w:bCs/>
        <w:caps/>
      </w:rPr>
      <w:tcPr>
        <w:tcBorders>
          <w:right w:val="single" w:color="7F7F7F" w:sz="4" w:space="0"/>
        </w:tcBorders>
      </w:tcPr>
    </w:tblStylePr>
    <w:tblStylePr w:type="lastCol">
      <w:rPr>
        <w:b/>
        <w:bCs/>
        <w:caps/>
      </w:rPr>
      <w:tcPr>
        <w:tcBorders>
          <w:left w:val="nil"/>
        </w:tcBorders>
      </w:tcPr>
    </w:tblStylePr>
    <w:tblStylePr w:type="band1Vert">
      <w:tcPr>
        <w:shd w:val="clear" w:color="auto" w:fill="F1F1F1" w:themeFill="background1" w:themeFillShade="F2"/>
      </w:tcPr>
    </w:tblStylePr>
    <w:tblStylePr w:type="band1Horz">
      <w:tcPr>
        <w:shd w:val="clear" w:color="auto" w:fill="F1F1F1" w:themeFill="background1" w:themeFillShade="F2"/>
      </w:tcPr>
    </w:tblStylePr>
    <w:tblStylePr w:type="neCell">
      <w:tcPr>
        <w:tcBorders>
          <w:left w:val="nil"/>
        </w:tcBorders>
      </w:tcPr>
    </w:tblStylePr>
    <w:tblStylePr w:type="nwCell">
      <w:tcPr>
        <w:tcBorders>
          <w:right w:val="nil"/>
        </w:tcBorders>
      </w:tcPr>
    </w:tblStylePr>
  </w:style>
  <w:style w:type="character" w:customStyle="1" w:styleId="47">
    <w:name w:val="normaltextrun"/>
    <w:basedOn w:val="8"/>
    <w:uiPriority w:val="0"/>
  </w:style>
  <w:style w:type="paragraph" w:customStyle="1" w:styleId="48">
    <w:name w:val="Revision"/>
    <w:hidden/>
    <w:semiHidden/>
    <w:uiPriority w:val="99"/>
    <w:pPr>
      <w:spacing w:before="240" w:after="240"/>
    </w:pPr>
    <w:rPr>
      <w:rFonts w:asciiTheme="minorHAnsi" w:hAnsiTheme="minorHAnsi" w:eastAsiaTheme="minorHAnsi" w:cstheme="minorBidi"/>
      <w:kern w:val="2"/>
      <w:sz w:val="18"/>
      <w:szCs w:val="22"/>
      <w:lang w:val="en" w:eastAsia="en-AU" w:bidi="ar-SA"/>
      <w14:ligatures w14:val="standardContextual"/>
    </w:rPr>
  </w:style>
  <w:style w:type="character" w:customStyle="1" w:styleId="49">
    <w:name w:val="Comment Text Char"/>
    <w:basedOn w:val="8"/>
    <w:link w:val="11"/>
    <w:uiPriority w:val="99"/>
    <w:rPr>
      <w:sz w:val="20"/>
      <w:szCs w:val="20"/>
    </w:rPr>
  </w:style>
  <w:style w:type="character" w:customStyle="1" w:styleId="50">
    <w:name w:val="Comment Subject Char"/>
    <w:basedOn w:val="49"/>
    <w:link w:val="12"/>
    <w:semiHidden/>
    <w:uiPriority w:val="99"/>
    <w:rPr>
      <w:b/>
      <w:bCs/>
      <w:sz w:val="20"/>
      <w:szCs w:val="20"/>
    </w:rPr>
  </w:style>
  <w:style w:type="character" w:customStyle="1" w:styleId="51">
    <w:name w:val="eop"/>
    <w:basedOn w:val="8"/>
    <w:uiPriority w:val="0"/>
  </w:style>
  <w:style w:type="paragraph" w:customStyle="1" w:styleId="52">
    <w:name w:val="paragraph"/>
    <w:basedOn w:val="1"/>
    <w:uiPriority w:val="0"/>
    <w:pPr>
      <w:spacing w:before="100" w:beforeAutospacing="1" w:after="100" w:afterAutospacing="1"/>
    </w:pPr>
    <w:rPr>
      <w:rFonts w:ascii="Times New Roman" w:hAnsi="Times New Roman" w:eastAsia="Times New Roman" w:cs="Times New Roman"/>
      <w:sz w:val="24"/>
      <w:szCs w:val="24"/>
      <w:lang w:val="en-AU"/>
    </w:rPr>
  </w:style>
  <w:style w:type="character" w:customStyle="1" w:styleId="53">
    <w:name w:val="Mention"/>
    <w:basedOn w:val="8"/>
    <w:unhideWhenUsed/>
    <w:uiPriority w:val="99"/>
    <w:rPr>
      <w:color w:val="000000"/>
      <w:shd w:val="clear" w:color="auto" w:fill="E6E6E6"/>
    </w:rPr>
  </w:style>
  <w:style w:type="paragraph" w:customStyle="1" w:styleId="54">
    <w:name w:val="LEVEL 1 – TITLE"/>
    <w:basedOn w:val="1"/>
    <w:link w:val="55"/>
    <w:qFormat/>
    <w:uiPriority w:val="0"/>
    <w:pPr>
      <w:numPr>
        <w:ilvl w:val="0"/>
        <w:numId w:val="1"/>
      </w:numPr>
      <w:contextualSpacing/>
      <w:jc w:val="center"/>
    </w:pPr>
    <w:rPr>
      <w:rFonts w:ascii="Playfair Display ExtraBold" w:hAnsi="Playfair Display ExtraBold"/>
      <w:caps/>
      <w:color w:val="000000"/>
      <w:sz w:val="40"/>
      <w:szCs w:val="40"/>
      <w:lang w:val="en-US"/>
    </w:rPr>
  </w:style>
  <w:style w:type="character" w:customStyle="1" w:styleId="55">
    <w:name w:val="LEVEL 1 – TITLE Char"/>
    <w:basedOn w:val="8"/>
    <w:link w:val="54"/>
    <w:uiPriority w:val="0"/>
    <w:rPr>
      <w:rFonts w:ascii="Playfair Display ExtraBold" w:hAnsi="Playfair Display ExtraBold"/>
      <w:caps/>
      <w:color w:val="000000"/>
      <w:sz w:val="40"/>
      <w:szCs w:val="40"/>
      <w:lang w:val="en-US"/>
    </w:rPr>
  </w:style>
  <w:style w:type="paragraph" w:customStyle="1" w:styleId="56">
    <w:name w:val="LEVEL 2 – HEADINGS NO NUMBERS"/>
    <w:basedOn w:val="1"/>
    <w:link w:val="57"/>
    <w:qFormat/>
    <w:uiPriority w:val="0"/>
    <w:pPr>
      <w:numPr>
        <w:ilvl w:val="1"/>
        <w:numId w:val="1"/>
      </w:numPr>
      <w:contextualSpacing/>
      <w:outlineLvl w:val="0"/>
    </w:pPr>
    <w:rPr>
      <w:rFonts w:asciiTheme="majorHAnsi" w:hAnsiTheme="majorHAnsi"/>
      <w:b/>
      <w:caps/>
      <w:color w:val="000000"/>
      <w:sz w:val="22"/>
      <w:lang w:val="en-US"/>
    </w:rPr>
  </w:style>
  <w:style w:type="character" w:customStyle="1" w:styleId="57">
    <w:name w:val="LEVEL 2 – HEADINGS NO NUMBERS Char"/>
    <w:basedOn w:val="8"/>
    <w:link w:val="56"/>
    <w:uiPriority w:val="0"/>
    <w:rPr>
      <w:rFonts w:asciiTheme="majorHAnsi" w:hAnsiTheme="majorHAnsi"/>
      <w:b/>
      <w:caps/>
      <w:color w:val="000000"/>
      <w:sz w:val="22"/>
      <w:lang w:val="en-US"/>
    </w:rPr>
  </w:style>
  <w:style w:type="paragraph" w:customStyle="1" w:styleId="58">
    <w:name w:val="LEVEL 3 – NUMBERED HEADINGS"/>
    <w:basedOn w:val="20"/>
    <w:link w:val="59"/>
    <w:qFormat/>
    <w:uiPriority w:val="0"/>
    <w:pPr>
      <w:numPr>
        <w:ilvl w:val="2"/>
        <w:numId w:val="1"/>
      </w:numPr>
      <w:outlineLvl w:val="1"/>
    </w:pPr>
    <w:rPr>
      <w:rFonts w:asciiTheme="majorHAnsi" w:hAnsiTheme="majorHAnsi"/>
      <w:b/>
      <w:color w:val="000000"/>
      <w:lang w:val="en-US"/>
    </w:rPr>
  </w:style>
  <w:style w:type="character" w:customStyle="1" w:styleId="59">
    <w:name w:val="LEVEL 3 – NUMBERED HEADINGS Char"/>
    <w:basedOn w:val="8"/>
    <w:link w:val="58"/>
    <w:uiPriority w:val="0"/>
    <w:rPr>
      <w:rFonts w:asciiTheme="majorHAnsi" w:hAnsiTheme="majorHAnsi"/>
      <w:b/>
      <w:color w:val="000000"/>
      <w:lang w:val="en-US"/>
    </w:rPr>
  </w:style>
  <w:style w:type="paragraph" w:customStyle="1" w:styleId="60">
    <w:name w:val="LEVEL 5 – LETTERS LIST"/>
    <w:basedOn w:val="20"/>
    <w:link w:val="61"/>
    <w:qFormat/>
    <w:uiPriority w:val="0"/>
    <w:pPr>
      <w:numPr>
        <w:ilvl w:val="6"/>
        <w:numId w:val="1"/>
      </w:numPr>
    </w:pPr>
    <w:rPr>
      <w:rFonts w:eastAsia="Times New Roman" w:cs="Times New Roman"/>
      <w:kern w:val="0"/>
      <w:szCs w:val="18"/>
      <w14:ligatures w14:val="none"/>
    </w:rPr>
  </w:style>
  <w:style w:type="character" w:customStyle="1" w:styleId="61">
    <w:name w:val="LEVEL 5 – LETTERS LIST Char"/>
    <w:basedOn w:val="8"/>
    <w:link w:val="60"/>
    <w:uiPriority w:val="0"/>
    <w:rPr>
      <w:rFonts w:eastAsia="Times New Roman" w:cs="Times New Roman"/>
      <w:kern w:val="0"/>
      <w:szCs w:val="18"/>
      <w14:ligatures w14:val="none"/>
    </w:rPr>
  </w:style>
  <w:style w:type="paragraph" w:customStyle="1" w:styleId="62">
    <w:name w:val="LEVEL 6 – ROMAN NUMERALS"/>
    <w:basedOn w:val="60"/>
    <w:link w:val="63"/>
    <w:qFormat/>
    <w:uiPriority w:val="0"/>
    <w:pPr>
      <w:numPr>
        <w:ilvl w:val="7"/>
      </w:numPr>
    </w:pPr>
  </w:style>
  <w:style w:type="character" w:customStyle="1" w:styleId="63">
    <w:name w:val="LEVEL 6 – ROMAN NUMERALS Char"/>
    <w:basedOn w:val="61"/>
    <w:link w:val="62"/>
    <w:uiPriority w:val="0"/>
    <w:rPr>
      <w:rFonts w:eastAsia="Times New Roman" w:cs="Times New Roman"/>
      <w:kern w:val="0"/>
      <w:szCs w:val="18"/>
      <w14:ligatures w14:val="none"/>
    </w:rPr>
  </w:style>
  <w:style w:type="paragraph" w:customStyle="1" w:styleId="64">
    <w:name w:val="Level 8 – BODY TEXT PARAGRAPH"/>
    <w:basedOn w:val="1"/>
    <w:link w:val="65"/>
    <w:qFormat/>
    <w:uiPriority w:val="0"/>
    <w:pPr>
      <w:numPr>
        <w:ilvl w:val="3"/>
        <w:numId w:val="1"/>
      </w:numPr>
      <w:contextualSpacing/>
    </w:pPr>
    <w:rPr>
      <w:rFonts w:eastAsia="Times New Roman" w:cs="Times New Roman"/>
      <w:kern w:val="0"/>
      <w:szCs w:val="18"/>
      <w14:ligatures w14:val="none"/>
    </w:rPr>
  </w:style>
  <w:style w:type="character" w:customStyle="1" w:styleId="65">
    <w:name w:val="Level 8 – BODY TEXT PARAGRAPH Char"/>
    <w:basedOn w:val="8"/>
    <w:link w:val="64"/>
    <w:uiPriority w:val="0"/>
    <w:rPr>
      <w:rFonts w:eastAsia="Times New Roman" w:cs="Times New Roman"/>
      <w:kern w:val="0"/>
      <w:szCs w:val="18"/>
      <w14:ligatures w14:val="none"/>
    </w:rPr>
  </w:style>
  <w:style w:type="paragraph" w:customStyle="1" w:styleId="66">
    <w:name w:val="LEVEL 9 BODY TEXT UNDER NUMBERED HEADINGS"/>
    <w:basedOn w:val="1"/>
    <w:link w:val="67"/>
    <w:qFormat/>
    <w:uiPriority w:val="0"/>
    <w:pPr>
      <w:numPr>
        <w:ilvl w:val="5"/>
        <w:numId w:val="1"/>
      </w:numPr>
      <w:contextualSpacing/>
    </w:pPr>
    <w:rPr>
      <w:rFonts w:eastAsia="Times New Roman" w:cs="Times New Roman"/>
      <w:kern w:val="0"/>
      <w:szCs w:val="18"/>
      <w14:ligatures w14:val="none"/>
    </w:rPr>
  </w:style>
  <w:style w:type="character" w:customStyle="1" w:styleId="67">
    <w:name w:val="LEVEL 9 BODY TEXT UNDER NUMBERED HEADINGS Char"/>
    <w:basedOn w:val="8"/>
    <w:link w:val="66"/>
    <w:uiPriority w:val="0"/>
    <w:rPr>
      <w:rFonts w:eastAsia="Times New Roman" w:cs="Times New Roman"/>
      <w:kern w:val="0"/>
      <w:szCs w:val="18"/>
      <w14:ligatures w14:val="none"/>
    </w:rPr>
  </w:style>
  <w:style w:type="paragraph" w:customStyle="1" w:styleId="68">
    <w:name w:val="LEVEL 4 – SUB NUMBERS"/>
    <w:basedOn w:val="58"/>
    <w:link w:val="69"/>
    <w:qFormat/>
    <w:uiPriority w:val="0"/>
    <w:pPr>
      <w:numPr>
        <w:ilvl w:val="4"/>
      </w:numPr>
      <w:outlineLvl w:val="2"/>
    </w:pPr>
  </w:style>
  <w:style w:type="character" w:customStyle="1" w:styleId="69">
    <w:name w:val="LEVEL 4 – SUB NUMBERS Char"/>
    <w:basedOn w:val="59"/>
    <w:link w:val="68"/>
    <w:uiPriority w:val="0"/>
    <w:rPr>
      <w:rFonts w:asciiTheme="majorHAnsi" w:hAnsiTheme="majorHAnsi"/>
      <w:color w:val="000000"/>
      <w:lang w:val="en-US"/>
    </w:rPr>
  </w:style>
  <w:style w:type="paragraph" w:customStyle="1" w:styleId="70">
    <w:name w:val="LEVEL 7 – TABLES"/>
    <w:basedOn w:val="1"/>
    <w:link w:val="71"/>
    <w:qFormat/>
    <w:uiPriority w:val="0"/>
    <w:pPr>
      <w:spacing w:before="0" w:after="0"/>
      <w:ind w:left="562"/>
      <w:contextualSpacing/>
    </w:pPr>
  </w:style>
  <w:style w:type="character" w:customStyle="1" w:styleId="71">
    <w:name w:val="LEVEL 7 – TABLES Char"/>
    <w:basedOn w:val="8"/>
    <w:link w:val="70"/>
    <w:uiPriority w:val="0"/>
  </w:style>
  <w:style w:type="character" w:customStyle="1" w:styleId="72">
    <w:name w:val="List Paragraph Char"/>
    <w:basedOn w:val="8"/>
    <w:link w:val="20"/>
    <w:uiPriority w:val="34"/>
  </w:style>
</w:styles>
</file>

<file path=word/_rels/document.xml.rels><?xml version="1.0" encoding="UTF-8" standalone="yes"?>
<Relationships xmlns="http://schemas.openxmlformats.org/package/2006/relationships"><Relationship Id="rId9" Type="http://schemas.openxmlformats.org/officeDocument/2006/relationships/image" Target="media/image2.png"/><Relationship Id="rId8" Type="http://schemas.openxmlformats.org/officeDocument/2006/relationships/image" Target="media/image1.png"/><Relationship Id="rId7" Type="http://schemas.openxmlformats.org/officeDocument/2006/relationships/image" Target="media/image3.png"/><Relationship Id="rId6" Type="http://schemas.openxmlformats.org/officeDocument/2006/relationships/theme" Target="theme/theme1.xml"/><Relationship Id="rId5" Type="http://schemas.openxmlformats.org/officeDocument/2006/relationships/footer" Target="footer1.xml"/><Relationship Id="rId4" Type="http://schemas.openxmlformats.org/officeDocument/2006/relationships/header" Target="header1.xml"/><Relationship Id="rId3" Type="http://schemas.openxmlformats.org/officeDocument/2006/relationships/footnotes" Target="footnotes.xml"/><Relationship Id="rId2" Type="http://schemas.openxmlformats.org/officeDocument/2006/relationships/settings" Target="settings.xml"/><Relationship Id="rId15" Type="http://schemas.microsoft.com/office/2011/relationships/people" Target="people.xml"/><Relationship Id="rId14" Type="http://schemas.openxmlformats.org/officeDocument/2006/relationships/fontTable" Target="fontTable.xml"/><Relationship Id="rId13" Type="http://schemas.openxmlformats.org/officeDocument/2006/relationships/customXml" Target="../customXml/item3.xml"/><Relationship Id="rId12" Type="http://schemas.openxmlformats.org/officeDocument/2006/relationships/customXml" Target="../customXml/item2.xml"/><Relationship Id="rId11" Type="http://schemas.openxmlformats.org/officeDocument/2006/relationships/numbering" Target="numbering.xml"/><Relationship Id="rId10" Type="http://schemas.openxmlformats.org/officeDocument/2006/relationships/customXml" Target="../customXml/item1.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Foundd">
  <a:themeElements>
    <a:clrScheme name="Foundd Legal">
      <a:dk1>
        <a:sysClr val="windowText" lastClr="000000"/>
      </a:dk1>
      <a:lt1>
        <a:sysClr val="window" lastClr="FFFFFF"/>
      </a:lt1>
      <a:dk2>
        <a:srgbClr val="262626"/>
      </a:dk2>
      <a:lt2>
        <a:srgbClr val="E7E6E6"/>
      </a:lt2>
      <a:accent1>
        <a:srgbClr val="000000"/>
      </a:accent1>
      <a:accent2>
        <a:srgbClr val="F2F2F2"/>
      </a:accent2>
      <a:accent3>
        <a:srgbClr val="595959"/>
      </a:accent3>
      <a:accent4>
        <a:srgbClr val="D9D9D9"/>
      </a:accent4>
      <a:accent5>
        <a:srgbClr val="262626"/>
      </a:accent5>
      <a:accent6>
        <a:srgbClr val="7F7F7F"/>
      </a:accent6>
      <a:hlink>
        <a:srgbClr val="000000"/>
      </a:hlink>
      <a:folHlink>
        <a:srgbClr val="404040"/>
      </a:folHlink>
    </a:clrScheme>
    <a:fontScheme name="Foundd Legal">
      <a:majorFont>
        <a:latin typeface="Arial"/>
        <a:ea typeface=""/>
        <a:cs typeface=""/>
      </a:majorFont>
      <a:minorFont>
        <a:latin typeface="Arial"/>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2.xml><?xml version="1.0" encoding="utf-8"?>
<b:Sources xmlns="http://schemas.openxmlformats.org/officeDocument/2006/bibliography" xmlns:b="http://schemas.openxmlformats.org/officeDocument/2006/bibliography" Version="6" StyleName="APA" SelectedStyle="\APASixthEditionOfficeOnline.xsl"/>
</file>

<file path=customXml/item3.xml><?xml version="1.0" encoding="utf-8"?>
<go:gDocsCustomXmlDataStorage xmlns:go="http://customooxmlschemas.google.com/" xmlns:r="http://schemas.openxmlformats.org/officeDocument/2006/relationships">
  <go:docsCustomData xmlns:go="http://customooxmlschemas.google.com/" roundtripDataSignature="AMtx7miKMjk1Qy2VdEjr1cabJW7UbfFdhQ==">AMUW2mWCUf8ON/FrDJfC3GU9+xZogB5JoIICxN6+Cm+vuovjA7IOrqQVoto8fLy+wRlosRpo6oLNJqr3lVSFuVilWZle9xT+8OmR9FzfrOKLbmyX7BNuPLmcg5dqmhYAX5q/dl2HvBIoQM1WjPcWXfZGIpcYmJckglIowTeB6x43Cy/XO9yhKPcfdld/uPAYE7xq0Vb/3JO3</go:docsCustomData>
</go:gDocsCustomXmlDataStorage>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97EB49BD-8961-429A-9D3F-31E347834AC4}">
  <ds:schemaRefs/>
</ds:datastoreItem>
</file>

<file path=customXml/itemProps3.xml><?xml version="1.0" encoding="utf-8"?>
<ds:datastoreItem xmlns:ds="http://schemas.openxmlformats.org/officeDocument/2006/customXml" ds:itemID="{11111111-1234-1234-1234-123412341234}">
  <ds:schemaRefs/>
</ds:datastoreItem>
</file>

<file path=docProps/app.xml><?xml version="1.0" encoding="utf-8"?>
<Properties xmlns="http://schemas.openxmlformats.org/officeDocument/2006/extended-properties" xmlns:vt="http://schemas.openxmlformats.org/officeDocument/2006/docPropsVTypes">
  <Template>Normal</Template>
  <Pages>42</Pages>
  <Words>4515</Words>
  <Characters>25741</Characters>
  <Lines>214</Lines>
  <Paragraphs>60</Paragraphs>
  <TotalTime>3</TotalTime>
  <ScaleCrop>false</ScaleCrop>
  <LinksUpToDate>false</LinksUpToDate>
  <CharactersWithSpaces>30196</CharactersWithSpaces>
  <Application>WPS Office_12.1.29182.29182_F1E327BC-269C-435d-A152-05C5408002CA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2024-02-09T20:03:00Z</dcterms:created>
  <dc:creator>TWCW Pty Ltd</dc:creator>
  <cp:lastModifiedBy>Talvinder Sidhu</cp:lastModifiedBy>
  <dcterms:modified xsi:type="dcterms:W3CDTF">2026-10-27T06:08:40Z</dcterms:modified>
  <dc:title>1Stop Terms of Service</dc:title>
  <cp:revision>7</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1033-12.1.29182.29182</vt:lpwstr>
  </property>
  <property fmtid="{D5CDD505-2E9C-101B-9397-08002B2CF9AE}" pid="3" name="ICV">
    <vt:lpwstr>FC5AFD16755504CC032CDD6A8967E936_42</vt:lpwstr>
  </property>
</Properties>
</file>