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5998" w14:textId="77777777" w:rsidR="002F7EEE" w:rsidRPr="002F7EEE" w:rsidRDefault="002F7EEE" w:rsidP="002F7EEE">
      <w:pPr>
        <w:shd w:val="clear" w:color="auto" w:fill="FFFFFF"/>
        <w:spacing w:after="0" w:line="990" w:lineRule="atLeast"/>
        <w:outlineLvl w:val="0"/>
        <w:rPr>
          <w:rFonts w:ascii="Roboto" w:eastAsia="Times New Roman" w:hAnsi="Roboto" w:cs="Times New Roman"/>
          <w:b/>
          <w:bCs/>
          <w:color w:val="1B3965"/>
          <w:spacing w:val="-2"/>
          <w:kern w:val="36"/>
          <w:sz w:val="83"/>
          <w:szCs w:val="83"/>
          <w:lang w:eastAsia="en-GB"/>
          <w14:ligatures w14:val="none"/>
        </w:rPr>
      </w:pPr>
      <w:r w:rsidRPr="002F7EEE">
        <w:rPr>
          <w:rFonts w:ascii="Roboto" w:eastAsia="Times New Roman" w:hAnsi="Roboto" w:cs="Times New Roman"/>
          <w:b/>
          <w:bCs/>
          <w:color w:val="1B3965"/>
          <w:spacing w:val="-2"/>
          <w:kern w:val="36"/>
          <w:sz w:val="83"/>
          <w:szCs w:val="83"/>
          <w:lang w:eastAsia="en-GB"/>
          <w14:ligatures w14:val="none"/>
        </w:rPr>
        <w:t>Managing allegations against adults who work with children</w:t>
      </w:r>
    </w:p>
    <w:p w14:paraId="3C36EA50" w14:textId="77777777" w:rsidR="002F7EEE" w:rsidRPr="002F7EEE" w:rsidRDefault="002F7EEE" w:rsidP="002F7EEE">
      <w:pPr>
        <w:shd w:val="clear" w:color="auto" w:fill="FFFFFF"/>
        <w:spacing w:before="150" w:after="225" w:line="390" w:lineRule="atLeast"/>
        <w:rPr>
          <w:rFonts w:ascii="Roboto" w:eastAsia="Times New Roman" w:hAnsi="Roboto" w:cs="Times New Roman"/>
          <w:color w:val="2C2D2F"/>
          <w:kern w:val="0"/>
          <w:sz w:val="30"/>
          <w:szCs w:val="30"/>
          <w:lang w:eastAsia="en-GB"/>
          <w14:ligatures w14:val="none"/>
        </w:rPr>
      </w:pPr>
      <w:r w:rsidRPr="002F7EEE">
        <w:rPr>
          <w:rFonts w:ascii="Roboto" w:eastAsia="Times New Roman" w:hAnsi="Roboto" w:cs="Times New Roman"/>
          <w:color w:val="2C2D2F"/>
          <w:kern w:val="0"/>
          <w:sz w:val="30"/>
          <w:szCs w:val="30"/>
          <w:lang w:eastAsia="en-GB"/>
          <w14:ligatures w14:val="none"/>
        </w:rPr>
        <w:t>An allegation may relate to a person who works with children who has:</w:t>
      </w:r>
    </w:p>
    <w:p w14:paraId="21C7D65B" w14:textId="77777777" w:rsidR="002F7EEE" w:rsidRPr="002F7EEE" w:rsidRDefault="002F7EEE" w:rsidP="002F7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</w:pPr>
      <w:r w:rsidRPr="002F7EEE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>Behaved in a way that has harmed a child, or may have harmed a child</w:t>
      </w:r>
    </w:p>
    <w:p w14:paraId="0A772BFE" w14:textId="77777777" w:rsidR="002F7EEE" w:rsidRPr="002F7EEE" w:rsidRDefault="002F7EEE" w:rsidP="002F7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</w:pPr>
      <w:r w:rsidRPr="002F7EEE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>Possibly committed a criminal offence against or related to a child</w:t>
      </w:r>
    </w:p>
    <w:p w14:paraId="18DF54F7" w14:textId="77777777" w:rsidR="002F7EEE" w:rsidRPr="002F7EEE" w:rsidRDefault="002F7EEE" w:rsidP="002F7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</w:pPr>
      <w:r w:rsidRPr="002F7EEE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>Behaved towards a child or children in a way that indicates they may pose a risk of harm to children</w:t>
      </w:r>
    </w:p>
    <w:p w14:paraId="4ACB4938" w14:textId="77777777" w:rsidR="002F7EEE" w:rsidRPr="002F7EEE" w:rsidRDefault="002F7EEE" w:rsidP="002F7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</w:pPr>
      <w:r w:rsidRPr="002F7EEE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>Behaved or may have behaved in a way that indicates they may not be suitable to work with children</w:t>
      </w:r>
    </w:p>
    <w:p w14:paraId="5D16840A" w14:textId="09995DB0" w:rsidR="002F7EEE" w:rsidRPr="002F7EEE" w:rsidRDefault="002F7EEE" w:rsidP="002F7EEE">
      <w:pPr>
        <w:shd w:val="clear" w:color="auto" w:fill="FFFFFF"/>
        <w:spacing w:before="150" w:after="225" w:line="240" w:lineRule="auto"/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</w:pPr>
      <w:r w:rsidRPr="002F7EEE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 xml:space="preserve">Any allegation against people who work with children should be reported immediately to </w:t>
      </w:r>
      <w:r w:rsidR="00745AFD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>Lindsey Freeman</w:t>
      </w:r>
      <w:r w:rsidRPr="002F7EEE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 xml:space="preserve"> or agency and the Local Authority Designated Officer</w:t>
      </w:r>
      <w:r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 xml:space="preserve"> (LADO)</w:t>
      </w:r>
      <w:r w:rsidRPr="002F7EEE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>. This should take place within one working day of you becoming aware of the potential harm.</w:t>
      </w:r>
    </w:p>
    <w:p w14:paraId="43D4618D" w14:textId="7BCF126D" w:rsidR="002F7EEE" w:rsidRPr="002F7EEE" w:rsidRDefault="002F7EEE" w:rsidP="002F7EEE">
      <w:pPr>
        <w:shd w:val="clear" w:color="auto" w:fill="FFFFFF"/>
        <w:spacing w:before="150" w:after="225" w:line="240" w:lineRule="auto"/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</w:pPr>
      <w:r w:rsidRPr="002F7EEE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 xml:space="preserve">If an individual (paid worker or unpaid volunteer) </w:t>
      </w:r>
      <w:r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 xml:space="preserve">is removed </w:t>
      </w:r>
      <w:r w:rsidRPr="002F7EEE">
        <w:rPr>
          <w:rFonts w:ascii="Roboto" w:eastAsia="Times New Roman" w:hAnsi="Roboto" w:cs="Times New Roman"/>
          <w:color w:val="2C2D2F"/>
          <w:spacing w:val="-2"/>
          <w:kern w:val="0"/>
          <w:sz w:val="27"/>
          <w:szCs w:val="27"/>
          <w:lang w:eastAsia="en-GB"/>
          <w14:ligatures w14:val="none"/>
        </w:rPr>
        <w:t>from work in regulated activity with children (or would have, had the person not left first) because the person poses a risk of harm to children, the organisation or agency must make a referral to the Disclosure and Barring Service to consider whether to add the individual to the barred list.</w:t>
      </w:r>
    </w:p>
    <w:p w14:paraId="7172D401" w14:textId="77777777" w:rsidR="00DA3DAA" w:rsidRDefault="00DA3DAA"/>
    <w:sectPr w:rsidR="00DA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133"/>
    <w:multiLevelType w:val="multilevel"/>
    <w:tmpl w:val="14C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1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EE"/>
    <w:rsid w:val="00010BB4"/>
    <w:rsid w:val="00200BEA"/>
    <w:rsid w:val="002F7EEE"/>
    <w:rsid w:val="00745AFD"/>
    <w:rsid w:val="00A06F29"/>
    <w:rsid w:val="00BC7445"/>
    <w:rsid w:val="00D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FD928"/>
  <w15:chartTrackingRefBased/>
  <w15:docId w15:val="{026EA1F5-0BC3-4451-BD60-284AF4BC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Carruthers</dc:creator>
  <cp:keywords/>
  <dc:description/>
  <cp:lastModifiedBy>Grant Carruthers</cp:lastModifiedBy>
  <cp:revision>3</cp:revision>
  <dcterms:created xsi:type="dcterms:W3CDTF">2025-11-16T18:43:00Z</dcterms:created>
  <dcterms:modified xsi:type="dcterms:W3CDTF">2025-11-16T18:43:00Z</dcterms:modified>
</cp:coreProperties>
</file>