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752EA5" w14:textId="77F75137" w:rsidR="002E1947" w:rsidRDefault="002652F6">
      <w:pPr>
        <w:pStyle w:val="Bullet"/>
        <w:jc w:val="center"/>
        <w:rPr>
          <w:rFonts w:ascii="Thonburi" w:eastAsia="Thonburi" w:hAnsi="Thonburi" w:cs="Thonburi"/>
          <w:b/>
          <w:bCs/>
          <w:sz w:val="36"/>
          <w:szCs w:val="36"/>
        </w:rPr>
      </w:pPr>
      <w:r>
        <w:rPr>
          <w:rFonts w:ascii="Thonburi" w:hAnsi="Thonburi"/>
          <w:b/>
          <w:bCs/>
          <w:sz w:val="36"/>
          <w:szCs w:val="36"/>
        </w:rPr>
        <w:t xml:space="preserve">BQTC </w:t>
      </w:r>
      <w:r w:rsidR="007B6A65">
        <w:rPr>
          <w:rFonts w:ascii="Thonburi" w:hAnsi="Thonburi"/>
          <w:b/>
          <w:bCs/>
          <w:sz w:val="36"/>
          <w:szCs w:val="36"/>
        </w:rPr>
        <w:t>Annual Club Tournament</w:t>
      </w:r>
      <w:r>
        <w:rPr>
          <w:rFonts w:ascii="Thonburi" w:hAnsi="Thonburi"/>
          <w:b/>
          <w:bCs/>
          <w:sz w:val="36"/>
          <w:szCs w:val="36"/>
        </w:rPr>
        <w:t xml:space="preserve"> Entry Form 201</w:t>
      </w:r>
      <w:r w:rsidR="003A63DF">
        <w:rPr>
          <w:rFonts w:ascii="Thonburi" w:hAnsi="Thonburi"/>
          <w:b/>
          <w:bCs/>
          <w:sz w:val="36"/>
          <w:szCs w:val="36"/>
        </w:rPr>
        <w:t>9</w:t>
      </w:r>
    </w:p>
    <w:p w14:paraId="77AE25E3" w14:textId="6858E7B3" w:rsidR="009A2478" w:rsidRDefault="00683BD0" w:rsidP="00B03945">
      <w:pPr>
        <w:pStyle w:val="Bullet"/>
        <w:rPr>
          <w:rFonts w:ascii="Thonburi" w:hAnsi="Thonburi"/>
          <w:color w:val="000000"/>
          <w:sz w:val="24"/>
          <w:szCs w:val="24"/>
        </w:rPr>
      </w:pPr>
      <w:r w:rsidRPr="00B03945">
        <w:rPr>
          <w:rFonts w:ascii="Thonburi" w:hAnsi="Thonburi"/>
          <w:color w:val="000000"/>
          <w:sz w:val="24"/>
          <w:szCs w:val="24"/>
        </w:rPr>
        <w:t>Singles event is £3 per player</w:t>
      </w:r>
      <w:r w:rsidR="00A03565" w:rsidRPr="00B03945">
        <w:rPr>
          <w:rFonts w:ascii="Thonburi" w:hAnsi="Thonburi"/>
          <w:color w:val="000000"/>
          <w:sz w:val="24"/>
          <w:szCs w:val="24"/>
        </w:rPr>
        <w:t xml:space="preserve">, </w:t>
      </w:r>
      <w:r w:rsidRPr="00B03945">
        <w:rPr>
          <w:rFonts w:ascii="Thonburi" w:hAnsi="Thonburi"/>
          <w:color w:val="000000"/>
          <w:sz w:val="24"/>
          <w:szCs w:val="24"/>
        </w:rPr>
        <w:t>Doubles event is £2.50 per player</w:t>
      </w:r>
      <w:r w:rsidR="00861F6C" w:rsidRPr="00B03945">
        <w:rPr>
          <w:rFonts w:ascii="Thonburi" w:hAnsi="Thonburi"/>
          <w:color w:val="000000"/>
          <w:sz w:val="24"/>
          <w:szCs w:val="24"/>
        </w:rPr>
        <w:t xml:space="preserve">. </w:t>
      </w:r>
      <w:r w:rsidRPr="00B03945">
        <w:rPr>
          <w:rFonts w:ascii="Thonburi" w:hAnsi="Thonburi"/>
          <w:color w:val="000000"/>
          <w:sz w:val="24"/>
          <w:szCs w:val="24"/>
        </w:rPr>
        <w:t xml:space="preserve"> </w:t>
      </w:r>
      <w:r w:rsidR="00F84625" w:rsidRPr="00B03945">
        <w:rPr>
          <w:rFonts w:ascii="Thonburi" w:hAnsi="Thonburi"/>
          <w:color w:val="000000"/>
          <w:sz w:val="24"/>
          <w:szCs w:val="24"/>
        </w:rPr>
        <w:t xml:space="preserve">Cash </w:t>
      </w:r>
      <w:r w:rsidRPr="00B03945">
        <w:rPr>
          <w:rFonts w:ascii="Thonburi" w:hAnsi="Thonburi"/>
          <w:color w:val="000000"/>
          <w:sz w:val="24"/>
          <w:szCs w:val="24"/>
        </w:rPr>
        <w:t>payments to either Rob Chamber</w:t>
      </w:r>
      <w:r w:rsidR="00A03565" w:rsidRPr="00B03945">
        <w:rPr>
          <w:rFonts w:ascii="Thonburi" w:hAnsi="Thonburi"/>
          <w:color w:val="000000"/>
          <w:sz w:val="24"/>
          <w:szCs w:val="24"/>
        </w:rPr>
        <w:t>s</w:t>
      </w:r>
      <w:r w:rsidRPr="00B03945">
        <w:rPr>
          <w:rFonts w:ascii="Thonburi" w:hAnsi="Thonburi"/>
          <w:color w:val="000000"/>
          <w:sz w:val="24"/>
          <w:szCs w:val="24"/>
        </w:rPr>
        <w:t>, Adam M</w:t>
      </w:r>
      <w:r w:rsidR="00A03565" w:rsidRPr="00B03945">
        <w:rPr>
          <w:rFonts w:ascii="Thonburi" w:hAnsi="Thonburi"/>
          <w:color w:val="000000"/>
          <w:sz w:val="24"/>
          <w:szCs w:val="24"/>
        </w:rPr>
        <w:t>a</w:t>
      </w:r>
      <w:r w:rsidRPr="00B03945">
        <w:rPr>
          <w:rFonts w:ascii="Thonburi" w:hAnsi="Thonburi"/>
          <w:color w:val="000000"/>
          <w:sz w:val="24"/>
          <w:szCs w:val="24"/>
        </w:rPr>
        <w:t xml:space="preserve">yers </w:t>
      </w:r>
      <w:r w:rsidR="00EC6A6A" w:rsidRPr="00B03945">
        <w:rPr>
          <w:rFonts w:ascii="Thonburi" w:hAnsi="Thonburi"/>
          <w:color w:val="000000"/>
          <w:sz w:val="24"/>
          <w:szCs w:val="24"/>
        </w:rPr>
        <w:t>or</w:t>
      </w:r>
      <w:r w:rsidRPr="00B03945">
        <w:rPr>
          <w:rFonts w:ascii="Thonburi" w:hAnsi="Thonburi"/>
          <w:color w:val="000000"/>
          <w:sz w:val="24"/>
          <w:szCs w:val="24"/>
        </w:rPr>
        <w:t xml:space="preserve"> Clare Hinton.</w:t>
      </w:r>
      <w:r w:rsidR="00EC6A6A" w:rsidRPr="00B03945">
        <w:rPr>
          <w:rFonts w:ascii="Thonburi" w:hAnsi="Thonburi"/>
          <w:color w:val="000000"/>
          <w:sz w:val="24"/>
          <w:szCs w:val="24"/>
        </w:rPr>
        <w:t xml:space="preserve"> </w:t>
      </w:r>
      <w:r w:rsidR="00F84625" w:rsidRPr="00B03945">
        <w:rPr>
          <w:rFonts w:ascii="Thonburi" w:hAnsi="Thonburi"/>
          <w:color w:val="000000"/>
          <w:sz w:val="24"/>
          <w:szCs w:val="24"/>
        </w:rPr>
        <w:t xml:space="preserve"> </w:t>
      </w:r>
      <w:r w:rsidR="00C42121" w:rsidRPr="00B03945">
        <w:rPr>
          <w:rFonts w:ascii="Thonburi" w:hAnsi="Thonburi"/>
          <w:color w:val="000000"/>
          <w:sz w:val="24"/>
          <w:szCs w:val="24"/>
        </w:rPr>
        <w:t xml:space="preserve">Bank transfers </w:t>
      </w:r>
      <w:r w:rsidR="00F84625" w:rsidRPr="00B03945">
        <w:rPr>
          <w:rFonts w:ascii="Thonburi" w:hAnsi="Thonburi"/>
          <w:color w:val="000000"/>
          <w:sz w:val="24"/>
          <w:szCs w:val="24"/>
        </w:rPr>
        <w:t>to</w:t>
      </w:r>
      <w:r w:rsidR="00EF04D1" w:rsidRPr="00B03945">
        <w:rPr>
          <w:rFonts w:ascii="Thonburi" w:hAnsi="Thonburi"/>
          <w:color w:val="000000"/>
          <w:sz w:val="24"/>
          <w:szCs w:val="24"/>
        </w:rPr>
        <w:t xml:space="preserve"> Bramhall Queensgate TC</w:t>
      </w:r>
      <w:r w:rsidR="00C42121" w:rsidRPr="00B03945">
        <w:rPr>
          <w:rFonts w:ascii="Thonburi" w:hAnsi="Thonburi"/>
          <w:color w:val="000000"/>
          <w:sz w:val="24"/>
          <w:szCs w:val="24"/>
        </w:rPr>
        <w:t xml:space="preserve"> - Account No. </w:t>
      </w:r>
      <w:r w:rsidR="005D588C" w:rsidRPr="00B03945">
        <w:rPr>
          <w:rFonts w:ascii="Thonburi" w:hAnsi="Thonburi"/>
          <w:color w:val="000000"/>
          <w:sz w:val="24"/>
          <w:szCs w:val="24"/>
        </w:rPr>
        <w:t>31145517 - Sort Code</w:t>
      </w:r>
      <w:r w:rsidR="00EC1A75" w:rsidRPr="00B03945">
        <w:rPr>
          <w:rFonts w:ascii="Thonburi" w:hAnsi="Thonburi"/>
          <w:color w:val="000000"/>
          <w:sz w:val="24"/>
          <w:szCs w:val="24"/>
        </w:rPr>
        <w:t xml:space="preserve"> 40-13-33. </w:t>
      </w:r>
      <w:r w:rsidR="00A410C3" w:rsidRPr="00B03945">
        <w:rPr>
          <w:rFonts w:ascii="Thonburi" w:hAnsi="Thonburi"/>
          <w:color w:val="000000"/>
          <w:sz w:val="24"/>
          <w:szCs w:val="24"/>
        </w:rPr>
        <w:t xml:space="preserve"> </w:t>
      </w:r>
      <w:r w:rsidR="00A410C3" w:rsidRPr="00B03945">
        <w:rPr>
          <w:rFonts w:ascii="Thonburi" w:hAnsi="Thonburi"/>
          <w:b/>
          <w:bCs/>
          <w:color w:val="000000"/>
          <w:sz w:val="24"/>
          <w:szCs w:val="24"/>
        </w:rPr>
        <w:t>Entr</w:t>
      </w:r>
      <w:r w:rsidR="00AA27CC" w:rsidRPr="00B03945">
        <w:rPr>
          <w:rFonts w:ascii="Thonburi" w:hAnsi="Thonburi"/>
          <w:b/>
          <w:bCs/>
          <w:color w:val="000000"/>
          <w:sz w:val="24"/>
          <w:szCs w:val="24"/>
        </w:rPr>
        <w:t>y</w:t>
      </w:r>
      <w:r w:rsidR="00861F6C" w:rsidRPr="00B03945">
        <w:rPr>
          <w:rFonts w:ascii="Thonburi" w:hAnsi="Thonburi"/>
          <w:b/>
          <w:bCs/>
          <w:color w:val="000000"/>
          <w:sz w:val="24"/>
          <w:szCs w:val="24"/>
        </w:rPr>
        <w:t xml:space="preserve"> </w:t>
      </w:r>
      <w:r w:rsidR="004B51DB" w:rsidRPr="00B03945">
        <w:rPr>
          <w:rFonts w:ascii="Thonburi" w:hAnsi="Thonburi"/>
          <w:b/>
          <w:bCs/>
          <w:color w:val="000000"/>
          <w:sz w:val="24"/>
          <w:szCs w:val="24"/>
        </w:rPr>
        <w:t>deadline is Friday 13th September</w:t>
      </w:r>
      <w:r w:rsidR="004B51DB" w:rsidRPr="00B03945">
        <w:rPr>
          <w:rFonts w:ascii="Thonburi" w:hAnsi="Thonburi"/>
          <w:color w:val="000000"/>
          <w:sz w:val="24"/>
          <w:szCs w:val="24"/>
        </w:rPr>
        <w:t xml:space="preserve"> and </w:t>
      </w:r>
      <w:r w:rsidR="00861F6C" w:rsidRPr="00B03945">
        <w:rPr>
          <w:rFonts w:ascii="Thonburi" w:hAnsi="Thonburi"/>
          <w:color w:val="000000"/>
          <w:sz w:val="24"/>
          <w:szCs w:val="24"/>
        </w:rPr>
        <w:t>will only be accepted if fee</w:t>
      </w:r>
      <w:r w:rsidR="004B51DB" w:rsidRPr="00B03945">
        <w:rPr>
          <w:rFonts w:ascii="Thonburi" w:hAnsi="Thonburi"/>
          <w:color w:val="000000"/>
          <w:sz w:val="24"/>
          <w:szCs w:val="24"/>
        </w:rPr>
        <w:t xml:space="preserve"> has been paid</w:t>
      </w:r>
      <w:r w:rsidR="00861F6C" w:rsidRPr="00B03945">
        <w:rPr>
          <w:rFonts w:ascii="Thonburi" w:hAnsi="Thonburi"/>
          <w:color w:val="000000"/>
          <w:sz w:val="24"/>
          <w:szCs w:val="24"/>
        </w:rPr>
        <w:t>. Complete form below</w:t>
      </w:r>
      <w:r w:rsidR="00A0481D" w:rsidRPr="00B03945">
        <w:rPr>
          <w:rFonts w:ascii="Thonburi" w:hAnsi="Thonburi"/>
          <w:color w:val="000000"/>
          <w:sz w:val="24"/>
          <w:szCs w:val="24"/>
        </w:rPr>
        <w:t xml:space="preserve"> and</w:t>
      </w:r>
      <w:r w:rsidR="00861F6C" w:rsidRPr="00B03945">
        <w:rPr>
          <w:rFonts w:ascii="Thonburi" w:hAnsi="Thonburi"/>
          <w:color w:val="000000"/>
          <w:sz w:val="24"/>
          <w:szCs w:val="24"/>
        </w:rPr>
        <w:t xml:space="preserve"> post into tournament folder on noticeboard in the clubhouse. </w:t>
      </w:r>
      <w:r w:rsidR="004C6B45" w:rsidRPr="00B03945">
        <w:rPr>
          <w:rFonts w:ascii="Thonburi" w:hAnsi="Thonburi"/>
          <w:color w:val="000000"/>
          <w:sz w:val="24"/>
          <w:szCs w:val="24"/>
        </w:rPr>
        <w:t>Players m</w:t>
      </w:r>
      <w:r w:rsidR="0018570E" w:rsidRPr="00B03945">
        <w:rPr>
          <w:rFonts w:ascii="Thonburi" w:hAnsi="Thonburi"/>
          <w:color w:val="000000"/>
          <w:sz w:val="24"/>
          <w:szCs w:val="24"/>
        </w:rPr>
        <w:t xml:space="preserve">ust be ready to play </w:t>
      </w:r>
      <w:r w:rsidR="0033598A" w:rsidRPr="00B03945">
        <w:rPr>
          <w:rFonts w:ascii="Thonburi" w:hAnsi="Thonburi"/>
          <w:color w:val="000000"/>
          <w:sz w:val="24"/>
          <w:szCs w:val="24"/>
        </w:rPr>
        <w:t xml:space="preserve">from </w:t>
      </w:r>
      <w:r w:rsidR="00AC3804" w:rsidRPr="00B03945">
        <w:rPr>
          <w:rFonts w:ascii="Thonburi" w:hAnsi="Thonburi"/>
          <w:color w:val="000000"/>
          <w:sz w:val="24"/>
          <w:szCs w:val="24"/>
        </w:rPr>
        <w:t>Monday</w:t>
      </w:r>
      <w:r w:rsidR="0033598A" w:rsidRPr="00B03945">
        <w:rPr>
          <w:rFonts w:ascii="Thonburi" w:hAnsi="Thonburi"/>
          <w:color w:val="000000"/>
          <w:sz w:val="24"/>
          <w:szCs w:val="24"/>
        </w:rPr>
        <w:t xml:space="preserve"> 1</w:t>
      </w:r>
      <w:r w:rsidR="00A81EA2" w:rsidRPr="00B03945">
        <w:rPr>
          <w:rFonts w:ascii="Thonburi" w:hAnsi="Thonburi"/>
          <w:color w:val="000000"/>
          <w:sz w:val="24"/>
          <w:szCs w:val="24"/>
        </w:rPr>
        <w:t>6</w:t>
      </w:r>
      <w:r w:rsidR="0033598A" w:rsidRPr="00B03945">
        <w:rPr>
          <w:rFonts w:ascii="Thonburi" w:hAnsi="Thonburi"/>
          <w:color w:val="000000"/>
          <w:sz w:val="24"/>
          <w:szCs w:val="24"/>
        </w:rPr>
        <w:t>th</w:t>
      </w:r>
      <w:r w:rsidR="004C6B45" w:rsidRPr="00B03945">
        <w:rPr>
          <w:rFonts w:ascii="Thonburi" w:hAnsi="Thonburi"/>
          <w:color w:val="000000"/>
          <w:sz w:val="24"/>
          <w:szCs w:val="24"/>
        </w:rPr>
        <w:t xml:space="preserve"> September</w:t>
      </w:r>
      <w:r w:rsidR="002652F6" w:rsidRPr="00B03945">
        <w:rPr>
          <w:rFonts w:ascii="Thonburi" w:hAnsi="Thonburi"/>
          <w:color w:val="000000"/>
          <w:sz w:val="24"/>
          <w:szCs w:val="24"/>
        </w:rPr>
        <w:t xml:space="preserve"> onwards and on finals day (</w:t>
      </w:r>
      <w:r w:rsidR="00AC3804" w:rsidRPr="00B03945">
        <w:rPr>
          <w:rFonts w:ascii="Thonburi" w:hAnsi="Thonburi"/>
          <w:color w:val="000000"/>
          <w:sz w:val="24"/>
          <w:szCs w:val="24"/>
        </w:rPr>
        <w:t xml:space="preserve">Sunday </w:t>
      </w:r>
      <w:r w:rsidR="00A81EA2" w:rsidRPr="00B03945">
        <w:rPr>
          <w:rFonts w:ascii="Thonburi" w:hAnsi="Thonburi"/>
          <w:color w:val="000000"/>
          <w:sz w:val="24"/>
          <w:szCs w:val="24"/>
        </w:rPr>
        <w:t>6</w:t>
      </w:r>
      <w:r w:rsidR="002652F6" w:rsidRPr="00B03945">
        <w:rPr>
          <w:rFonts w:ascii="Thonburi" w:hAnsi="Thonburi"/>
          <w:color w:val="000000"/>
          <w:sz w:val="24"/>
          <w:szCs w:val="24"/>
          <w:vertAlign w:val="superscript"/>
        </w:rPr>
        <w:t>th</w:t>
      </w:r>
      <w:r w:rsidR="002652F6" w:rsidRPr="00B03945">
        <w:rPr>
          <w:rFonts w:ascii="Thonburi" w:hAnsi="Thonburi"/>
          <w:color w:val="000000"/>
          <w:sz w:val="24"/>
          <w:szCs w:val="24"/>
        </w:rPr>
        <w:t xml:space="preserve"> October</w:t>
      </w:r>
      <w:r w:rsidR="004C6B45" w:rsidRPr="00B03945">
        <w:rPr>
          <w:rFonts w:ascii="Thonburi" w:hAnsi="Thonburi"/>
          <w:color w:val="000000"/>
          <w:sz w:val="24"/>
          <w:szCs w:val="24"/>
        </w:rPr>
        <w:t>) during which ALL finals will be played.</w:t>
      </w:r>
      <w:r w:rsidR="00AC3804" w:rsidRPr="00B03945">
        <w:rPr>
          <w:rFonts w:ascii="Thonburi" w:hAnsi="Thonburi"/>
          <w:color w:val="000000"/>
          <w:sz w:val="24"/>
          <w:szCs w:val="24"/>
        </w:rPr>
        <w:t xml:space="preserve"> Last year's </w:t>
      </w:r>
      <w:r w:rsidR="007D5949" w:rsidRPr="00B03945">
        <w:rPr>
          <w:rFonts w:ascii="Thonburi" w:hAnsi="Thonburi"/>
          <w:color w:val="000000"/>
          <w:sz w:val="24"/>
          <w:szCs w:val="24"/>
        </w:rPr>
        <w:t>tournament</w:t>
      </w:r>
      <w:r w:rsidR="00AC3804" w:rsidRPr="00B03945">
        <w:rPr>
          <w:rFonts w:ascii="Thonburi" w:hAnsi="Thonburi"/>
          <w:color w:val="000000"/>
          <w:sz w:val="24"/>
          <w:szCs w:val="24"/>
        </w:rPr>
        <w:t xml:space="preserve"> results </w:t>
      </w:r>
      <w:r w:rsidR="004C6B45" w:rsidRPr="00B03945">
        <w:rPr>
          <w:rFonts w:ascii="Thonburi" w:hAnsi="Thonburi"/>
          <w:color w:val="000000"/>
          <w:sz w:val="24"/>
          <w:szCs w:val="24"/>
        </w:rPr>
        <w:t>will be taken into consideration when seeding the events</w:t>
      </w:r>
      <w:r w:rsidR="00AC3804" w:rsidRPr="00B03945">
        <w:rPr>
          <w:rFonts w:ascii="Thonburi" w:hAnsi="Thonburi"/>
          <w:color w:val="000000"/>
          <w:sz w:val="24"/>
          <w:szCs w:val="24"/>
        </w:rPr>
        <w:t>.</w:t>
      </w:r>
    </w:p>
    <w:p w14:paraId="35BDB803" w14:textId="77777777" w:rsidR="00B03945" w:rsidRPr="00B03945" w:rsidRDefault="00B03945" w:rsidP="00B03945">
      <w:pPr>
        <w:pStyle w:val="Bullet"/>
        <w:rPr>
          <w:rFonts w:ascii="Thonburi" w:hAnsi="Thonburi"/>
          <w:color w:val="000000"/>
          <w:sz w:val="24"/>
          <w:szCs w:val="24"/>
        </w:rPr>
      </w:pPr>
    </w:p>
    <w:p w14:paraId="25402534" w14:textId="016DCE65" w:rsidR="009A2478" w:rsidRPr="00DA2A36" w:rsidRDefault="009A2478" w:rsidP="009A2478">
      <w:pPr>
        <w:pStyle w:val="Bullet"/>
        <w:rPr>
          <w:rFonts w:ascii="Calibri" w:eastAsia="Thonburi" w:hAnsi="Calibri" w:cs="Calibri"/>
          <w:b/>
          <w:bCs/>
          <w:color w:val="000000"/>
          <w:sz w:val="26"/>
          <w:szCs w:val="26"/>
        </w:rPr>
      </w:pPr>
      <w:r w:rsidRPr="00DA2A36">
        <w:rPr>
          <w:rFonts w:ascii="Calibri" w:hAnsi="Calibri" w:cs="Calibri"/>
          <w:b/>
          <w:bCs/>
          <w:color w:val="000000"/>
          <w:sz w:val="30"/>
          <w:szCs w:val="30"/>
        </w:rPr>
        <w:t>NAME ……………………………………………………</w:t>
      </w:r>
    </w:p>
    <w:tbl>
      <w:tblPr>
        <w:tblW w:w="10195" w:type="dxa"/>
        <w:jc w:val="center"/>
        <w:tblBorders>
          <w:top w:val="dotted" w:sz="8" w:space="0" w:color="6A6459"/>
          <w:left w:val="dotted" w:sz="8" w:space="0" w:color="6A6459"/>
          <w:bottom w:val="dotted" w:sz="8" w:space="0" w:color="6A6459"/>
          <w:right w:val="dotted" w:sz="8" w:space="0" w:color="6A6459"/>
          <w:insideH w:val="single" w:sz="24" w:space="0" w:color="6A6459"/>
          <w:insideV w:val="single" w:sz="24" w:space="0" w:color="6A6459"/>
        </w:tblBorders>
        <w:shd w:val="clear" w:color="auto" w:fill="F6F3E6"/>
        <w:tblLayout w:type="fixed"/>
        <w:tblLook w:val="04A0" w:firstRow="1" w:lastRow="0" w:firstColumn="1" w:lastColumn="0" w:noHBand="0" w:noVBand="1"/>
      </w:tblPr>
      <w:tblGrid>
        <w:gridCol w:w="3458"/>
        <w:gridCol w:w="1729"/>
        <w:gridCol w:w="5008"/>
      </w:tblGrid>
      <w:tr w:rsidR="002E1947" w:rsidRPr="00DA2A36" w14:paraId="4F688A3F" w14:textId="77777777" w:rsidTr="00B03945">
        <w:trPr>
          <w:trHeight w:val="412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12" w:space="0" w:color="3B6680" w:themeColor="accen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856D" w14:textId="77777777" w:rsidR="002E1947" w:rsidRPr="00DA2A36" w:rsidRDefault="004C6B45">
            <w:pPr>
              <w:spacing w:after="200"/>
              <w:jc w:val="center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EVENT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3B6680" w:themeColor="accen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9C3C" w14:textId="77777777" w:rsidR="002E1947" w:rsidRPr="00DA2A36" w:rsidRDefault="004C6B45">
            <w:pPr>
              <w:spacing w:after="200"/>
              <w:jc w:val="center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TICK</w:t>
            </w: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B8A62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</w:tr>
      <w:tr w:rsidR="002E1947" w:rsidRPr="00DA2A36" w14:paraId="5813CC3A" w14:textId="77777777" w:rsidTr="00B03945">
        <w:trPr>
          <w:trHeight w:val="392"/>
          <w:jc w:val="center"/>
        </w:trPr>
        <w:tc>
          <w:tcPr>
            <w:tcW w:w="3458" w:type="dxa"/>
            <w:tcBorders>
              <w:top w:val="single" w:sz="12" w:space="0" w:color="3B6680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7903" w14:textId="696F87CE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Men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 Singles</w:t>
            </w:r>
          </w:p>
        </w:tc>
        <w:tc>
          <w:tcPr>
            <w:tcW w:w="1729" w:type="dxa"/>
            <w:tcBorders>
              <w:top w:val="single" w:sz="12" w:space="0" w:color="3B6680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5808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vMerge/>
            <w:tcBorders>
              <w:top w:val="dotted" w:sz="0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0E3D1323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</w:tr>
      <w:tr w:rsidR="002E1947" w:rsidRPr="00DA2A36" w14:paraId="60D9CBDD" w14:textId="77777777" w:rsidTr="00B03945">
        <w:trPr>
          <w:trHeight w:val="392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B4D9" w14:textId="13A3587F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Ladies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Singles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B244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vMerge/>
            <w:tcBorders>
              <w:top w:val="dotted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8E7B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</w:tr>
      <w:tr w:rsidR="002E1947" w:rsidRPr="00DA2A36" w14:paraId="0C096938" w14:textId="77777777" w:rsidTr="00B03945">
        <w:trPr>
          <w:trHeight w:val="393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CC8E" w14:textId="5C7524F3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Men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 Doubles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3350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41BA" w14:textId="77777777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Partner:</w:t>
            </w:r>
          </w:p>
        </w:tc>
      </w:tr>
      <w:tr w:rsidR="002E1947" w:rsidRPr="00DA2A36" w14:paraId="15A3E372" w14:textId="77777777" w:rsidTr="00B03945">
        <w:trPr>
          <w:trHeight w:val="393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4B81" w14:textId="74FD50E4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Ladies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Doubles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7C9D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6A54" w14:textId="11E75F45" w:rsidR="002E1947" w:rsidRPr="00DA2A36" w:rsidRDefault="003F7E4E" w:rsidP="007F692F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All ladies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names will be put in a hat and partners drawn</w:t>
            </w:r>
          </w:p>
        </w:tc>
      </w:tr>
      <w:tr w:rsidR="002E1947" w:rsidRPr="00DA2A36" w14:paraId="1B885D90" w14:textId="77777777" w:rsidTr="00B03945">
        <w:trPr>
          <w:trHeight w:val="393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5877" w14:textId="77777777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Mixed Doubles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B515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B707" w14:textId="77777777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Partner:</w:t>
            </w:r>
          </w:p>
        </w:tc>
      </w:tr>
      <w:tr w:rsidR="002E1947" w:rsidRPr="00DA2A36" w14:paraId="350F55E3" w14:textId="77777777" w:rsidTr="00B03945">
        <w:trPr>
          <w:trHeight w:val="412"/>
          <w:jc w:val="center"/>
        </w:trPr>
        <w:tc>
          <w:tcPr>
            <w:tcW w:w="34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24DE" w14:textId="21576EC8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45 &amp; O Men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 Singles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4465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B82D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</w:tr>
      <w:tr w:rsidR="002E1947" w:rsidRPr="00DA2A36" w14:paraId="2F8AEB5F" w14:textId="77777777" w:rsidTr="00B03945">
        <w:trPr>
          <w:trHeight w:val="412"/>
          <w:jc w:val="center"/>
        </w:trPr>
        <w:tc>
          <w:tcPr>
            <w:tcW w:w="345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C081" w14:textId="7491F950" w:rsidR="002E1947" w:rsidRPr="00DA2A36" w:rsidRDefault="004C6B45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45 &amp; O Ladies</w:t>
            </w:r>
            <w:r w:rsidR="00AC3804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’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Singles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E2F0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F55E" w14:textId="77777777" w:rsidR="002E1947" w:rsidRPr="00DA2A36" w:rsidRDefault="002E1947">
            <w:pPr>
              <w:rPr>
                <w:rFonts w:ascii="Calibri" w:hAnsi="Calibri" w:cs="Calibri"/>
              </w:rPr>
            </w:pPr>
          </w:p>
        </w:tc>
      </w:tr>
      <w:tr w:rsidR="009A2478" w:rsidRPr="00DA2A36" w14:paraId="0A434345" w14:textId="77777777" w:rsidTr="00B03945">
        <w:trPr>
          <w:trHeight w:val="412"/>
          <w:jc w:val="center"/>
        </w:trPr>
        <w:tc>
          <w:tcPr>
            <w:tcW w:w="345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FB9C" w14:textId="46DDA58A" w:rsidR="009A2478" w:rsidRPr="00DA2A36" w:rsidRDefault="00AC3804" w:rsidP="007F692F">
            <w:pPr>
              <w:spacing w:after="20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Social</w:t>
            </w:r>
            <w:r w:rsidR="009A2478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Doubles</w:t>
            </w:r>
            <w:r w:rsidR="007F692F"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– enter with or without a partner</w:t>
            </w:r>
          </w:p>
        </w:tc>
        <w:tc>
          <w:tcPr>
            <w:tcW w:w="1729" w:type="dxa"/>
            <w:tcBorders>
              <w:top w:val="dotted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720E" w14:textId="77777777" w:rsidR="009A2478" w:rsidRPr="00DA2A36" w:rsidRDefault="009A2478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5AC6" w14:textId="3A00B03F" w:rsidR="009A2478" w:rsidRPr="00DA2A36" w:rsidRDefault="009A2478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Partner:</w:t>
            </w:r>
          </w:p>
          <w:p w14:paraId="477643DE" w14:textId="189B7742" w:rsidR="00DA6224" w:rsidRPr="00DA2A36" w:rsidRDefault="00DA6224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or</w:t>
            </w:r>
          </w:p>
          <w:p w14:paraId="2CBC6831" w14:textId="014BC693" w:rsidR="00AD09F0" w:rsidRPr="00DA2A36" w:rsidRDefault="00DA6224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No </w:t>
            </w:r>
            <w:r w:rsidR="0047053A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</w:t>
            </w:r>
            <w:r w:rsidRPr="00DA2A36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artner – name will be put in a hat and partners drawn</w:t>
            </w:r>
          </w:p>
          <w:p w14:paraId="0DDA4986" w14:textId="73F0D076" w:rsidR="007F692F" w:rsidRPr="00DA2A36" w:rsidRDefault="007F692F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5D4E39" w:rsidRPr="00DA2A36" w14:paraId="36C8FB65" w14:textId="77777777" w:rsidTr="00B03945">
        <w:trPr>
          <w:trHeight w:val="1804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902F" w14:textId="77777777" w:rsidR="005D4E39" w:rsidRPr="00DA2A36" w:rsidRDefault="005D4E39" w:rsidP="005D4E39">
            <w:pPr>
              <w:spacing w:after="20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No# Of Events Entered:</w:t>
            </w:r>
          </w:p>
          <w:p w14:paraId="02E2F04E" w14:textId="2B442A96" w:rsidR="005D4E39" w:rsidRPr="00DA2A36" w:rsidRDefault="005D4E39" w:rsidP="005D4E39">
            <w:pPr>
              <w:spacing w:after="200"/>
              <w:rPr>
                <w:rFonts w:ascii="Calibri" w:eastAsia="Thonburi" w:hAnsi="Calibri" w:cs="Calibri"/>
                <w:b/>
                <w:bCs/>
                <w:color w:val="000000"/>
                <w:sz w:val="28"/>
                <w:szCs w:val="28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……………..</w:t>
            </w:r>
          </w:p>
          <w:p w14:paraId="4B7841A1" w14:textId="5FF092FF" w:rsidR="005D4E39" w:rsidRPr="00DA2A36" w:rsidRDefault="005D4E39">
            <w:pPr>
              <w:spacing w:after="200"/>
              <w:rPr>
                <w:rFonts w:ascii="Calibri" w:hAnsi="Calibri" w:cs="Calibri"/>
              </w:rPr>
            </w:pPr>
            <w:r w:rsidRPr="00DA2A3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 Fee Enclosed:     £……………</w:t>
            </w:r>
            <w:proofErr w:type="gramStart"/>
            <w:r w:rsidRPr="00DA2A3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A137" w14:textId="77777777" w:rsidR="005D4E39" w:rsidRPr="00DA2A36" w:rsidRDefault="005D4E39">
            <w:pPr>
              <w:rPr>
                <w:rFonts w:ascii="Calibri" w:hAnsi="Calibri" w:cs="Calibri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B21D" w14:textId="43AA5F70" w:rsidR="005D4E39" w:rsidRPr="00DA2A36" w:rsidRDefault="005D4E39">
            <w:pPr>
              <w:spacing w:after="200"/>
              <w:rPr>
                <w:rFonts w:ascii="Calibri" w:hAnsi="Calibri" w:cs="Calibri"/>
              </w:rPr>
            </w:pPr>
          </w:p>
        </w:tc>
      </w:tr>
      <w:tr w:rsidR="005D4E39" w14:paraId="4AF9AA06" w14:textId="77777777" w:rsidTr="00B03945">
        <w:trPr>
          <w:trHeight w:val="412"/>
          <w:jc w:val="center"/>
        </w:trPr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8484" w14:textId="4BEFB652" w:rsidR="005D4E39" w:rsidRDefault="005D4E39">
            <w:pPr>
              <w:spacing w:after="200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907A" w14:textId="77777777" w:rsidR="005D4E39" w:rsidRDefault="005D4E39"/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479A" w14:textId="7BCAD7F8" w:rsidR="005D4E39" w:rsidRDefault="005D4E39">
            <w:pPr>
              <w:spacing w:after="200"/>
            </w:pPr>
          </w:p>
        </w:tc>
      </w:tr>
    </w:tbl>
    <w:p w14:paraId="76FD9635" w14:textId="77777777" w:rsidR="002E1947" w:rsidRDefault="002E1947" w:rsidP="00B03945">
      <w:pPr>
        <w:pStyle w:val="Bullet"/>
      </w:pPr>
    </w:p>
    <w:sectPr w:rsidR="002E1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09" w:bottom="0" w:left="709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DBC4" w14:textId="77777777" w:rsidR="00A46C5B" w:rsidRDefault="00A46C5B">
      <w:r>
        <w:separator/>
      </w:r>
    </w:p>
  </w:endnote>
  <w:endnote w:type="continuationSeparator" w:id="0">
    <w:p w14:paraId="7BEDFF89" w14:textId="77777777" w:rsidR="00A46C5B" w:rsidRDefault="00A4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honburi">
    <w:altName w:val="Calibri"/>
    <w:charset w:val="59"/>
    <w:family w:val="auto"/>
    <w:pitch w:val="variable"/>
    <w:sig w:usb0="01000201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9A4A" w14:textId="77777777" w:rsidR="007F19E6" w:rsidRDefault="007F1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B9F8" w14:textId="77777777" w:rsidR="002E1947" w:rsidRDefault="002E19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A446" w14:textId="77777777" w:rsidR="007F19E6" w:rsidRDefault="007F1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74DD" w14:textId="77777777" w:rsidR="00A46C5B" w:rsidRDefault="00A46C5B">
      <w:r>
        <w:separator/>
      </w:r>
    </w:p>
  </w:footnote>
  <w:footnote w:type="continuationSeparator" w:id="0">
    <w:p w14:paraId="7DF8BCE1" w14:textId="77777777" w:rsidR="00A46C5B" w:rsidRDefault="00A4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FA71B" w14:textId="77777777" w:rsidR="007F19E6" w:rsidRDefault="007F1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106F" w14:textId="77777777" w:rsidR="002E1947" w:rsidRDefault="002E19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D8B9" w14:textId="77777777" w:rsidR="007F19E6" w:rsidRDefault="007F1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47"/>
    <w:rsid w:val="000767F8"/>
    <w:rsid w:val="0018570E"/>
    <w:rsid w:val="001B0A4E"/>
    <w:rsid w:val="002652F6"/>
    <w:rsid w:val="002D71E7"/>
    <w:rsid w:val="002E1947"/>
    <w:rsid w:val="002E3273"/>
    <w:rsid w:val="0033598A"/>
    <w:rsid w:val="003A63DF"/>
    <w:rsid w:val="003D5008"/>
    <w:rsid w:val="003E656D"/>
    <w:rsid w:val="003F7E4E"/>
    <w:rsid w:val="0047053A"/>
    <w:rsid w:val="004B51DB"/>
    <w:rsid w:val="004C6B45"/>
    <w:rsid w:val="005C3610"/>
    <w:rsid w:val="005D4E39"/>
    <w:rsid w:val="005D588C"/>
    <w:rsid w:val="00623875"/>
    <w:rsid w:val="00683BD0"/>
    <w:rsid w:val="006B7468"/>
    <w:rsid w:val="007B6A65"/>
    <w:rsid w:val="007D1839"/>
    <w:rsid w:val="007D5949"/>
    <w:rsid w:val="007F19E6"/>
    <w:rsid w:val="007F692F"/>
    <w:rsid w:val="00861F6C"/>
    <w:rsid w:val="009A2478"/>
    <w:rsid w:val="00A03565"/>
    <w:rsid w:val="00A0481D"/>
    <w:rsid w:val="00A410C3"/>
    <w:rsid w:val="00A46C5B"/>
    <w:rsid w:val="00A81EA2"/>
    <w:rsid w:val="00AA27CC"/>
    <w:rsid w:val="00AC3804"/>
    <w:rsid w:val="00AD09F0"/>
    <w:rsid w:val="00B03945"/>
    <w:rsid w:val="00BA7B6E"/>
    <w:rsid w:val="00C42121"/>
    <w:rsid w:val="00CA0343"/>
    <w:rsid w:val="00CF2F3F"/>
    <w:rsid w:val="00D54470"/>
    <w:rsid w:val="00DA2A36"/>
    <w:rsid w:val="00DA6224"/>
    <w:rsid w:val="00DF19F5"/>
    <w:rsid w:val="00DF34F2"/>
    <w:rsid w:val="00E11981"/>
    <w:rsid w:val="00E872E2"/>
    <w:rsid w:val="00EC1A75"/>
    <w:rsid w:val="00EC6A6A"/>
    <w:rsid w:val="00EF04D1"/>
    <w:rsid w:val="00F1112F"/>
    <w:rsid w:val="00F61C1A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99B0EF"/>
  <w15:docId w15:val="{0CFCA4EC-5C88-4BBD-933E-B5AB4D9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ullet">
    <w:name w:val="Bullet"/>
    <w:pPr>
      <w:spacing w:before="140" w:after="80" w:line="288" w:lineRule="auto"/>
    </w:pPr>
    <w:rPr>
      <w:rFonts w:ascii="Baskerville" w:hAnsi="Baskerville" w:cs="Arial Unicode MS"/>
      <w:color w:val="413116"/>
      <w:sz w:val="28"/>
      <w:szCs w:val="28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 w:val="0"/>
      <w:bCs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E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1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E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lyer">
  <a:themeElements>
    <a:clrScheme name="Flyer">
      <a:dk1>
        <a:srgbClr val="000000"/>
      </a:dk1>
      <a:lt1>
        <a:srgbClr val="FFFFFF"/>
      </a:lt1>
      <a:dk2>
        <a:srgbClr val="383333"/>
      </a:dk2>
      <a:lt2>
        <a:srgbClr val="C7BFAD"/>
      </a:lt2>
      <a:accent1>
        <a:srgbClr val="3B6680"/>
      </a:accent1>
      <a:accent2>
        <a:srgbClr val="819981"/>
      </a:accent2>
      <a:accent3>
        <a:srgbClr val="C7BFAD"/>
      </a:accent3>
      <a:accent4>
        <a:srgbClr val="A04A1F"/>
      </a:accent4>
      <a:accent5>
        <a:srgbClr val="A40800"/>
      </a:accent5>
      <a:accent6>
        <a:srgbClr val="41396E"/>
      </a:accent6>
      <a:hlink>
        <a:srgbClr val="0000FF"/>
      </a:hlink>
      <a:folHlink>
        <a:srgbClr val="FF00FF"/>
      </a:folHlink>
    </a:clrScheme>
    <a:fontScheme name="Flyer">
      <a:majorFont>
        <a:latin typeface="Baskerville"/>
        <a:ea typeface="Baskerville"/>
        <a:cs typeface="Baskerville"/>
      </a:majorFont>
      <a:minorFont>
        <a:latin typeface="Baskerville"/>
        <a:ea typeface="Baskerville"/>
        <a:cs typeface="Baskerville"/>
      </a:minorFont>
    </a:fontScheme>
    <a:fmtScheme name="Fly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25400" dist="25400" dir="5280000" rotWithShape="0">
              <a:srgbClr val="000000">
                <a:alpha val="3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257689"/>
            <a:satOff val="1400"/>
            <a:lumOff val="-2709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Baskerville SemiBold"/>
            <a:ea typeface="Baskerville SemiBold"/>
            <a:cs typeface="Baskerville SemiBold"/>
            <a:sym typeface="Baskerville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5D6E5D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chemeClr val="accent3">
                <a:hueOff val="-216549"/>
                <a:satOff val="30270"/>
                <a:lumOff val="-55748"/>
              </a:schemeClr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BF5CD-E2EB-4044-AA89-CAAA0646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Staffordrs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Hinton</dc:creator>
  <cp:lastModifiedBy>Clare Hinton</cp:lastModifiedBy>
  <cp:revision>2</cp:revision>
  <cp:lastPrinted>2018-08-21T08:14:00Z</cp:lastPrinted>
  <dcterms:created xsi:type="dcterms:W3CDTF">2019-09-08T19:01:00Z</dcterms:created>
  <dcterms:modified xsi:type="dcterms:W3CDTF">2019-09-08T19:01:00Z</dcterms:modified>
</cp:coreProperties>
</file>