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10139" w:type="dxa"/>
        <w:tblInd w:w="0" w:type="dxa"/>
        <w:tblLayout w:type="fixed"/>
        <w:tblCellMar>
          <w:top w:w="0" w:type="dxa"/>
          <w:left w:w="108" w:type="dxa"/>
          <w:bottom w:w="0" w:type="dxa"/>
          <w:right w:w="108" w:type="dxa"/>
        </w:tblCellMar>
      </w:tblPr>
      <w:tblGrid>
        <w:gridCol w:w="10139"/>
      </w:tblGrid>
      <w:tr>
        <w:tblPrEx>
          <w:tblCellMar>
            <w:top w:w="0" w:type="dxa"/>
            <w:left w:w="108" w:type="dxa"/>
            <w:bottom w:w="0" w:type="dxa"/>
            <w:right w:w="108" w:type="dxa"/>
          </w:tblCellMar>
        </w:tblPrEx>
        <w:tc>
          <w:tcPr>
            <w:tcW w:w="10139" w:type="dxa"/>
            <w:shd w:val="clear" w:color="auto" w:fill="auto"/>
          </w:tcPr>
          <w:p>
            <w:pPr>
              <w:jc w:val="left"/>
              <w:rPr>
                <w:b/>
                <w:sz w:val="22"/>
                <w:szCs w:val="22"/>
              </w:rPr>
            </w:pPr>
            <w:bookmarkStart w:id="0" w:name="_Hlk78019218"/>
            <w:r>
              <w:rPr>
                <w:b/>
                <w:sz w:val="22"/>
                <w:szCs w:val="22"/>
              </w:rPr>
              <w:t>SECTION 1 Product and company identification</w:t>
            </w:r>
          </w:p>
          <w:p>
            <w:pPr>
              <w:ind w:left="110" w:hanging="110" w:hangingChars="50"/>
              <w:jc w:val="center"/>
              <w:rPr>
                <w:b/>
                <w:sz w:val="22"/>
                <w:szCs w:val="22"/>
              </w:rPr>
            </w:pPr>
          </w:p>
          <w:p>
            <w:pPr>
              <w:ind w:left="110" w:hanging="110" w:hangingChars="50"/>
              <w:rPr>
                <w:rFonts w:hint="eastAsia" w:ascii="Arial" w:hAnsi="Arial" w:eastAsia="黑体" w:cs="Arial"/>
                <w:szCs w:val="21"/>
              </w:rPr>
            </w:pPr>
            <w:r>
              <w:rPr>
                <w:sz w:val="22"/>
                <w:szCs w:val="22"/>
              </w:rPr>
              <w:t xml:space="preserve">Product name: </w:t>
            </w:r>
            <w:r>
              <w:rPr>
                <w:rFonts w:hint="eastAsia"/>
                <w:sz w:val="22"/>
                <w:szCs w:val="22"/>
              </w:rPr>
              <w:t>MAX-3P100 White Pearl</w:t>
            </w:r>
          </w:p>
          <w:p>
            <w:pPr>
              <w:ind w:left="110" w:hanging="110" w:hangingChars="50"/>
              <w:rPr>
                <w:sz w:val="22"/>
                <w:szCs w:val="22"/>
              </w:rPr>
            </w:pPr>
            <w:r>
              <w:rPr>
                <w:sz w:val="22"/>
                <w:szCs w:val="22"/>
              </w:rPr>
              <w:t>Manufacturer: YATU Advanced Materials Co., LTD.</w:t>
            </w:r>
          </w:p>
          <w:p>
            <w:pPr>
              <w:ind w:left="110" w:hanging="110" w:hangingChars="50"/>
              <w:rPr>
                <w:sz w:val="22"/>
                <w:szCs w:val="22"/>
              </w:rPr>
            </w:pPr>
            <w:r>
              <w:rPr>
                <w:sz w:val="22"/>
                <w:szCs w:val="22"/>
              </w:rPr>
              <w:t>Address: Sanlian Industrial Area 2, Gulao, Heshan, Guangdong, China</w:t>
            </w:r>
          </w:p>
          <w:p>
            <w:pPr>
              <w:ind w:left="110" w:hanging="110" w:hangingChars="50"/>
              <w:rPr>
                <w:sz w:val="22"/>
                <w:szCs w:val="22"/>
              </w:rPr>
            </w:pPr>
            <w:r>
              <w:rPr>
                <w:sz w:val="22"/>
                <w:szCs w:val="22"/>
              </w:rPr>
              <w:t>Tel: 0750-8778888                      Fax: 0750-8773326</w:t>
            </w:r>
          </w:p>
          <w:p>
            <w:pPr>
              <w:ind w:left="110" w:hanging="110" w:hangingChars="50"/>
              <w:rPr>
                <w:sz w:val="22"/>
                <w:szCs w:val="22"/>
              </w:rPr>
            </w:pPr>
            <w:r>
              <w:rPr>
                <w:sz w:val="22"/>
                <w:szCs w:val="22"/>
              </w:rPr>
              <w:t xml:space="preserve">E-mail: </w:t>
            </w:r>
            <w:r>
              <w:fldChar w:fldCharType="begin"/>
            </w:r>
            <w:r>
              <w:instrText xml:space="preserve"> HYPERLINK "mailto:yatu@yatupaint.com" </w:instrText>
            </w:r>
            <w:r>
              <w:fldChar w:fldCharType="separate"/>
            </w:r>
            <w:r>
              <w:rPr>
                <w:rStyle w:val="8"/>
                <w:rFonts w:hint="eastAsia"/>
                <w:sz w:val="22"/>
                <w:szCs w:val="22"/>
                <w:lang w:val="en-US" w:eastAsia="zh-CN"/>
              </w:rPr>
              <w:t>info</w:t>
            </w:r>
            <w:r>
              <w:rPr>
                <w:rStyle w:val="8"/>
                <w:sz w:val="22"/>
                <w:szCs w:val="22"/>
              </w:rPr>
              <w:t>@yatupaint.c</w:t>
            </w:r>
            <w:r>
              <w:rPr>
                <w:rStyle w:val="8"/>
                <w:rFonts w:hint="eastAsia"/>
                <w:sz w:val="22"/>
                <w:szCs w:val="22"/>
              </w:rPr>
              <w:t>n</w:t>
            </w:r>
            <w:r>
              <w:rPr>
                <w:rStyle w:val="8"/>
                <w:rFonts w:hint="eastAsia"/>
                <w:sz w:val="22"/>
                <w:szCs w:val="22"/>
              </w:rPr>
              <w:fldChar w:fldCharType="end"/>
            </w:r>
            <w:r>
              <w:rPr>
                <w:rStyle w:val="8"/>
                <w:sz w:val="22"/>
                <w:szCs w:val="22"/>
                <w:u w:val="none"/>
              </w:rPr>
              <w:t xml:space="preserve">                </w:t>
            </w:r>
            <w:r>
              <w:rPr>
                <w:sz w:val="22"/>
                <w:szCs w:val="22"/>
              </w:rPr>
              <w:t xml:space="preserve">Postcode: 529738   </w:t>
            </w:r>
          </w:p>
          <w:p>
            <w:pPr>
              <w:rPr>
                <w:sz w:val="22"/>
                <w:szCs w:val="22"/>
              </w:rPr>
            </w:pPr>
            <w:r>
              <w:rPr>
                <w:sz w:val="22"/>
                <w:szCs w:val="22"/>
              </w:rPr>
              <w:t>Enterprise Emergency contact number: 0750-8773397</w:t>
            </w:r>
          </w:p>
          <w:p>
            <w:pPr>
              <w:ind w:left="110" w:hanging="110" w:hangingChars="50"/>
              <w:rPr>
                <w:sz w:val="22"/>
                <w:szCs w:val="22"/>
              </w:rPr>
            </w:pPr>
            <w:r>
              <w:rPr>
                <w:sz w:val="22"/>
                <w:szCs w:val="22"/>
              </w:rPr>
              <w:t>National Emergency contact number: 0532-83889090</w:t>
            </w:r>
          </w:p>
          <w:p>
            <w:pPr>
              <w:ind w:left="110" w:hanging="110" w:hangingChars="50"/>
              <w:rPr>
                <w:sz w:val="22"/>
                <w:szCs w:val="22"/>
              </w:rPr>
            </w:pPr>
            <w:r>
              <w:rPr>
                <w:sz w:val="22"/>
                <w:szCs w:val="22"/>
              </w:rPr>
              <w:t xml:space="preserve">Product usage: Topcoat for automotive refinishing. Professional use only. </w:t>
            </w:r>
          </w:p>
          <w:p>
            <w:pPr>
              <w:pBdr>
                <w:top w:val="none" w:color="auto" w:sz="0" w:space="1"/>
                <w:left w:val="none" w:color="auto" w:sz="0" w:space="4"/>
                <w:bottom w:val="none" w:color="auto" w:sz="0" w:space="1"/>
                <w:right w:val="none" w:color="auto" w:sz="0" w:space="4"/>
              </w:pBdr>
              <w:rPr>
                <w:rFonts w:eastAsia="黑体"/>
                <w:b/>
                <w:bCs/>
                <w:sz w:val="22"/>
                <w:szCs w:val="22"/>
              </w:rPr>
            </w:pPr>
          </w:p>
        </w:tc>
      </w:tr>
    </w:tbl>
    <w:p>
      <w:pPr>
        <w:ind w:left="110" w:hanging="110" w:hangingChars="50"/>
        <w:jc w:val="left"/>
        <w:rPr>
          <w:b/>
          <w:sz w:val="22"/>
          <w:szCs w:val="22"/>
        </w:rPr>
      </w:pPr>
      <w:r>
        <w:rPr>
          <w:b/>
          <w:sz w:val="22"/>
          <w:szCs w:val="22"/>
        </w:rPr>
        <w:t>SECTION 2 Hazards identification</w:t>
      </w:r>
    </w:p>
    <w:p>
      <w:pPr>
        <w:rPr>
          <w:sz w:val="22"/>
          <w:szCs w:val="22"/>
        </w:rPr>
      </w:pPr>
    </w:p>
    <w:p>
      <w:pPr>
        <w:ind w:left="110" w:hanging="110" w:hangingChars="50"/>
        <w:rPr>
          <w:b/>
          <w:sz w:val="22"/>
          <w:szCs w:val="22"/>
        </w:rPr>
      </w:pPr>
      <w:r>
        <w:rPr>
          <w:b/>
          <w:sz w:val="22"/>
          <w:szCs w:val="22"/>
        </w:rPr>
        <w:t>Emergency Outline:</w:t>
      </w:r>
    </w:p>
    <w:p>
      <w:pPr>
        <w:rPr>
          <w:sz w:val="22"/>
          <w:szCs w:val="22"/>
        </w:rPr>
      </w:pPr>
      <w:r>
        <w:rPr>
          <w:sz w:val="22"/>
          <w:szCs w:val="22"/>
        </w:rPr>
        <w:t xml:space="preserve">Viscous flammable liquid and vapor with slight odor. Its vapor forms explosive mixtures when meets air. May cause combustion and explosion when meets with open flames and high heat. Easy to generate and accumulate static electricity. Fast flow velocity. It may cause eye, nose and throat irritation. May cause central nervous system depression if inhaled. </w:t>
      </w:r>
    </w:p>
    <w:p>
      <w:pPr>
        <w:adjustRightInd w:val="0"/>
        <w:snapToGrid w:val="0"/>
        <w:ind w:firstLine="442" w:firstLineChars="200"/>
        <w:rPr>
          <w:rFonts w:eastAsia="黑体"/>
          <w:b/>
          <w:sz w:val="22"/>
          <w:szCs w:val="22"/>
        </w:rPr>
      </w:pPr>
    </w:p>
    <w:p>
      <w:pPr>
        <w:ind w:left="110" w:hanging="110" w:hangingChars="50"/>
        <w:rPr>
          <w:b/>
          <w:sz w:val="22"/>
          <w:szCs w:val="22"/>
        </w:rPr>
      </w:pPr>
      <w:r>
        <w:rPr>
          <w:b/>
          <w:sz w:val="22"/>
          <w:szCs w:val="22"/>
        </w:rPr>
        <w:t>GHS hazards categories</w:t>
      </w:r>
      <w:r>
        <w:rPr>
          <w:rFonts w:hint="eastAsia"/>
          <w:b/>
          <w:sz w:val="22"/>
          <w:szCs w:val="22"/>
        </w:rPr>
        <w:t>:</w:t>
      </w:r>
    </w:p>
    <w:p>
      <w:pPr>
        <w:ind w:left="110" w:hanging="110" w:hangingChars="50"/>
        <w:rPr>
          <w:b/>
          <w:color w:val="1F497D" w:themeColor="text2"/>
          <w:sz w:val="22"/>
          <w:szCs w:val="22"/>
        </w:rPr>
      </w:pPr>
    </w:p>
    <w:tbl>
      <w:tblPr>
        <w:tblStyle w:val="6"/>
        <w:tblW w:w="9781" w:type="dxa"/>
        <w:tblInd w:w="25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827"/>
        <w:gridCol w:w="1985"/>
        <w:gridCol w:w="396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827" w:type="dxa"/>
          </w:tcPr>
          <w:p>
            <w:pPr>
              <w:tabs>
                <w:tab w:val="left" w:pos="883"/>
              </w:tabs>
              <w:jc w:val="left"/>
              <w:rPr>
                <w:kern w:val="0"/>
                <w:sz w:val="22"/>
                <w:szCs w:val="22"/>
              </w:rPr>
            </w:pPr>
            <w:r>
              <w:rPr>
                <w:kern w:val="0"/>
                <w:sz w:val="22"/>
                <w:szCs w:val="22"/>
              </w:rPr>
              <w:t>Flammable liquids</w:t>
            </w:r>
          </w:p>
        </w:tc>
        <w:tc>
          <w:tcPr>
            <w:tcW w:w="1985" w:type="dxa"/>
          </w:tcPr>
          <w:p>
            <w:pPr>
              <w:rPr>
                <w:kern w:val="0"/>
                <w:sz w:val="22"/>
                <w:szCs w:val="22"/>
              </w:rPr>
            </w:pPr>
            <w:r>
              <w:rPr>
                <w:kern w:val="0"/>
                <w:sz w:val="22"/>
                <w:szCs w:val="22"/>
              </w:rPr>
              <w:t>Category 3</w:t>
            </w:r>
          </w:p>
        </w:tc>
        <w:tc>
          <w:tcPr>
            <w:tcW w:w="3969" w:type="dxa"/>
          </w:tcPr>
          <w:p>
            <w:pPr>
              <w:rPr>
                <w:kern w:val="0"/>
                <w:sz w:val="22"/>
                <w:szCs w:val="22"/>
              </w:rPr>
            </w:pPr>
            <w:r>
              <w:rPr>
                <w:kern w:val="0"/>
                <w:sz w:val="22"/>
                <w:szCs w:val="22"/>
              </w:rPr>
              <w:t>H226-flammable liquid and vapor</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827" w:type="dxa"/>
          </w:tcPr>
          <w:p>
            <w:pPr>
              <w:jc w:val="left"/>
              <w:rPr>
                <w:kern w:val="0"/>
                <w:sz w:val="22"/>
                <w:szCs w:val="22"/>
              </w:rPr>
            </w:pPr>
            <w:r>
              <w:rPr>
                <w:kern w:val="0"/>
                <w:sz w:val="22"/>
                <w:szCs w:val="22"/>
              </w:rPr>
              <w:t>Acute toxicity (skin)</w:t>
            </w:r>
          </w:p>
        </w:tc>
        <w:tc>
          <w:tcPr>
            <w:tcW w:w="1985" w:type="dxa"/>
          </w:tcPr>
          <w:p>
            <w:pPr>
              <w:rPr>
                <w:kern w:val="0"/>
                <w:sz w:val="22"/>
                <w:szCs w:val="22"/>
              </w:rPr>
            </w:pPr>
            <w:r>
              <w:rPr>
                <w:kern w:val="0"/>
                <w:sz w:val="22"/>
                <w:szCs w:val="22"/>
              </w:rPr>
              <w:t>Category 4</w:t>
            </w:r>
          </w:p>
        </w:tc>
        <w:tc>
          <w:tcPr>
            <w:tcW w:w="3969" w:type="dxa"/>
          </w:tcPr>
          <w:p>
            <w:pPr>
              <w:rPr>
                <w:kern w:val="0"/>
                <w:sz w:val="22"/>
                <w:szCs w:val="22"/>
              </w:rPr>
            </w:pPr>
            <w:r>
              <w:rPr>
                <w:kern w:val="0"/>
                <w:sz w:val="22"/>
                <w:szCs w:val="22"/>
              </w:rPr>
              <w:t>H312-harmful in contact with skin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827" w:type="dxa"/>
          </w:tcPr>
          <w:p>
            <w:pPr>
              <w:rPr>
                <w:kern w:val="0"/>
                <w:sz w:val="22"/>
                <w:szCs w:val="22"/>
              </w:rPr>
            </w:pPr>
            <w:r>
              <w:rPr>
                <w:kern w:val="0"/>
                <w:sz w:val="22"/>
                <w:szCs w:val="22"/>
              </w:rPr>
              <w:t>Acute toxicity (inhalation)</w:t>
            </w:r>
          </w:p>
        </w:tc>
        <w:tc>
          <w:tcPr>
            <w:tcW w:w="1985" w:type="dxa"/>
          </w:tcPr>
          <w:p>
            <w:pPr>
              <w:rPr>
                <w:kern w:val="0"/>
                <w:sz w:val="22"/>
                <w:szCs w:val="22"/>
              </w:rPr>
            </w:pPr>
            <w:r>
              <w:rPr>
                <w:kern w:val="0"/>
                <w:sz w:val="22"/>
                <w:szCs w:val="22"/>
              </w:rPr>
              <w:t>Category 4</w:t>
            </w:r>
          </w:p>
        </w:tc>
        <w:tc>
          <w:tcPr>
            <w:tcW w:w="3969" w:type="dxa"/>
          </w:tcPr>
          <w:p>
            <w:pPr>
              <w:rPr>
                <w:kern w:val="0"/>
                <w:sz w:val="22"/>
                <w:szCs w:val="22"/>
              </w:rPr>
            </w:pPr>
            <w:r>
              <w:rPr>
                <w:kern w:val="0"/>
                <w:sz w:val="22"/>
                <w:szCs w:val="22"/>
              </w:rPr>
              <w:t>H332-harmful if inhaled</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827" w:type="dxa"/>
          </w:tcPr>
          <w:p>
            <w:pPr>
              <w:rPr>
                <w:kern w:val="0"/>
                <w:sz w:val="22"/>
                <w:szCs w:val="22"/>
              </w:rPr>
            </w:pPr>
            <w:r>
              <w:rPr>
                <w:kern w:val="0"/>
                <w:sz w:val="22"/>
                <w:szCs w:val="22"/>
              </w:rPr>
              <w:t>Skin irritation</w:t>
            </w:r>
          </w:p>
        </w:tc>
        <w:tc>
          <w:tcPr>
            <w:tcW w:w="1985" w:type="dxa"/>
          </w:tcPr>
          <w:p>
            <w:pPr>
              <w:rPr>
                <w:kern w:val="0"/>
                <w:sz w:val="22"/>
                <w:szCs w:val="22"/>
              </w:rPr>
            </w:pPr>
            <w:r>
              <w:rPr>
                <w:kern w:val="0"/>
                <w:sz w:val="22"/>
                <w:szCs w:val="22"/>
              </w:rPr>
              <w:t>Category2</w:t>
            </w:r>
          </w:p>
        </w:tc>
        <w:tc>
          <w:tcPr>
            <w:tcW w:w="3969" w:type="dxa"/>
          </w:tcPr>
          <w:p>
            <w:pPr>
              <w:rPr>
                <w:kern w:val="0"/>
                <w:sz w:val="22"/>
                <w:szCs w:val="22"/>
              </w:rPr>
            </w:pPr>
            <w:r>
              <w:rPr>
                <w:kern w:val="0"/>
                <w:sz w:val="22"/>
                <w:szCs w:val="22"/>
              </w:rPr>
              <w:t>H315-causes skin irritation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827" w:type="dxa"/>
          </w:tcPr>
          <w:p>
            <w:pPr>
              <w:rPr>
                <w:kern w:val="0"/>
                <w:sz w:val="22"/>
                <w:szCs w:val="22"/>
              </w:rPr>
            </w:pPr>
            <w:r>
              <w:rPr>
                <w:kern w:val="0"/>
                <w:sz w:val="22"/>
                <w:szCs w:val="22"/>
              </w:rPr>
              <w:t>Eye irritation</w:t>
            </w:r>
          </w:p>
          <w:p>
            <w:pPr>
              <w:rPr>
                <w:kern w:val="0"/>
                <w:sz w:val="22"/>
                <w:szCs w:val="22"/>
              </w:rPr>
            </w:pPr>
            <w:r>
              <w:rPr>
                <w:rFonts w:hint="eastAsia"/>
                <w:kern w:val="0"/>
                <w:sz w:val="22"/>
                <w:szCs w:val="22"/>
              </w:rPr>
              <w:t>R</w:t>
            </w:r>
            <w:r>
              <w:rPr>
                <w:kern w:val="0"/>
                <w:sz w:val="22"/>
                <w:szCs w:val="22"/>
              </w:rPr>
              <w:t>eproduction toxicity</w:t>
            </w:r>
          </w:p>
          <w:p>
            <w:pPr>
              <w:rPr>
                <w:sz w:val="22"/>
                <w:szCs w:val="22"/>
              </w:rPr>
            </w:pPr>
            <w:r>
              <w:rPr>
                <w:sz w:val="22"/>
                <w:szCs w:val="22"/>
              </w:rPr>
              <w:t>Specific target organ toxicity (single exposure)</w:t>
            </w:r>
          </w:p>
        </w:tc>
        <w:tc>
          <w:tcPr>
            <w:tcW w:w="1985" w:type="dxa"/>
          </w:tcPr>
          <w:p>
            <w:pPr>
              <w:rPr>
                <w:kern w:val="0"/>
                <w:sz w:val="22"/>
                <w:szCs w:val="22"/>
              </w:rPr>
            </w:pPr>
            <w:r>
              <w:rPr>
                <w:kern w:val="0"/>
                <w:sz w:val="22"/>
                <w:szCs w:val="22"/>
              </w:rPr>
              <w:t>Category 2A</w:t>
            </w:r>
          </w:p>
          <w:p>
            <w:pPr>
              <w:rPr>
                <w:kern w:val="0"/>
                <w:sz w:val="22"/>
                <w:szCs w:val="22"/>
              </w:rPr>
            </w:pPr>
            <w:r>
              <w:rPr>
                <w:kern w:val="0"/>
                <w:sz w:val="22"/>
                <w:szCs w:val="22"/>
              </w:rPr>
              <w:t>Category 2</w:t>
            </w:r>
          </w:p>
          <w:p>
            <w:pPr>
              <w:rPr>
                <w:kern w:val="0"/>
                <w:sz w:val="22"/>
                <w:szCs w:val="22"/>
              </w:rPr>
            </w:pPr>
            <w:r>
              <w:rPr>
                <w:kern w:val="0"/>
                <w:sz w:val="22"/>
                <w:szCs w:val="22"/>
              </w:rPr>
              <w:t>Category 3</w:t>
            </w:r>
          </w:p>
        </w:tc>
        <w:tc>
          <w:tcPr>
            <w:tcW w:w="3969" w:type="dxa"/>
          </w:tcPr>
          <w:p>
            <w:pPr>
              <w:rPr>
                <w:kern w:val="0"/>
                <w:sz w:val="22"/>
                <w:szCs w:val="22"/>
              </w:rPr>
            </w:pPr>
            <w:r>
              <w:rPr>
                <w:kern w:val="0"/>
                <w:sz w:val="22"/>
                <w:szCs w:val="22"/>
              </w:rPr>
              <w:t>H319-causes serious eye irritation</w:t>
            </w:r>
          </w:p>
          <w:p>
            <w:pPr>
              <w:rPr>
                <w:kern w:val="0"/>
                <w:sz w:val="22"/>
                <w:szCs w:val="22"/>
              </w:rPr>
            </w:pPr>
            <w:r>
              <w:rPr>
                <w:rFonts w:hint="eastAsia"/>
                <w:kern w:val="0"/>
                <w:sz w:val="22"/>
                <w:szCs w:val="22"/>
              </w:rPr>
              <w:t>H</w:t>
            </w:r>
            <w:r>
              <w:rPr>
                <w:kern w:val="0"/>
                <w:sz w:val="22"/>
                <w:szCs w:val="22"/>
              </w:rPr>
              <w:t>361-suspected injury to fertility or fetus</w:t>
            </w:r>
          </w:p>
          <w:p>
            <w:pPr>
              <w:rPr>
                <w:sz w:val="22"/>
                <w:szCs w:val="22"/>
              </w:rPr>
            </w:pPr>
            <w:r>
              <w:rPr>
                <w:rFonts w:hint="eastAsia"/>
                <w:kern w:val="0"/>
                <w:sz w:val="22"/>
                <w:szCs w:val="22"/>
              </w:rPr>
              <w:t>H</w:t>
            </w:r>
            <w:r>
              <w:rPr>
                <w:kern w:val="0"/>
                <w:sz w:val="22"/>
                <w:szCs w:val="22"/>
              </w:rPr>
              <w:t>336</w:t>
            </w:r>
            <w:r>
              <w:rPr>
                <w:rFonts w:hint="eastAsia"/>
                <w:sz w:val="22"/>
                <w:szCs w:val="22"/>
              </w:rPr>
              <w:t>-</w:t>
            </w:r>
            <w:r>
              <w:rPr>
                <w:bCs/>
                <w:kern w:val="0"/>
                <w:sz w:val="22"/>
                <w:szCs w:val="22"/>
              </w:rPr>
              <w:t>may cause drowsiness or dizziness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827" w:type="dxa"/>
          </w:tcPr>
          <w:p>
            <w:pPr>
              <w:rPr>
                <w:kern w:val="0"/>
                <w:sz w:val="22"/>
                <w:szCs w:val="22"/>
              </w:rPr>
            </w:pPr>
            <w:r>
              <w:rPr>
                <w:kern w:val="0"/>
                <w:sz w:val="22"/>
                <w:szCs w:val="22"/>
              </w:rPr>
              <w:t>Acute hazard to the aquatic environment</w:t>
            </w:r>
          </w:p>
        </w:tc>
        <w:tc>
          <w:tcPr>
            <w:tcW w:w="1985" w:type="dxa"/>
          </w:tcPr>
          <w:p>
            <w:pPr>
              <w:rPr>
                <w:kern w:val="0"/>
                <w:sz w:val="22"/>
                <w:szCs w:val="22"/>
              </w:rPr>
            </w:pPr>
            <w:r>
              <w:rPr>
                <w:kern w:val="0"/>
                <w:sz w:val="22"/>
                <w:szCs w:val="22"/>
              </w:rPr>
              <w:t>Category 3</w:t>
            </w:r>
          </w:p>
        </w:tc>
        <w:tc>
          <w:tcPr>
            <w:tcW w:w="3969" w:type="dxa"/>
          </w:tcPr>
          <w:p>
            <w:pPr>
              <w:rPr>
                <w:kern w:val="0"/>
                <w:sz w:val="22"/>
                <w:szCs w:val="22"/>
              </w:rPr>
            </w:pPr>
            <w:r>
              <w:rPr>
                <w:kern w:val="0"/>
                <w:sz w:val="22"/>
                <w:szCs w:val="22"/>
              </w:rPr>
              <w:t>H402-very toxic to aquatic life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827" w:type="dxa"/>
          </w:tcPr>
          <w:p>
            <w:pPr>
              <w:rPr>
                <w:kern w:val="0"/>
                <w:sz w:val="22"/>
                <w:szCs w:val="22"/>
              </w:rPr>
            </w:pPr>
            <w:r>
              <w:rPr>
                <w:kern w:val="0"/>
                <w:sz w:val="22"/>
                <w:szCs w:val="22"/>
              </w:rPr>
              <w:t xml:space="preserve">Long-term aquatic hazard  </w:t>
            </w:r>
          </w:p>
        </w:tc>
        <w:tc>
          <w:tcPr>
            <w:tcW w:w="1985" w:type="dxa"/>
          </w:tcPr>
          <w:p>
            <w:pPr>
              <w:rPr>
                <w:kern w:val="0"/>
                <w:sz w:val="22"/>
                <w:szCs w:val="22"/>
              </w:rPr>
            </w:pPr>
            <w:r>
              <w:rPr>
                <w:kern w:val="0"/>
                <w:sz w:val="22"/>
                <w:szCs w:val="22"/>
              </w:rPr>
              <w:t>Category 3</w:t>
            </w:r>
          </w:p>
        </w:tc>
        <w:tc>
          <w:tcPr>
            <w:tcW w:w="3969" w:type="dxa"/>
          </w:tcPr>
          <w:p>
            <w:pPr>
              <w:rPr>
                <w:kern w:val="0"/>
                <w:sz w:val="22"/>
                <w:szCs w:val="22"/>
              </w:rPr>
            </w:pPr>
            <w:r>
              <w:rPr>
                <w:kern w:val="0"/>
                <w:sz w:val="22"/>
                <w:szCs w:val="22"/>
              </w:rPr>
              <w:t>H412-harmful to aquatic life with long lasting effects</w:t>
            </w:r>
          </w:p>
        </w:tc>
      </w:tr>
    </w:tbl>
    <w:p>
      <w:pPr>
        <w:adjustRightInd w:val="0"/>
        <w:snapToGrid w:val="0"/>
        <w:rPr>
          <w:rFonts w:eastAsia="黑体"/>
          <w:b/>
          <w:sz w:val="22"/>
          <w:szCs w:val="22"/>
        </w:rPr>
      </w:pPr>
    </w:p>
    <w:p>
      <w:pPr>
        <w:rPr>
          <w:b/>
          <w:sz w:val="22"/>
          <w:szCs w:val="22"/>
        </w:rPr>
      </w:pPr>
      <w:r>
        <w:rPr>
          <w:rFonts w:ascii="Arial" w:hAnsi="Arial" w:eastAsia="黑体" w:cs="Arial"/>
          <w:szCs w:val="21"/>
        </w:rPr>
        <w:drawing>
          <wp:anchor distT="0" distB="0" distL="114300" distR="114300" simplePos="0" relativeHeight="251659264" behindDoc="0" locked="0" layoutInCell="1" allowOverlap="1">
            <wp:simplePos x="0" y="0"/>
            <wp:positionH relativeFrom="column">
              <wp:posOffset>2432685</wp:posOffset>
            </wp:positionH>
            <wp:positionV relativeFrom="paragraph">
              <wp:posOffset>151130</wp:posOffset>
            </wp:positionV>
            <wp:extent cx="825500" cy="823595"/>
            <wp:effectExtent l="0" t="0" r="0" b="0"/>
            <wp:wrapNone/>
            <wp:docPr id="8" name="Picture 7" descr="clip_image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descr="clip_image002"/>
                    <pic:cNvPicPr>
                      <a:picLocks noChangeAspect="1" noChangeArrowheads="1"/>
                    </pic:cNvPicPr>
                  </pic:nvPicPr>
                  <pic:blipFill>
                    <a:blip r:embed="rId8"/>
                    <a:srcRect/>
                    <a:stretch>
                      <a:fillRect/>
                    </a:stretch>
                  </pic:blipFill>
                  <pic:spPr>
                    <a:xfrm>
                      <a:off x="0" y="0"/>
                      <a:ext cx="825613" cy="823912"/>
                    </a:xfrm>
                    <a:prstGeom prst="rect">
                      <a:avLst/>
                    </a:prstGeom>
                    <a:noFill/>
                    <a:ln w="9525">
                      <a:noFill/>
                      <a:miter lim="800000"/>
                      <a:headEnd/>
                      <a:tailEnd/>
                    </a:ln>
                  </pic:spPr>
                </pic:pic>
              </a:graphicData>
            </a:graphic>
          </wp:anchor>
        </w:drawing>
      </w:r>
      <w:r>
        <w:rPr>
          <w:b/>
          <w:sz w:val="22"/>
          <w:szCs w:val="22"/>
        </w:rPr>
        <w:t>Label elements</w:t>
      </w:r>
      <w:r>
        <w:rPr>
          <w:rFonts w:eastAsia="黑体"/>
          <w:b/>
          <w:sz w:val="22"/>
          <w:szCs w:val="22"/>
        </w:rPr>
        <w:t>：</w:t>
      </w:r>
    </w:p>
    <w:p>
      <w:pPr>
        <w:adjustRightInd w:val="0"/>
        <w:snapToGrid w:val="0"/>
        <w:ind w:left="420" w:leftChars="200"/>
        <w:rPr>
          <w:rFonts w:eastAsia="黑体"/>
          <w:sz w:val="22"/>
          <w:szCs w:val="22"/>
        </w:rPr>
      </w:pPr>
      <w:r>
        <w:rPr>
          <w:rFonts w:ascii="Arial" w:hAnsi="Arial" w:eastAsia="黑体" w:cs="Arial"/>
          <w:szCs w:val="21"/>
        </w:rPr>
        <w:drawing>
          <wp:anchor distT="0" distB="0" distL="114300" distR="114300" simplePos="0" relativeHeight="251660288" behindDoc="0" locked="0" layoutInCell="1" allowOverlap="1">
            <wp:simplePos x="0" y="0"/>
            <wp:positionH relativeFrom="column">
              <wp:posOffset>3380105</wp:posOffset>
            </wp:positionH>
            <wp:positionV relativeFrom="paragraph">
              <wp:posOffset>5715</wp:posOffset>
            </wp:positionV>
            <wp:extent cx="872490" cy="790575"/>
            <wp:effectExtent l="0" t="0" r="0" b="0"/>
            <wp:wrapNone/>
            <wp:docPr id="5" name="Picture 6" descr="警告"/>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6" descr="警告"/>
                    <pic:cNvPicPr>
                      <a:picLocks noChangeAspect="1" noChangeArrowheads="1"/>
                    </pic:cNvPicPr>
                  </pic:nvPicPr>
                  <pic:blipFill>
                    <a:blip r:embed="rId9"/>
                    <a:srcRect/>
                    <a:stretch>
                      <a:fillRect/>
                    </a:stretch>
                  </pic:blipFill>
                  <pic:spPr>
                    <a:xfrm>
                      <a:off x="0" y="0"/>
                      <a:ext cx="872410" cy="790575"/>
                    </a:xfrm>
                    <a:prstGeom prst="rect">
                      <a:avLst/>
                    </a:prstGeom>
                    <a:noFill/>
                    <a:ln w="9525">
                      <a:noFill/>
                      <a:miter lim="800000"/>
                      <a:headEnd/>
                      <a:tailEnd/>
                    </a:ln>
                  </pic:spPr>
                </pic:pic>
              </a:graphicData>
            </a:graphic>
          </wp:anchor>
        </w:drawing>
      </w:r>
      <w:r>
        <w:rPr>
          <w:sz w:val="22"/>
          <w:szCs w:val="22"/>
        </w:rPr>
        <w:t>Hazard pictograms</w:t>
      </w:r>
      <w:r>
        <w:rPr>
          <w:rFonts w:eastAsia="黑体"/>
          <w:sz w:val="22"/>
          <w:szCs w:val="22"/>
        </w:rPr>
        <w:t>：</w:t>
      </w:r>
      <w:r>
        <w:rPr>
          <w:rFonts w:eastAsia="黑体"/>
          <w:sz w:val="22"/>
          <w:szCs w:val="22"/>
        </w:rPr>
        <w:drawing>
          <wp:inline distT="0" distB="0" distL="0" distR="0">
            <wp:extent cx="823595" cy="767080"/>
            <wp:effectExtent l="0" t="0" r="0" b="0"/>
            <wp:docPr id="3" name="图片 11" descr="人体图标.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1" descr="人体图标.png"/>
                    <pic:cNvPicPr>
                      <a:picLocks noChangeAspect="1" noChangeArrowheads="1"/>
                    </pic:cNvPicPr>
                  </pic:nvPicPr>
                  <pic:blipFill>
                    <a:blip r:embed="rId10" cstate="print"/>
                    <a:srcRect/>
                    <a:stretch>
                      <a:fillRect/>
                    </a:stretch>
                  </pic:blipFill>
                  <pic:spPr>
                    <a:xfrm>
                      <a:off x="0" y="0"/>
                      <a:ext cx="826219" cy="769467"/>
                    </a:xfrm>
                    <a:prstGeom prst="rect">
                      <a:avLst/>
                    </a:prstGeom>
                    <a:noFill/>
                    <a:ln w="9525">
                      <a:noFill/>
                      <a:miter lim="800000"/>
                      <a:headEnd/>
                      <a:tailEnd/>
                    </a:ln>
                  </pic:spPr>
                </pic:pic>
              </a:graphicData>
            </a:graphic>
          </wp:inline>
        </w:drawing>
      </w:r>
    </w:p>
    <w:p>
      <w:pPr>
        <w:adjustRightInd w:val="0"/>
        <w:snapToGrid w:val="0"/>
        <w:ind w:left="1134" w:leftChars="540"/>
        <w:rPr>
          <w:rFonts w:eastAsia="黑体"/>
          <w:sz w:val="22"/>
          <w:szCs w:val="22"/>
        </w:rPr>
      </w:pPr>
    </w:p>
    <w:p>
      <w:pPr>
        <w:adjustRightInd w:val="0"/>
        <w:snapToGrid w:val="0"/>
        <w:rPr>
          <w:rFonts w:eastAsia="黑体"/>
          <w:color w:val="000000"/>
          <w:sz w:val="22"/>
          <w:szCs w:val="22"/>
        </w:rPr>
      </w:pPr>
      <w:r>
        <w:rPr>
          <w:b/>
          <w:sz w:val="22"/>
          <w:szCs w:val="22"/>
        </w:rPr>
        <w:t>Signal word</w:t>
      </w:r>
      <w:r>
        <w:rPr>
          <w:sz w:val="22"/>
          <w:szCs w:val="22"/>
        </w:rPr>
        <w:t>:  Warning</w:t>
      </w:r>
    </w:p>
    <w:p>
      <w:pPr>
        <w:tabs>
          <w:tab w:val="left" w:pos="3368"/>
        </w:tabs>
        <w:rPr>
          <w:b/>
          <w:sz w:val="22"/>
          <w:szCs w:val="22"/>
        </w:rPr>
      </w:pPr>
      <w:r>
        <w:rPr>
          <w:b/>
          <w:sz w:val="22"/>
          <w:szCs w:val="22"/>
        </w:rPr>
        <w:tab/>
      </w:r>
    </w:p>
    <w:p>
      <w:pPr>
        <w:rPr>
          <w:b/>
          <w:sz w:val="22"/>
          <w:szCs w:val="22"/>
        </w:rPr>
      </w:pPr>
      <w:r>
        <w:rPr>
          <w:b/>
          <w:sz w:val="22"/>
          <w:szCs w:val="22"/>
        </w:rPr>
        <w:t xml:space="preserve">Precautionary statements: </w:t>
      </w:r>
    </w:p>
    <w:p>
      <w:pPr>
        <w:pStyle w:val="11"/>
        <w:ind w:left="580" w:firstLine="0" w:firstLineChars="0"/>
        <w:rPr>
          <w:rFonts w:ascii="Times New Roman" w:hAnsi="Times New Roman" w:cs="Times New Roman"/>
          <w:b/>
          <w:sz w:val="22"/>
        </w:rPr>
      </w:pPr>
      <w:r>
        <w:rPr>
          <w:rFonts w:ascii="Times New Roman" w:hAnsi="Times New Roman" w:cs="Times New Roman"/>
          <w:b/>
          <w:sz w:val="22"/>
        </w:rPr>
        <w:t>Prevention:</w:t>
      </w:r>
    </w:p>
    <w:tbl>
      <w:tblPr>
        <w:tblStyle w:val="5"/>
        <w:tblW w:w="9781" w:type="dxa"/>
        <w:tblInd w:w="675" w:type="dxa"/>
        <w:tblLayout w:type="fixed"/>
        <w:tblCellMar>
          <w:top w:w="0" w:type="dxa"/>
          <w:left w:w="108" w:type="dxa"/>
          <w:bottom w:w="0" w:type="dxa"/>
          <w:right w:w="108" w:type="dxa"/>
        </w:tblCellMar>
      </w:tblPr>
      <w:tblGrid>
        <w:gridCol w:w="2127"/>
        <w:gridCol w:w="7654"/>
      </w:tblGrid>
      <w:tr>
        <w:tblPrEx>
          <w:tblCellMar>
            <w:top w:w="0" w:type="dxa"/>
            <w:left w:w="108" w:type="dxa"/>
            <w:bottom w:w="0" w:type="dxa"/>
            <w:right w:w="108" w:type="dxa"/>
          </w:tblCellMar>
        </w:tblPrEx>
        <w:trPr>
          <w:trHeight w:val="364" w:hRule="atLeast"/>
        </w:trPr>
        <w:tc>
          <w:tcPr>
            <w:tcW w:w="2127" w:type="dxa"/>
          </w:tcPr>
          <w:p>
            <w:pPr>
              <w:rPr>
                <w:sz w:val="22"/>
                <w:szCs w:val="22"/>
              </w:rPr>
            </w:pPr>
            <w:r>
              <w:rPr>
                <w:sz w:val="22"/>
                <w:szCs w:val="22"/>
              </w:rPr>
              <w:t>P233</w:t>
            </w:r>
          </w:p>
        </w:tc>
        <w:tc>
          <w:tcPr>
            <w:tcW w:w="7654" w:type="dxa"/>
          </w:tcPr>
          <w:p>
            <w:pPr>
              <w:rPr>
                <w:sz w:val="22"/>
                <w:szCs w:val="22"/>
              </w:rPr>
            </w:pPr>
            <w:r>
              <w:rPr>
                <w:sz w:val="22"/>
                <w:szCs w:val="22"/>
              </w:rPr>
              <w:t>Keep container tightly closed.</w:t>
            </w:r>
          </w:p>
        </w:tc>
      </w:tr>
      <w:tr>
        <w:tblPrEx>
          <w:tblCellMar>
            <w:top w:w="0" w:type="dxa"/>
            <w:left w:w="108" w:type="dxa"/>
            <w:bottom w:w="0" w:type="dxa"/>
            <w:right w:w="108" w:type="dxa"/>
          </w:tblCellMar>
        </w:tblPrEx>
        <w:trPr>
          <w:trHeight w:val="271" w:hRule="atLeast"/>
        </w:trPr>
        <w:tc>
          <w:tcPr>
            <w:tcW w:w="2127" w:type="dxa"/>
          </w:tcPr>
          <w:p>
            <w:pPr>
              <w:rPr>
                <w:sz w:val="22"/>
                <w:szCs w:val="22"/>
              </w:rPr>
            </w:pPr>
            <w:r>
              <w:rPr>
                <w:sz w:val="22"/>
                <w:szCs w:val="22"/>
              </w:rPr>
              <w:t>P235</w:t>
            </w:r>
          </w:p>
        </w:tc>
        <w:tc>
          <w:tcPr>
            <w:tcW w:w="7654" w:type="dxa"/>
          </w:tcPr>
          <w:p>
            <w:pPr>
              <w:rPr>
                <w:sz w:val="22"/>
                <w:szCs w:val="22"/>
              </w:rPr>
            </w:pPr>
            <w:r>
              <w:rPr>
                <w:sz w:val="22"/>
                <w:szCs w:val="22"/>
              </w:rPr>
              <w:t>Keep cool.</w:t>
            </w:r>
          </w:p>
        </w:tc>
      </w:tr>
      <w:tr>
        <w:tblPrEx>
          <w:tblCellMar>
            <w:top w:w="0" w:type="dxa"/>
            <w:left w:w="108" w:type="dxa"/>
            <w:bottom w:w="0" w:type="dxa"/>
            <w:right w:w="108" w:type="dxa"/>
          </w:tblCellMar>
        </w:tblPrEx>
        <w:trPr>
          <w:trHeight w:val="272" w:hRule="atLeast"/>
        </w:trPr>
        <w:tc>
          <w:tcPr>
            <w:tcW w:w="2127" w:type="dxa"/>
          </w:tcPr>
          <w:p>
            <w:pPr>
              <w:rPr>
                <w:sz w:val="22"/>
                <w:szCs w:val="22"/>
              </w:rPr>
            </w:pPr>
            <w:r>
              <w:rPr>
                <w:sz w:val="22"/>
                <w:szCs w:val="22"/>
              </w:rPr>
              <w:t>P240</w:t>
            </w:r>
          </w:p>
        </w:tc>
        <w:tc>
          <w:tcPr>
            <w:tcW w:w="7654" w:type="dxa"/>
          </w:tcPr>
          <w:p>
            <w:pPr>
              <w:rPr>
                <w:sz w:val="22"/>
                <w:szCs w:val="22"/>
              </w:rPr>
            </w:pPr>
            <w:r>
              <w:rPr>
                <w:sz w:val="22"/>
                <w:szCs w:val="22"/>
              </w:rPr>
              <w:t>Ground and bond container and receiving equipment.</w:t>
            </w:r>
          </w:p>
        </w:tc>
      </w:tr>
      <w:tr>
        <w:tblPrEx>
          <w:tblCellMar>
            <w:top w:w="0" w:type="dxa"/>
            <w:left w:w="108" w:type="dxa"/>
            <w:bottom w:w="0" w:type="dxa"/>
            <w:right w:w="108" w:type="dxa"/>
          </w:tblCellMar>
        </w:tblPrEx>
        <w:trPr>
          <w:trHeight w:val="326" w:hRule="atLeast"/>
        </w:trPr>
        <w:tc>
          <w:tcPr>
            <w:tcW w:w="2127" w:type="dxa"/>
          </w:tcPr>
          <w:p>
            <w:pPr>
              <w:rPr>
                <w:sz w:val="22"/>
                <w:szCs w:val="22"/>
              </w:rPr>
            </w:pPr>
            <w:r>
              <w:rPr>
                <w:sz w:val="22"/>
                <w:szCs w:val="22"/>
              </w:rPr>
              <w:t>P271</w:t>
            </w:r>
          </w:p>
        </w:tc>
        <w:tc>
          <w:tcPr>
            <w:tcW w:w="7654" w:type="dxa"/>
          </w:tcPr>
          <w:p>
            <w:pPr>
              <w:rPr>
                <w:sz w:val="22"/>
                <w:szCs w:val="22"/>
              </w:rPr>
            </w:pPr>
            <w:r>
              <w:rPr>
                <w:sz w:val="22"/>
                <w:szCs w:val="22"/>
              </w:rPr>
              <w:t>Use only outdoors or in a well-ventilated area.</w:t>
            </w:r>
          </w:p>
        </w:tc>
      </w:tr>
      <w:tr>
        <w:tblPrEx>
          <w:tblCellMar>
            <w:top w:w="0" w:type="dxa"/>
            <w:left w:w="108" w:type="dxa"/>
            <w:bottom w:w="0" w:type="dxa"/>
            <w:right w:w="108" w:type="dxa"/>
          </w:tblCellMar>
        </w:tblPrEx>
        <w:trPr>
          <w:trHeight w:val="569" w:hRule="atLeast"/>
        </w:trPr>
        <w:tc>
          <w:tcPr>
            <w:tcW w:w="2127" w:type="dxa"/>
          </w:tcPr>
          <w:p>
            <w:pPr>
              <w:rPr>
                <w:sz w:val="22"/>
                <w:szCs w:val="22"/>
              </w:rPr>
            </w:pPr>
            <w:r>
              <w:rPr>
                <w:sz w:val="22"/>
                <w:szCs w:val="22"/>
              </w:rPr>
              <w:t>P210</w:t>
            </w:r>
          </w:p>
        </w:tc>
        <w:tc>
          <w:tcPr>
            <w:tcW w:w="7654" w:type="dxa"/>
          </w:tcPr>
          <w:p>
            <w:pPr>
              <w:rPr>
                <w:sz w:val="22"/>
                <w:szCs w:val="22"/>
              </w:rPr>
            </w:pPr>
            <w:r>
              <w:rPr>
                <w:sz w:val="22"/>
                <w:szCs w:val="22"/>
              </w:rPr>
              <w:t>Keep away from heat, hot surfaces, sparks, open flames and other ignition sources. Use non-sparking tools.</w:t>
            </w:r>
          </w:p>
        </w:tc>
      </w:tr>
      <w:tr>
        <w:tblPrEx>
          <w:tblCellMar>
            <w:top w:w="0" w:type="dxa"/>
            <w:left w:w="108" w:type="dxa"/>
            <w:bottom w:w="0" w:type="dxa"/>
            <w:right w:w="108" w:type="dxa"/>
          </w:tblCellMar>
        </w:tblPrEx>
        <w:trPr>
          <w:trHeight w:val="258" w:hRule="atLeast"/>
        </w:trPr>
        <w:tc>
          <w:tcPr>
            <w:tcW w:w="2127" w:type="dxa"/>
          </w:tcPr>
          <w:p>
            <w:pPr>
              <w:rPr>
                <w:sz w:val="22"/>
                <w:szCs w:val="22"/>
              </w:rPr>
            </w:pPr>
            <w:r>
              <w:rPr>
                <w:sz w:val="22"/>
                <w:szCs w:val="22"/>
              </w:rPr>
              <w:t>P243</w:t>
            </w:r>
          </w:p>
        </w:tc>
        <w:tc>
          <w:tcPr>
            <w:tcW w:w="7654" w:type="dxa"/>
          </w:tcPr>
          <w:p>
            <w:pPr>
              <w:rPr>
                <w:sz w:val="22"/>
                <w:szCs w:val="22"/>
              </w:rPr>
            </w:pPr>
            <w:r>
              <w:rPr>
                <w:sz w:val="22"/>
                <w:szCs w:val="22"/>
              </w:rPr>
              <w:t>Take action to prevent static discharges.</w:t>
            </w:r>
          </w:p>
        </w:tc>
      </w:tr>
      <w:tr>
        <w:tblPrEx>
          <w:tblCellMar>
            <w:top w:w="0" w:type="dxa"/>
            <w:left w:w="108" w:type="dxa"/>
            <w:bottom w:w="0" w:type="dxa"/>
            <w:right w:w="108" w:type="dxa"/>
          </w:tblCellMar>
        </w:tblPrEx>
        <w:trPr>
          <w:trHeight w:val="298" w:hRule="atLeast"/>
        </w:trPr>
        <w:tc>
          <w:tcPr>
            <w:tcW w:w="2127" w:type="dxa"/>
          </w:tcPr>
          <w:p>
            <w:pPr>
              <w:rPr>
                <w:sz w:val="22"/>
                <w:szCs w:val="22"/>
              </w:rPr>
            </w:pPr>
            <w:r>
              <w:rPr>
                <w:sz w:val="22"/>
                <w:szCs w:val="22"/>
              </w:rPr>
              <w:t>P241</w:t>
            </w:r>
          </w:p>
        </w:tc>
        <w:tc>
          <w:tcPr>
            <w:tcW w:w="7654" w:type="dxa"/>
          </w:tcPr>
          <w:p>
            <w:pPr>
              <w:rPr>
                <w:sz w:val="22"/>
                <w:szCs w:val="22"/>
              </w:rPr>
            </w:pPr>
            <w:r>
              <w:rPr>
                <w:sz w:val="22"/>
                <w:szCs w:val="22"/>
              </w:rPr>
              <w:t>Use explosive-proof [electrical/ventilating/lighting…] equipment.</w:t>
            </w:r>
          </w:p>
        </w:tc>
      </w:tr>
      <w:tr>
        <w:tblPrEx>
          <w:tblCellMar>
            <w:top w:w="0" w:type="dxa"/>
            <w:left w:w="108" w:type="dxa"/>
            <w:bottom w:w="0" w:type="dxa"/>
            <w:right w:w="108" w:type="dxa"/>
          </w:tblCellMar>
        </w:tblPrEx>
        <w:trPr>
          <w:trHeight w:val="298" w:hRule="atLeast"/>
        </w:trPr>
        <w:tc>
          <w:tcPr>
            <w:tcW w:w="2127" w:type="dxa"/>
          </w:tcPr>
          <w:p>
            <w:pPr>
              <w:rPr>
                <w:sz w:val="22"/>
                <w:szCs w:val="22"/>
              </w:rPr>
            </w:pPr>
            <w:r>
              <w:rPr>
                <w:sz w:val="22"/>
                <w:szCs w:val="22"/>
              </w:rPr>
              <w:t>P280</w:t>
            </w:r>
          </w:p>
        </w:tc>
        <w:tc>
          <w:tcPr>
            <w:tcW w:w="7654" w:type="dxa"/>
          </w:tcPr>
          <w:p>
            <w:pPr>
              <w:rPr>
                <w:sz w:val="22"/>
                <w:szCs w:val="22"/>
              </w:rPr>
            </w:pPr>
            <w:r>
              <w:rPr>
                <w:sz w:val="22"/>
                <w:szCs w:val="22"/>
              </w:rPr>
              <w:t xml:space="preserve">Wear protective glove/protective clothing/eye protection/face protection </w:t>
            </w:r>
          </w:p>
        </w:tc>
      </w:tr>
      <w:tr>
        <w:tblPrEx>
          <w:tblCellMar>
            <w:top w:w="0" w:type="dxa"/>
            <w:left w:w="108" w:type="dxa"/>
            <w:bottom w:w="0" w:type="dxa"/>
            <w:right w:w="108" w:type="dxa"/>
          </w:tblCellMar>
        </w:tblPrEx>
        <w:trPr>
          <w:trHeight w:val="380" w:hRule="atLeast"/>
        </w:trPr>
        <w:tc>
          <w:tcPr>
            <w:tcW w:w="2127" w:type="dxa"/>
          </w:tcPr>
          <w:p>
            <w:pPr>
              <w:rPr>
                <w:sz w:val="22"/>
                <w:szCs w:val="22"/>
              </w:rPr>
            </w:pPr>
            <w:r>
              <w:rPr>
                <w:sz w:val="22"/>
                <w:szCs w:val="22"/>
              </w:rPr>
              <w:t>P261</w:t>
            </w:r>
          </w:p>
        </w:tc>
        <w:tc>
          <w:tcPr>
            <w:tcW w:w="7654" w:type="dxa"/>
          </w:tcPr>
          <w:p>
            <w:pPr>
              <w:rPr>
                <w:sz w:val="22"/>
                <w:szCs w:val="22"/>
              </w:rPr>
            </w:pPr>
            <w:r>
              <w:rPr>
                <w:sz w:val="22"/>
                <w:szCs w:val="22"/>
              </w:rPr>
              <w:t>Avoid breathing dust/fume/gas/mist/vapor/spray.</w:t>
            </w:r>
          </w:p>
        </w:tc>
      </w:tr>
      <w:tr>
        <w:tblPrEx>
          <w:tblCellMar>
            <w:top w:w="0" w:type="dxa"/>
            <w:left w:w="108" w:type="dxa"/>
            <w:bottom w:w="0" w:type="dxa"/>
            <w:right w:w="108" w:type="dxa"/>
          </w:tblCellMar>
        </w:tblPrEx>
        <w:trPr>
          <w:trHeight w:val="408" w:hRule="atLeast"/>
        </w:trPr>
        <w:tc>
          <w:tcPr>
            <w:tcW w:w="2127" w:type="dxa"/>
          </w:tcPr>
          <w:p>
            <w:pPr>
              <w:rPr>
                <w:sz w:val="22"/>
                <w:szCs w:val="22"/>
              </w:rPr>
            </w:pPr>
            <w:r>
              <w:rPr>
                <w:sz w:val="22"/>
                <w:szCs w:val="22"/>
              </w:rPr>
              <w:t>P273</w:t>
            </w:r>
          </w:p>
        </w:tc>
        <w:tc>
          <w:tcPr>
            <w:tcW w:w="7654" w:type="dxa"/>
          </w:tcPr>
          <w:p>
            <w:pPr>
              <w:rPr>
                <w:sz w:val="22"/>
                <w:szCs w:val="22"/>
              </w:rPr>
            </w:pPr>
            <w:r>
              <w:rPr>
                <w:sz w:val="22"/>
                <w:szCs w:val="22"/>
              </w:rPr>
              <w:t>Avoid release to the environment.</w:t>
            </w:r>
          </w:p>
        </w:tc>
      </w:tr>
    </w:tbl>
    <w:p>
      <w:pPr>
        <w:adjustRightInd w:val="0"/>
        <w:snapToGrid w:val="0"/>
        <w:ind w:left="430" w:leftChars="5" w:hanging="420"/>
        <w:rPr>
          <w:rFonts w:eastAsia="黑体"/>
          <w:b/>
          <w:sz w:val="22"/>
          <w:szCs w:val="22"/>
        </w:rPr>
      </w:pPr>
    </w:p>
    <w:p>
      <w:pPr>
        <w:pStyle w:val="11"/>
        <w:ind w:left="580" w:firstLine="0" w:firstLineChars="0"/>
        <w:rPr>
          <w:rFonts w:ascii="Times New Roman" w:hAnsi="Times New Roman" w:cs="Times New Roman"/>
          <w:b/>
          <w:sz w:val="22"/>
        </w:rPr>
      </w:pPr>
      <w:r>
        <w:rPr>
          <w:rFonts w:ascii="Times New Roman" w:hAnsi="Times New Roman" w:cs="Times New Roman"/>
          <w:b/>
          <w:sz w:val="22"/>
        </w:rPr>
        <w:t>Response to accidents:</w:t>
      </w:r>
    </w:p>
    <w:tbl>
      <w:tblPr>
        <w:tblStyle w:val="5"/>
        <w:tblW w:w="9731" w:type="dxa"/>
        <w:tblInd w:w="675" w:type="dxa"/>
        <w:tblLayout w:type="fixed"/>
        <w:tblCellMar>
          <w:top w:w="0" w:type="dxa"/>
          <w:left w:w="108" w:type="dxa"/>
          <w:bottom w:w="0" w:type="dxa"/>
          <w:right w:w="108" w:type="dxa"/>
        </w:tblCellMar>
      </w:tblPr>
      <w:tblGrid>
        <w:gridCol w:w="2127"/>
        <w:gridCol w:w="7604"/>
      </w:tblGrid>
      <w:tr>
        <w:tblPrEx>
          <w:tblCellMar>
            <w:top w:w="0" w:type="dxa"/>
            <w:left w:w="108" w:type="dxa"/>
            <w:bottom w:w="0" w:type="dxa"/>
            <w:right w:w="108" w:type="dxa"/>
          </w:tblCellMar>
        </w:tblPrEx>
        <w:trPr>
          <w:trHeight w:val="226" w:hRule="atLeast"/>
        </w:trPr>
        <w:tc>
          <w:tcPr>
            <w:tcW w:w="2127" w:type="dxa"/>
          </w:tcPr>
          <w:p>
            <w:pPr>
              <w:rPr>
                <w:sz w:val="22"/>
                <w:szCs w:val="22"/>
              </w:rPr>
            </w:pPr>
            <w:r>
              <w:rPr>
                <w:sz w:val="22"/>
                <w:szCs w:val="22"/>
              </w:rPr>
              <w:t>P312</w:t>
            </w:r>
          </w:p>
        </w:tc>
        <w:tc>
          <w:tcPr>
            <w:tcW w:w="7604" w:type="dxa"/>
          </w:tcPr>
          <w:p>
            <w:pPr>
              <w:rPr>
                <w:sz w:val="22"/>
                <w:szCs w:val="22"/>
              </w:rPr>
            </w:pPr>
            <w:r>
              <w:rPr>
                <w:sz w:val="22"/>
                <w:szCs w:val="22"/>
              </w:rPr>
              <w:t>Call a POISON CENTER/doctor/…if you feel unwell.</w:t>
            </w:r>
          </w:p>
        </w:tc>
      </w:tr>
      <w:tr>
        <w:tblPrEx>
          <w:tblCellMar>
            <w:top w:w="0" w:type="dxa"/>
            <w:left w:w="108" w:type="dxa"/>
            <w:bottom w:w="0" w:type="dxa"/>
            <w:right w:w="108" w:type="dxa"/>
          </w:tblCellMar>
        </w:tblPrEx>
        <w:trPr>
          <w:trHeight w:val="312" w:hRule="atLeast"/>
        </w:trPr>
        <w:tc>
          <w:tcPr>
            <w:tcW w:w="2127" w:type="dxa"/>
          </w:tcPr>
          <w:p>
            <w:pPr>
              <w:rPr>
                <w:sz w:val="22"/>
                <w:szCs w:val="22"/>
              </w:rPr>
            </w:pPr>
            <w:r>
              <w:rPr>
                <w:sz w:val="22"/>
                <w:szCs w:val="22"/>
              </w:rPr>
              <w:t>P304+P340</w:t>
            </w:r>
          </w:p>
        </w:tc>
        <w:tc>
          <w:tcPr>
            <w:tcW w:w="7604" w:type="dxa"/>
          </w:tcPr>
          <w:p>
            <w:pPr>
              <w:rPr>
                <w:sz w:val="22"/>
                <w:szCs w:val="22"/>
              </w:rPr>
            </w:pPr>
            <w:r>
              <w:rPr>
                <w:sz w:val="22"/>
                <w:szCs w:val="22"/>
              </w:rPr>
              <w:t>IF INHALED: Remove person to fresh air and keep comfortable for breathing.</w:t>
            </w:r>
          </w:p>
        </w:tc>
      </w:tr>
      <w:tr>
        <w:tblPrEx>
          <w:tblCellMar>
            <w:top w:w="0" w:type="dxa"/>
            <w:left w:w="108" w:type="dxa"/>
            <w:bottom w:w="0" w:type="dxa"/>
            <w:right w:w="108" w:type="dxa"/>
          </w:tblCellMar>
        </w:tblPrEx>
        <w:trPr>
          <w:trHeight w:val="572" w:hRule="atLeast"/>
        </w:trPr>
        <w:tc>
          <w:tcPr>
            <w:tcW w:w="2127" w:type="dxa"/>
          </w:tcPr>
          <w:p>
            <w:pPr>
              <w:rPr>
                <w:sz w:val="22"/>
                <w:szCs w:val="22"/>
              </w:rPr>
            </w:pPr>
            <w:r>
              <w:rPr>
                <w:sz w:val="22"/>
                <w:szCs w:val="22"/>
              </w:rPr>
              <w:t>P305+P351+P338</w:t>
            </w:r>
          </w:p>
        </w:tc>
        <w:tc>
          <w:tcPr>
            <w:tcW w:w="7604" w:type="dxa"/>
          </w:tcPr>
          <w:p>
            <w:pPr>
              <w:rPr>
                <w:sz w:val="22"/>
                <w:szCs w:val="22"/>
              </w:rPr>
            </w:pPr>
            <w:r>
              <w:rPr>
                <w:sz w:val="22"/>
                <w:szCs w:val="22"/>
              </w:rPr>
              <w:t>IF IN EYES: Rinse cautiously with water for several minutes. Remove contact lenses, if present and easy to do. Continue rinsing.</w:t>
            </w:r>
          </w:p>
        </w:tc>
      </w:tr>
      <w:tr>
        <w:tblPrEx>
          <w:tblCellMar>
            <w:top w:w="0" w:type="dxa"/>
            <w:left w:w="108" w:type="dxa"/>
            <w:bottom w:w="0" w:type="dxa"/>
            <w:right w:w="108" w:type="dxa"/>
          </w:tblCellMar>
        </w:tblPrEx>
        <w:trPr>
          <w:trHeight w:val="354" w:hRule="atLeast"/>
        </w:trPr>
        <w:tc>
          <w:tcPr>
            <w:tcW w:w="2127" w:type="dxa"/>
          </w:tcPr>
          <w:p>
            <w:pPr>
              <w:rPr>
                <w:sz w:val="22"/>
                <w:szCs w:val="22"/>
              </w:rPr>
            </w:pPr>
            <w:r>
              <w:rPr>
                <w:sz w:val="22"/>
                <w:szCs w:val="22"/>
              </w:rPr>
              <w:t>P337+P313</w:t>
            </w:r>
          </w:p>
        </w:tc>
        <w:tc>
          <w:tcPr>
            <w:tcW w:w="7604" w:type="dxa"/>
          </w:tcPr>
          <w:p>
            <w:pPr>
              <w:rPr>
                <w:sz w:val="22"/>
                <w:szCs w:val="22"/>
              </w:rPr>
            </w:pPr>
            <w:r>
              <w:rPr>
                <w:sz w:val="22"/>
                <w:szCs w:val="22"/>
              </w:rPr>
              <w:t>If eye irritation persists: Get medical advice/attention.</w:t>
            </w:r>
          </w:p>
        </w:tc>
      </w:tr>
      <w:tr>
        <w:tblPrEx>
          <w:tblCellMar>
            <w:top w:w="0" w:type="dxa"/>
            <w:left w:w="108" w:type="dxa"/>
            <w:bottom w:w="0" w:type="dxa"/>
            <w:right w:w="108" w:type="dxa"/>
          </w:tblCellMar>
        </w:tblPrEx>
        <w:trPr>
          <w:trHeight w:val="407" w:hRule="atLeast"/>
        </w:trPr>
        <w:tc>
          <w:tcPr>
            <w:tcW w:w="2127" w:type="dxa"/>
          </w:tcPr>
          <w:p>
            <w:pPr>
              <w:rPr>
                <w:sz w:val="22"/>
                <w:szCs w:val="22"/>
              </w:rPr>
            </w:pPr>
            <w:r>
              <w:rPr>
                <w:sz w:val="22"/>
                <w:szCs w:val="22"/>
              </w:rPr>
              <w:t>P303+P361+P353</w:t>
            </w:r>
          </w:p>
          <w:p>
            <w:pPr>
              <w:rPr>
                <w:sz w:val="22"/>
                <w:szCs w:val="22"/>
              </w:rPr>
            </w:pPr>
          </w:p>
        </w:tc>
        <w:tc>
          <w:tcPr>
            <w:tcW w:w="7604" w:type="dxa"/>
          </w:tcPr>
          <w:p>
            <w:pPr>
              <w:rPr>
                <w:sz w:val="22"/>
                <w:szCs w:val="22"/>
              </w:rPr>
            </w:pPr>
            <w:r>
              <w:rPr>
                <w:sz w:val="22"/>
                <w:szCs w:val="22"/>
              </w:rPr>
              <w:t>IF ON SKIN (or hair): Take off immediately all contaminated clothing. Rinse skin with water [or shower]. If irritation gets worse (redness, rash, blister), get medical attention immediately.</w:t>
            </w:r>
          </w:p>
        </w:tc>
      </w:tr>
      <w:tr>
        <w:tblPrEx>
          <w:tblCellMar>
            <w:top w:w="0" w:type="dxa"/>
            <w:left w:w="108" w:type="dxa"/>
            <w:bottom w:w="0" w:type="dxa"/>
            <w:right w:w="108" w:type="dxa"/>
          </w:tblCellMar>
        </w:tblPrEx>
        <w:trPr>
          <w:trHeight w:val="274" w:hRule="atLeast"/>
        </w:trPr>
        <w:tc>
          <w:tcPr>
            <w:tcW w:w="2127" w:type="dxa"/>
          </w:tcPr>
          <w:p>
            <w:pPr>
              <w:rPr>
                <w:sz w:val="22"/>
                <w:szCs w:val="22"/>
              </w:rPr>
            </w:pPr>
            <w:r>
              <w:rPr>
                <w:sz w:val="22"/>
                <w:szCs w:val="22"/>
              </w:rPr>
              <w:t>P332+P313</w:t>
            </w:r>
          </w:p>
        </w:tc>
        <w:tc>
          <w:tcPr>
            <w:tcW w:w="7604" w:type="dxa"/>
          </w:tcPr>
          <w:p>
            <w:pPr>
              <w:rPr>
                <w:sz w:val="22"/>
                <w:szCs w:val="22"/>
              </w:rPr>
            </w:pPr>
            <w:r>
              <w:rPr>
                <w:sz w:val="22"/>
                <w:szCs w:val="22"/>
              </w:rPr>
              <w:t>If skin irritation occurs: Get medical advice/attention.</w:t>
            </w:r>
          </w:p>
        </w:tc>
      </w:tr>
      <w:tr>
        <w:tblPrEx>
          <w:tblCellMar>
            <w:top w:w="0" w:type="dxa"/>
            <w:left w:w="108" w:type="dxa"/>
            <w:bottom w:w="0" w:type="dxa"/>
            <w:right w:w="108" w:type="dxa"/>
          </w:tblCellMar>
        </w:tblPrEx>
        <w:trPr>
          <w:trHeight w:val="312" w:hRule="atLeast"/>
        </w:trPr>
        <w:tc>
          <w:tcPr>
            <w:tcW w:w="2127" w:type="dxa"/>
          </w:tcPr>
          <w:p>
            <w:pPr>
              <w:rPr>
                <w:sz w:val="22"/>
                <w:szCs w:val="22"/>
              </w:rPr>
            </w:pPr>
            <w:r>
              <w:rPr>
                <w:sz w:val="22"/>
                <w:szCs w:val="22"/>
              </w:rPr>
              <w:t>P370+P378</w:t>
            </w:r>
          </w:p>
        </w:tc>
        <w:tc>
          <w:tcPr>
            <w:tcW w:w="7604" w:type="dxa"/>
          </w:tcPr>
          <w:p>
            <w:pPr>
              <w:rPr>
                <w:sz w:val="22"/>
                <w:szCs w:val="22"/>
              </w:rPr>
            </w:pPr>
            <w:r>
              <w:rPr>
                <w:sz w:val="22"/>
                <w:szCs w:val="22"/>
              </w:rPr>
              <w:t>In case of fire: Use…to extinguish.</w:t>
            </w:r>
          </w:p>
        </w:tc>
      </w:tr>
      <w:tr>
        <w:tblPrEx>
          <w:tblCellMar>
            <w:top w:w="0" w:type="dxa"/>
            <w:left w:w="108" w:type="dxa"/>
            <w:bottom w:w="0" w:type="dxa"/>
            <w:right w:w="108" w:type="dxa"/>
          </w:tblCellMar>
        </w:tblPrEx>
        <w:trPr>
          <w:trHeight w:val="271" w:hRule="atLeast"/>
        </w:trPr>
        <w:tc>
          <w:tcPr>
            <w:tcW w:w="2127" w:type="dxa"/>
          </w:tcPr>
          <w:p>
            <w:pPr>
              <w:rPr>
                <w:sz w:val="22"/>
                <w:szCs w:val="22"/>
              </w:rPr>
            </w:pPr>
            <w:r>
              <w:rPr>
                <w:sz w:val="22"/>
                <w:szCs w:val="22"/>
              </w:rPr>
              <w:t>P391</w:t>
            </w:r>
          </w:p>
        </w:tc>
        <w:tc>
          <w:tcPr>
            <w:tcW w:w="7604" w:type="dxa"/>
          </w:tcPr>
          <w:p>
            <w:pPr>
              <w:rPr>
                <w:sz w:val="22"/>
                <w:szCs w:val="22"/>
              </w:rPr>
            </w:pPr>
            <w:r>
              <w:rPr>
                <w:sz w:val="22"/>
                <w:szCs w:val="22"/>
              </w:rPr>
              <w:t>Collect spillage.</w:t>
            </w:r>
          </w:p>
        </w:tc>
      </w:tr>
    </w:tbl>
    <w:p>
      <w:pPr>
        <w:ind w:left="734"/>
        <w:rPr>
          <w:sz w:val="22"/>
          <w:szCs w:val="22"/>
        </w:rPr>
      </w:pPr>
    </w:p>
    <w:p>
      <w:pPr>
        <w:pStyle w:val="11"/>
        <w:ind w:left="580" w:firstLine="0" w:firstLineChars="0"/>
        <w:rPr>
          <w:rFonts w:ascii="Times New Roman" w:hAnsi="Times New Roman" w:cs="Times New Roman"/>
          <w:sz w:val="22"/>
        </w:rPr>
      </w:pPr>
      <w:r>
        <w:rPr>
          <w:rFonts w:ascii="Times New Roman" w:hAnsi="Times New Roman" w:cs="Times New Roman"/>
          <w:b/>
          <w:sz w:val="22"/>
        </w:rPr>
        <w:t>Safe storage:</w:t>
      </w:r>
    </w:p>
    <w:tbl>
      <w:tblPr>
        <w:tblStyle w:val="5"/>
        <w:tblW w:w="6779" w:type="dxa"/>
        <w:tblInd w:w="645" w:type="dxa"/>
        <w:tblLayout w:type="fixed"/>
        <w:tblCellMar>
          <w:top w:w="0" w:type="dxa"/>
          <w:left w:w="108" w:type="dxa"/>
          <w:bottom w:w="0" w:type="dxa"/>
          <w:right w:w="108" w:type="dxa"/>
        </w:tblCellMar>
      </w:tblPr>
      <w:tblGrid>
        <w:gridCol w:w="2157"/>
        <w:gridCol w:w="4622"/>
      </w:tblGrid>
      <w:tr>
        <w:tblPrEx>
          <w:tblCellMar>
            <w:top w:w="0" w:type="dxa"/>
            <w:left w:w="108" w:type="dxa"/>
            <w:bottom w:w="0" w:type="dxa"/>
            <w:right w:w="108" w:type="dxa"/>
          </w:tblCellMar>
        </w:tblPrEx>
        <w:trPr>
          <w:trHeight w:val="312" w:hRule="atLeast"/>
        </w:trPr>
        <w:tc>
          <w:tcPr>
            <w:tcW w:w="2157" w:type="dxa"/>
          </w:tcPr>
          <w:p>
            <w:pPr>
              <w:rPr>
                <w:sz w:val="22"/>
                <w:szCs w:val="22"/>
              </w:rPr>
            </w:pPr>
            <w:r>
              <w:rPr>
                <w:sz w:val="22"/>
                <w:szCs w:val="22"/>
              </w:rPr>
              <w:t>P403+P235</w:t>
            </w:r>
          </w:p>
        </w:tc>
        <w:tc>
          <w:tcPr>
            <w:tcW w:w="4622" w:type="dxa"/>
          </w:tcPr>
          <w:p>
            <w:pPr>
              <w:rPr>
                <w:sz w:val="22"/>
                <w:szCs w:val="22"/>
              </w:rPr>
            </w:pPr>
            <w:r>
              <w:rPr>
                <w:sz w:val="22"/>
                <w:szCs w:val="22"/>
              </w:rPr>
              <w:t>Store in a well-ventilated place.</w:t>
            </w:r>
          </w:p>
        </w:tc>
      </w:tr>
      <w:tr>
        <w:tblPrEx>
          <w:tblCellMar>
            <w:top w:w="0" w:type="dxa"/>
            <w:left w:w="108" w:type="dxa"/>
            <w:bottom w:w="0" w:type="dxa"/>
            <w:right w:w="108" w:type="dxa"/>
          </w:tblCellMar>
        </w:tblPrEx>
        <w:trPr>
          <w:trHeight w:val="299" w:hRule="atLeast"/>
        </w:trPr>
        <w:tc>
          <w:tcPr>
            <w:tcW w:w="2157" w:type="dxa"/>
          </w:tcPr>
          <w:p>
            <w:pPr>
              <w:rPr>
                <w:sz w:val="22"/>
                <w:szCs w:val="22"/>
              </w:rPr>
            </w:pPr>
            <w:r>
              <w:rPr>
                <w:sz w:val="22"/>
                <w:szCs w:val="22"/>
              </w:rPr>
              <w:t>P405</w:t>
            </w:r>
          </w:p>
        </w:tc>
        <w:tc>
          <w:tcPr>
            <w:tcW w:w="4622" w:type="dxa"/>
          </w:tcPr>
          <w:p>
            <w:pPr>
              <w:rPr>
                <w:sz w:val="22"/>
                <w:szCs w:val="22"/>
              </w:rPr>
            </w:pPr>
            <w:r>
              <w:rPr>
                <w:sz w:val="22"/>
                <w:szCs w:val="22"/>
              </w:rPr>
              <w:t>Store locked up.</w:t>
            </w:r>
          </w:p>
        </w:tc>
      </w:tr>
    </w:tbl>
    <w:p>
      <w:pPr>
        <w:rPr>
          <w:sz w:val="22"/>
          <w:szCs w:val="22"/>
        </w:rPr>
      </w:pPr>
    </w:p>
    <w:p>
      <w:pPr>
        <w:pStyle w:val="11"/>
        <w:ind w:left="580" w:firstLine="0" w:firstLineChars="0"/>
        <w:rPr>
          <w:rFonts w:ascii="Times New Roman" w:hAnsi="Times New Roman" w:cs="Times New Roman"/>
          <w:b/>
          <w:sz w:val="22"/>
        </w:rPr>
      </w:pPr>
      <w:r>
        <w:rPr>
          <w:rFonts w:ascii="Times New Roman" w:hAnsi="Times New Roman" w:cs="Times New Roman"/>
          <w:b/>
          <w:sz w:val="22"/>
        </w:rPr>
        <w:t>Disposal:</w:t>
      </w:r>
    </w:p>
    <w:p>
      <w:pPr>
        <w:widowControl/>
        <w:autoSpaceDE w:val="0"/>
        <w:autoSpaceDN w:val="0"/>
        <w:adjustRightInd w:val="0"/>
        <w:jc w:val="left"/>
        <w:rPr>
          <w:kern w:val="0"/>
          <w:sz w:val="22"/>
          <w:szCs w:val="22"/>
        </w:rPr>
      </w:pPr>
      <w:r>
        <w:rPr>
          <w:kern w:val="0"/>
          <w:sz w:val="22"/>
          <w:szCs w:val="22"/>
        </w:rPr>
        <w:t xml:space="preserve">      P501                Dispose of contents/container to…</w:t>
      </w:r>
    </w:p>
    <w:p>
      <w:pPr>
        <w:widowControl/>
        <w:autoSpaceDE w:val="0"/>
        <w:autoSpaceDN w:val="0"/>
        <w:adjustRightInd w:val="0"/>
        <w:ind w:left="880" w:hanging="880" w:hangingChars="400"/>
        <w:jc w:val="left"/>
        <w:rPr>
          <w:kern w:val="0"/>
          <w:sz w:val="22"/>
          <w:szCs w:val="22"/>
        </w:rPr>
      </w:pPr>
    </w:p>
    <w:p>
      <w:pPr>
        <w:rPr>
          <w:b/>
          <w:sz w:val="22"/>
          <w:szCs w:val="22"/>
        </w:rPr>
      </w:pPr>
      <w:r>
        <w:rPr>
          <w:b/>
          <w:sz w:val="22"/>
          <w:szCs w:val="22"/>
        </w:rPr>
        <w:t>Physical and chemical hazards:</w:t>
      </w:r>
    </w:p>
    <w:p>
      <w:pPr>
        <w:rPr>
          <w:color w:val="1F497D" w:themeColor="text2"/>
          <w:sz w:val="22"/>
          <w:szCs w:val="22"/>
        </w:rPr>
      </w:pPr>
      <w:r>
        <w:rPr>
          <w:sz w:val="22"/>
          <w:szCs w:val="22"/>
        </w:rPr>
        <w:t xml:space="preserve">Flammable liquid and vapor. </w:t>
      </w:r>
    </w:p>
    <w:p>
      <w:pPr>
        <w:rPr>
          <w:b/>
          <w:sz w:val="22"/>
          <w:szCs w:val="22"/>
        </w:rPr>
      </w:pPr>
      <w:r>
        <w:rPr>
          <w:b/>
          <w:sz w:val="22"/>
          <w:szCs w:val="22"/>
        </w:rPr>
        <w:t xml:space="preserve">Health </w:t>
      </w:r>
      <w:r>
        <w:rPr>
          <w:rFonts w:hint="eastAsia"/>
          <w:b/>
          <w:sz w:val="22"/>
          <w:szCs w:val="22"/>
        </w:rPr>
        <w:t>h</w:t>
      </w:r>
      <w:r>
        <w:rPr>
          <w:b/>
          <w:sz w:val="22"/>
          <w:szCs w:val="22"/>
        </w:rPr>
        <w:t>azards:</w:t>
      </w:r>
    </w:p>
    <w:p>
      <w:pPr>
        <w:rPr>
          <w:sz w:val="22"/>
          <w:szCs w:val="22"/>
        </w:rPr>
      </w:pPr>
      <w:r>
        <w:rPr>
          <w:sz w:val="22"/>
          <w:szCs w:val="22"/>
        </w:rPr>
        <w:t>It is hazardous if inhaled or on skin. It causes skin irritation and severe eye irritation, and it may cause respiration tract irritation.</w:t>
      </w:r>
    </w:p>
    <w:p>
      <w:pPr>
        <w:rPr>
          <w:b/>
          <w:sz w:val="22"/>
          <w:szCs w:val="22"/>
        </w:rPr>
      </w:pPr>
      <w:r>
        <w:rPr>
          <w:b/>
          <w:sz w:val="22"/>
          <w:szCs w:val="22"/>
        </w:rPr>
        <w:t xml:space="preserve">Environmental </w:t>
      </w:r>
      <w:r>
        <w:rPr>
          <w:rFonts w:hint="eastAsia"/>
          <w:b/>
          <w:sz w:val="22"/>
          <w:szCs w:val="22"/>
        </w:rPr>
        <w:t>h</w:t>
      </w:r>
      <w:r>
        <w:rPr>
          <w:b/>
          <w:sz w:val="22"/>
          <w:szCs w:val="22"/>
        </w:rPr>
        <w:t xml:space="preserve">azards: </w:t>
      </w:r>
    </w:p>
    <w:p>
      <w:pPr>
        <w:rPr>
          <w:sz w:val="22"/>
          <w:szCs w:val="22"/>
        </w:rPr>
      </w:pPr>
      <w:r>
        <w:rPr>
          <w:sz w:val="22"/>
          <w:szCs w:val="22"/>
        </w:rPr>
        <w:t>It is hazardous to aquatic life with long lasting effects.</w:t>
      </w:r>
    </w:p>
    <w:p>
      <w:pPr>
        <w:rPr>
          <w:sz w:val="22"/>
          <w:szCs w:val="22"/>
        </w:rPr>
      </w:pPr>
    </w:p>
    <w:p>
      <w:pPr>
        <w:rPr>
          <w:b/>
          <w:sz w:val="22"/>
          <w:szCs w:val="22"/>
        </w:rPr>
      </w:pPr>
      <w:r>
        <w:rPr>
          <w:b/>
          <w:sz w:val="22"/>
          <w:szCs w:val="22"/>
        </w:rPr>
        <w:t>SECTION 3 Composition/information on ingredients</w:t>
      </w:r>
    </w:p>
    <w:p>
      <w:pPr>
        <w:jc w:val="center"/>
        <w:rPr>
          <w:b/>
          <w:sz w:val="22"/>
          <w:szCs w:val="22"/>
        </w:rPr>
      </w:pPr>
    </w:p>
    <w:p>
      <w:pPr>
        <w:rPr>
          <w:b/>
          <w:sz w:val="22"/>
          <w:szCs w:val="22"/>
        </w:rPr>
      </w:pPr>
      <w:r>
        <w:rPr>
          <w:b/>
          <w:sz w:val="22"/>
          <w:szCs w:val="22"/>
        </w:rPr>
        <w:t>Substance /mixture: mixture</w:t>
      </w:r>
    </w:p>
    <w:p>
      <w:pPr>
        <w:ind w:firstLine="110" w:firstLineChars="50"/>
        <w:rPr>
          <w:sz w:val="22"/>
          <w:szCs w:val="22"/>
        </w:rPr>
      </w:pPr>
      <w:r>
        <w:rPr>
          <w:sz w:val="22"/>
          <w:szCs w:val="22"/>
        </w:rPr>
        <w:t>product ingredient:</w:t>
      </w:r>
    </w:p>
    <w:p>
      <w:pPr>
        <w:ind w:firstLine="220" w:firstLineChars="100"/>
        <w:rPr>
          <w:sz w:val="22"/>
          <w:szCs w:val="22"/>
        </w:rPr>
      </w:pPr>
      <w:r>
        <w:rPr>
          <w:sz w:val="22"/>
          <w:szCs w:val="22"/>
        </w:rPr>
        <w:t>Chemical Name                          %                      CAS Number</w:t>
      </w:r>
    </w:p>
    <w:tbl>
      <w:tblPr>
        <w:tblStyle w:val="5"/>
        <w:tblW w:w="9214"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9"/>
        <w:gridCol w:w="3003"/>
        <w:gridCol w:w="3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9" w:type="dxa"/>
            <w:shd w:val="clear" w:color="auto" w:fill="auto"/>
            <w:vAlign w:val="center"/>
          </w:tcPr>
          <w:p>
            <w:pPr>
              <w:ind w:firstLine="220" w:firstLineChars="100"/>
              <w:jc w:val="center"/>
              <w:rPr>
                <w:sz w:val="22"/>
                <w:szCs w:val="22"/>
              </w:rPr>
            </w:pPr>
            <w:r>
              <w:rPr>
                <w:rFonts w:hint="eastAsia"/>
                <w:sz w:val="22"/>
                <w:szCs w:val="22"/>
              </w:rPr>
              <w:t>Butyl acetate</w:t>
            </w:r>
          </w:p>
        </w:tc>
        <w:tc>
          <w:tcPr>
            <w:tcW w:w="3003" w:type="dxa"/>
            <w:shd w:val="clear" w:color="auto" w:fill="auto"/>
            <w:vAlign w:val="center"/>
          </w:tcPr>
          <w:p>
            <w:pPr>
              <w:ind w:firstLine="220" w:firstLineChars="100"/>
              <w:jc w:val="center"/>
              <w:rPr>
                <w:sz w:val="22"/>
                <w:szCs w:val="22"/>
              </w:rPr>
            </w:pPr>
            <w:r>
              <w:rPr>
                <w:rFonts w:hint="eastAsia"/>
                <w:sz w:val="22"/>
                <w:szCs w:val="22"/>
              </w:rPr>
              <w:t>30-40</w:t>
            </w:r>
          </w:p>
        </w:tc>
        <w:tc>
          <w:tcPr>
            <w:tcW w:w="3402" w:type="dxa"/>
            <w:shd w:val="clear" w:color="auto" w:fill="auto"/>
            <w:vAlign w:val="center"/>
          </w:tcPr>
          <w:p>
            <w:pPr>
              <w:ind w:firstLine="220" w:firstLineChars="100"/>
              <w:jc w:val="center"/>
              <w:rPr>
                <w:sz w:val="22"/>
                <w:szCs w:val="22"/>
              </w:rPr>
            </w:pPr>
            <w:r>
              <w:rPr>
                <w:rFonts w:hint="eastAsia"/>
                <w:sz w:val="22"/>
                <w:szCs w:val="22"/>
              </w:rPr>
              <w:t>123-86-4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9" w:type="dxa"/>
            <w:shd w:val="clear" w:color="auto" w:fill="auto"/>
            <w:vAlign w:val="center"/>
          </w:tcPr>
          <w:p>
            <w:pPr>
              <w:ind w:firstLine="220" w:firstLineChars="100"/>
              <w:jc w:val="center"/>
              <w:rPr>
                <w:sz w:val="22"/>
                <w:szCs w:val="22"/>
              </w:rPr>
            </w:pPr>
            <w:r>
              <w:rPr>
                <w:sz w:val="22"/>
                <w:szCs w:val="22"/>
              </w:rPr>
              <w:t>Xylene</w:t>
            </w:r>
          </w:p>
        </w:tc>
        <w:tc>
          <w:tcPr>
            <w:tcW w:w="3003" w:type="dxa"/>
            <w:shd w:val="clear" w:color="auto" w:fill="auto"/>
            <w:vAlign w:val="center"/>
          </w:tcPr>
          <w:p>
            <w:pPr>
              <w:ind w:firstLine="220" w:firstLineChars="100"/>
              <w:jc w:val="center"/>
              <w:rPr>
                <w:sz w:val="22"/>
                <w:szCs w:val="22"/>
              </w:rPr>
            </w:pPr>
            <w:r>
              <w:rPr>
                <w:rFonts w:hint="eastAsia"/>
                <w:sz w:val="22"/>
                <w:szCs w:val="22"/>
              </w:rPr>
              <w:t>10-15</w:t>
            </w:r>
          </w:p>
        </w:tc>
        <w:tc>
          <w:tcPr>
            <w:tcW w:w="3402" w:type="dxa"/>
            <w:shd w:val="clear" w:color="auto" w:fill="auto"/>
            <w:vAlign w:val="center"/>
          </w:tcPr>
          <w:p>
            <w:pPr>
              <w:ind w:firstLine="220" w:firstLineChars="100"/>
              <w:jc w:val="center"/>
              <w:rPr>
                <w:sz w:val="22"/>
                <w:szCs w:val="22"/>
              </w:rPr>
            </w:pPr>
            <w:r>
              <w:rPr>
                <w:rFonts w:hint="eastAsia"/>
                <w:sz w:val="22"/>
                <w:szCs w:val="22"/>
              </w:rPr>
              <w:t>1330-20-7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9" w:type="dxa"/>
            <w:shd w:val="clear" w:color="auto" w:fill="auto"/>
            <w:vAlign w:val="center"/>
          </w:tcPr>
          <w:p>
            <w:pPr>
              <w:ind w:firstLine="220" w:firstLineChars="100"/>
              <w:jc w:val="center"/>
              <w:rPr>
                <w:sz w:val="22"/>
                <w:szCs w:val="22"/>
              </w:rPr>
            </w:pPr>
            <w:r>
              <w:rPr>
                <w:rFonts w:hint="eastAsia"/>
                <w:sz w:val="22"/>
                <w:szCs w:val="22"/>
              </w:rPr>
              <w:t>PMA</w:t>
            </w:r>
          </w:p>
        </w:tc>
        <w:tc>
          <w:tcPr>
            <w:tcW w:w="3003" w:type="dxa"/>
            <w:shd w:val="clear" w:color="auto" w:fill="auto"/>
            <w:vAlign w:val="center"/>
          </w:tcPr>
          <w:p>
            <w:pPr>
              <w:ind w:firstLine="220" w:firstLineChars="100"/>
              <w:jc w:val="center"/>
              <w:rPr>
                <w:sz w:val="22"/>
                <w:szCs w:val="22"/>
              </w:rPr>
            </w:pPr>
            <w:r>
              <w:rPr>
                <w:rFonts w:hint="eastAsia"/>
                <w:sz w:val="22"/>
                <w:szCs w:val="22"/>
              </w:rPr>
              <w:t>10-15</w:t>
            </w:r>
          </w:p>
        </w:tc>
        <w:tc>
          <w:tcPr>
            <w:tcW w:w="3402" w:type="dxa"/>
            <w:shd w:val="clear" w:color="auto" w:fill="auto"/>
            <w:vAlign w:val="center"/>
          </w:tcPr>
          <w:p>
            <w:pPr>
              <w:ind w:firstLine="220" w:firstLineChars="100"/>
              <w:jc w:val="center"/>
              <w:rPr>
                <w:sz w:val="22"/>
                <w:szCs w:val="22"/>
              </w:rPr>
            </w:pPr>
            <w:r>
              <w:rPr>
                <w:rFonts w:hint="eastAsia"/>
                <w:sz w:val="22"/>
                <w:szCs w:val="22"/>
              </w:rPr>
              <w:t>108-65-6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9" w:type="dxa"/>
            <w:shd w:val="clear" w:color="auto" w:fill="auto"/>
            <w:vAlign w:val="center"/>
          </w:tcPr>
          <w:p>
            <w:pPr>
              <w:ind w:firstLine="220" w:firstLineChars="100"/>
              <w:jc w:val="center"/>
              <w:rPr>
                <w:sz w:val="22"/>
                <w:szCs w:val="22"/>
              </w:rPr>
            </w:pPr>
            <w:r>
              <w:rPr>
                <w:sz w:val="22"/>
                <w:szCs w:val="22"/>
              </w:rPr>
              <w:t>n-Butyl alcohol</w:t>
            </w:r>
          </w:p>
        </w:tc>
        <w:tc>
          <w:tcPr>
            <w:tcW w:w="3003" w:type="dxa"/>
            <w:shd w:val="clear" w:color="auto" w:fill="auto"/>
            <w:vAlign w:val="center"/>
          </w:tcPr>
          <w:p>
            <w:pPr>
              <w:ind w:firstLine="220" w:firstLineChars="100"/>
              <w:jc w:val="center"/>
              <w:rPr>
                <w:sz w:val="22"/>
                <w:szCs w:val="22"/>
              </w:rPr>
            </w:pPr>
            <w:r>
              <w:rPr>
                <w:rFonts w:hint="eastAsia"/>
                <w:sz w:val="22"/>
                <w:szCs w:val="22"/>
              </w:rPr>
              <w:t>＜3</w:t>
            </w:r>
          </w:p>
        </w:tc>
        <w:tc>
          <w:tcPr>
            <w:tcW w:w="3402" w:type="dxa"/>
            <w:shd w:val="clear" w:color="auto" w:fill="auto"/>
            <w:vAlign w:val="center"/>
          </w:tcPr>
          <w:p>
            <w:pPr>
              <w:ind w:firstLine="220" w:firstLineChars="100"/>
              <w:jc w:val="center"/>
              <w:rPr>
                <w:sz w:val="22"/>
                <w:szCs w:val="22"/>
              </w:rPr>
            </w:pPr>
            <w:r>
              <w:rPr>
                <w:rFonts w:hint="eastAsia"/>
                <w:sz w:val="22"/>
                <w:szCs w:val="22"/>
              </w:rPr>
              <w:t>71-36-3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9" w:type="dxa"/>
            <w:shd w:val="clear" w:color="auto" w:fill="auto"/>
            <w:vAlign w:val="center"/>
          </w:tcPr>
          <w:p>
            <w:pPr>
              <w:ind w:firstLine="220" w:firstLineChars="100"/>
              <w:jc w:val="center"/>
              <w:rPr>
                <w:sz w:val="22"/>
                <w:szCs w:val="22"/>
              </w:rPr>
            </w:pPr>
            <w:r>
              <w:rPr>
                <w:sz w:val="22"/>
                <w:szCs w:val="22"/>
              </w:rPr>
              <w:t>S</w:t>
            </w:r>
            <w:r>
              <w:rPr>
                <w:rFonts w:hint="eastAsia"/>
                <w:sz w:val="22"/>
                <w:szCs w:val="22"/>
              </w:rPr>
              <w:t>olvent Oil</w:t>
            </w:r>
          </w:p>
        </w:tc>
        <w:tc>
          <w:tcPr>
            <w:tcW w:w="3003" w:type="dxa"/>
            <w:shd w:val="clear" w:color="auto" w:fill="auto"/>
            <w:vAlign w:val="center"/>
          </w:tcPr>
          <w:p>
            <w:pPr>
              <w:ind w:firstLine="220" w:firstLineChars="100"/>
              <w:jc w:val="center"/>
              <w:rPr>
                <w:sz w:val="22"/>
                <w:szCs w:val="22"/>
              </w:rPr>
            </w:pPr>
            <w:r>
              <w:rPr>
                <w:rFonts w:hint="eastAsia"/>
                <w:sz w:val="22"/>
                <w:szCs w:val="22"/>
              </w:rPr>
              <w:t>＜1</w:t>
            </w:r>
          </w:p>
        </w:tc>
        <w:tc>
          <w:tcPr>
            <w:tcW w:w="3402" w:type="dxa"/>
            <w:shd w:val="clear" w:color="auto" w:fill="auto"/>
            <w:vAlign w:val="center"/>
          </w:tcPr>
          <w:p>
            <w:pPr>
              <w:ind w:firstLine="220" w:firstLineChars="100"/>
              <w:jc w:val="center"/>
              <w:rPr>
                <w:sz w:val="22"/>
                <w:szCs w:val="22"/>
              </w:rPr>
            </w:pPr>
            <w:r>
              <w:rPr>
                <w:rFonts w:hint="eastAsia"/>
                <w:sz w:val="22"/>
                <w:szCs w:val="22"/>
              </w:rPr>
              <w:t>64742-95-6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9" w:type="dxa"/>
            <w:shd w:val="clear" w:color="auto" w:fill="auto"/>
            <w:vAlign w:val="center"/>
          </w:tcPr>
          <w:p>
            <w:pPr>
              <w:ind w:firstLine="220" w:firstLineChars="100"/>
              <w:jc w:val="center"/>
              <w:rPr>
                <w:sz w:val="22"/>
                <w:szCs w:val="22"/>
              </w:rPr>
            </w:pPr>
            <w:r>
              <w:rPr>
                <w:sz w:val="22"/>
                <w:szCs w:val="22"/>
              </w:rPr>
              <w:t>Ethyl acetate</w:t>
            </w:r>
          </w:p>
        </w:tc>
        <w:tc>
          <w:tcPr>
            <w:tcW w:w="3003" w:type="dxa"/>
            <w:shd w:val="clear" w:color="auto" w:fill="auto"/>
            <w:vAlign w:val="center"/>
          </w:tcPr>
          <w:p>
            <w:pPr>
              <w:ind w:firstLine="220" w:firstLineChars="100"/>
              <w:jc w:val="center"/>
              <w:rPr>
                <w:sz w:val="22"/>
                <w:szCs w:val="22"/>
              </w:rPr>
            </w:pPr>
            <w:r>
              <w:rPr>
                <w:rFonts w:hint="eastAsia"/>
                <w:sz w:val="22"/>
                <w:szCs w:val="22"/>
              </w:rPr>
              <w:t>＜1</w:t>
            </w:r>
          </w:p>
        </w:tc>
        <w:tc>
          <w:tcPr>
            <w:tcW w:w="3402" w:type="dxa"/>
            <w:shd w:val="clear" w:color="auto" w:fill="auto"/>
            <w:vAlign w:val="center"/>
          </w:tcPr>
          <w:p>
            <w:pPr>
              <w:ind w:firstLine="220" w:firstLineChars="100"/>
              <w:jc w:val="center"/>
              <w:rPr>
                <w:sz w:val="22"/>
                <w:szCs w:val="22"/>
              </w:rPr>
            </w:pPr>
            <w:r>
              <w:rPr>
                <w:rFonts w:hint="eastAsia"/>
                <w:sz w:val="22"/>
                <w:szCs w:val="22"/>
              </w:rPr>
              <w:t>141-78-6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9" w:type="dxa"/>
            <w:shd w:val="clear" w:color="auto" w:fill="auto"/>
            <w:vAlign w:val="center"/>
          </w:tcPr>
          <w:p>
            <w:pPr>
              <w:ind w:firstLine="220" w:firstLineChars="100"/>
              <w:jc w:val="center"/>
              <w:rPr>
                <w:sz w:val="22"/>
                <w:szCs w:val="22"/>
              </w:rPr>
            </w:pPr>
            <w:r>
              <w:rPr>
                <w:sz w:val="22"/>
                <w:szCs w:val="22"/>
              </w:rPr>
              <w:t>Trimethylbenzene</w:t>
            </w:r>
          </w:p>
        </w:tc>
        <w:tc>
          <w:tcPr>
            <w:tcW w:w="3003" w:type="dxa"/>
            <w:shd w:val="clear" w:color="auto" w:fill="auto"/>
            <w:vAlign w:val="center"/>
          </w:tcPr>
          <w:p>
            <w:pPr>
              <w:ind w:firstLine="220" w:firstLineChars="100"/>
              <w:jc w:val="center"/>
              <w:rPr>
                <w:sz w:val="22"/>
                <w:szCs w:val="22"/>
              </w:rPr>
            </w:pPr>
            <w:r>
              <w:rPr>
                <w:rFonts w:hint="eastAsia"/>
                <w:sz w:val="22"/>
                <w:szCs w:val="22"/>
              </w:rPr>
              <w:t>＜1</w:t>
            </w:r>
          </w:p>
        </w:tc>
        <w:tc>
          <w:tcPr>
            <w:tcW w:w="3402" w:type="dxa"/>
            <w:shd w:val="clear" w:color="auto" w:fill="auto"/>
            <w:vAlign w:val="center"/>
          </w:tcPr>
          <w:p>
            <w:pPr>
              <w:ind w:firstLine="220" w:firstLineChars="100"/>
              <w:jc w:val="center"/>
              <w:rPr>
                <w:sz w:val="22"/>
                <w:szCs w:val="22"/>
              </w:rPr>
            </w:pPr>
            <w:r>
              <w:rPr>
                <w:rFonts w:hint="eastAsia"/>
                <w:sz w:val="22"/>
                <w:szCs w:val="22"/>
              </w:rPr>
              <w:t>108-67-8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9" w:type="dxa"/>
            <w:shd w:val="clear" w:color="auto" w:fill="auto"/>
            <w:vAlign w:val="center"/>
          </w:tcPr>
          <w:p>
            <w:pPr>
              <w:ind w:firstLine="220" w:firstLineChars="100"/>
              <w:jc w:val="center"/>
              <w:rPr>
                <w:sz w:val="22"/>
                <w:szCs w:val="22"/>
              </w:rPr>
            </w:pPr>
            <w:r>
              <w:rPr>
                <w:rFonts w:hint="eastAsia"/>
                <w:sz w:val="22"/>
                <w:szCs w:val="22"/>
              </w:rPr>
              <w:t>R</w:t>
            </w:r>
            <w:r>
              <w:rPr>
                <w:sz w:val="22"/>
                <w:szCs w:val="22"/>
              </w:rPr>
              <w:t>esin</w:t>
            </w:r>
          </w:p>
        </w:tc>
        <w:tc>
          <w:tcPr>
            <w:tcW w:w="3003" w:type="dxa"/>
            <w:shd w:val="clear" w:color="auto" w:fill="auto"/>
            <w:vAlign w:val="center"/>
          </w:tcPr>
          <w:p>
            <w:pPr>
              <w:ind w:firstLine="220" w:firstLineChars="100"/>
              <w:jc w:val="center"/>
              <w:rPr>
                <w:sz w:val="22"/>
                <w:szCs w:val="22"/>
              </w:rPr>
            </w:pPr>
            <w:r>
              <w:rPr>
                <w:rFonts w:hint="eastAsia"/>
                <w:sz w:val="22"/>
                <w:szCs w:val="22"/>
              </w:rPr>
              <w:t>25-35</w:t>
            </w:r>
          </w:p>
        </w:tc>
        <w:tc>
          <w:tcPr>
            <w:tcW w:w="3402" w:type="dxa"/>
            <w:shd w:val="clear" w:color="auto" w:fill="auto"/>
            <w:vAlign w:val="center"/>
          </w:tcPr>
          <w:p>
            <w:pPr>
              <w:ind w:firstLine="220" w:firstLineChars="100"/>
              <w:jc w:val="center"/>
              <w:rPr>
                <w:sz w:val="22"/>
                <w:szCs w:val="22"/>
              </w:rPr>
            </w:pPr>
            <w:r>
              <w:rPr>
                <w:sz w:val="22"/>
                <w:szCs w:val="22"/>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9" w:type="dxa"/>
            <w:shd w:val="clear" w:color="auto" w:fill="auto"/>
            <w:vAlign w:val="center"/>
          </w:tcPr>
          <w:p>
            <w:pPr>
              <w:ind w:firstLine="220" w:firstLineChars="100"/>
              <w:jc w:val="center"/>
              <w:rPr>
                <w:sz w:val="22"/>
                <w:szCs w:val="22"/>
              </w:rPr>
            </w:pPr>
            <w:r>
              <w:rPr>
                <w:sz w:val="22"/>
                <w:szCs w:val="22"/>
              </w:rPr>
              <w:t>Pigment</w:t>
            </w:r>
          </w:p>
        </w:tc>
        <w:tc>
          <w:tcPr>
            <w:tcW w:w="3003" w:type="dxa"/>
            <w:shd w:val="clear" w:color="auto" w:fill="auto"/>
            <w:vAlign w:val="center"/>
          </w:tcPr>
          <w:p>
            <w:pPr>
              <w:ind w:firstLine="220" w:firstLineChars="100"/>
              <w:jc w:val="center"/>
              <w:rPr>
                <w:sz w:val="22"/>
                <w:szCs w:val="22"/>
              </w:rPr>
            </w:pPr>
            <w:r>
              <w:rPr>
                <w:rFonts w:hint="eastAsia"/>
                <w:sz w:val="22"/>
                <w:szCs w:val="22"/>
              </w:rPr>
              <w:t>5-10</w:t>
            </w:r>
          </w:p>
        </w:tc>
        <w:tc>
          <w:tcPr>
            <w:tcW w:w="3402" w:type="dxa"/>
            <w:shd w:val="clear" w:color="auto" w:fill="auto"/>
            <w:vAlign w:val="center"/>
          </w:tcPr>
          <w:p>
            <w:pPr>
              <w:ind w:firstLine="220" w:firstLineChars="100"/>
              <w:jc w:val="center"/>
              <w:rPr>
                <w:sz w:val="22"/>
                <w:szCs w:val="22"/>
              </w:rPr>
            </w:pPr>
            <w:r>
              <w:rPr>
                <w:sz w:val="22"/>
                <w:szCs w:val="22"/>
              </w:rPr>
              <w:t>N/A</w:t>
            </w:r>
          </w:p>
        </w:tc>
      </w:tr>
    </w:tbl>
    <w:p>
      <w:pPr>
        <w:rPr>
          <w:b/>
          <w:sz w:val="22"/>
          <w:szCs w:val="22"/>
        </w:rPr>
      </w:pPr>
    </w:p>
    <w:p>
      <w:pPr>
        <w:rPr>
          <w:b/>
          <w:sz w:val="22"/>
          <w:szCs w:val="22"/>
        </w:rPr>
      </w:pPr>
      <w:r>
        <w:rPr>
          <w:b/>
          <w:sz w:val="22"/>
          <w:szCs w:val="22"/>
        </w:rPr>
        <w:t>SECTION 4 First aid measures</w:t>
      </w:r>
    </w:p>
    <w:p>
      <w:pPr>
        <w:jc w:val="center"/>
        <w:rPr>
          <w:sz w:val="22"/>
          <w:szCs w:val="22"/>
        </w:rPr>
      </w:pPr>
    </w:p>
    <w:p>
      <w:pPr>
        <w:rPr>
          <w:b/>
          <w:sz w:val="22"/>
          <w:szCs w:val="22"/>
        </w:rPr>
      </w:pPr>
      <w:r>
        <w:rPr>
          <w:b/>
          <w:sz w:val="22"/>
          <w:szCs w:val="22"/>
        </w:rPr>
        <w:t>Description of first aid measures</w:t>
      </w:r>
      <w:r>
        <w:rPr>
          <w:rFonts w:hint="eastAsia"/>
          <w:b/>
          <w:sz w:val="22"/>
          <w:szCs w:val="22"/>
        </w:rPr>
        <w:t>:</w:t>
      </w:r>
      <w:bookmarkStart w:id="7" w:name="_GoBack"/>
      <w:bookmarkEnd w:id="7"/>
    </w:p>
    <w:p>
      <w:pPr>
        <w:rPr>
          <w:sz w:val="22"/>
          <w:szCs w:val="22"/>
        </w:rPr>
      </w:pPr>
      <w:r>
        <w:rPr>
          <w:b/>
          <w:sz w:val="22"/>
          <w:szCs w:val="22"/>
        </w:rPr>
        <w:t>Inhalation:</w:t>
      </w:r>
      <w:r>
        <w:rPr>
          <w:sz w:val="22"/>
          <w:szCs w:val="22"/>
        </w:rPr>
        <w:t xml:space="preserve"> Remove to fresh air. Keep person warm and at rest in a position comfortable for breathing.</w:t>
      </w:r>
    </w:p>
    <w:p>
      <w:pPr>
        <w:ind w:left="6" w:leftChars="3"/>
        <w:rPr>
          <w:sz w:val="22"/>
          <w:szCs w:val="22"/>
        </w:rPr>
      </w:pPr>
      <w:r>
        <w:rPr>
          <w:b/>
          <w:sz w:val="22"/>
          <w:szCs w:val="22"/>
        </w:rPr>
        <w:t>Skin contact:</w:t>
      </w:r>
      <w:r>
        <w:rPr>
          <w:sz w:val="22"/>
          <w:szCs w:val="22"/>
        </w:rPr>
        <w:t xml:space="preserve"> Take off immediately all contaminated clothing. Rinse skin thoroughly with soap water. If irritation gets worse (redness, rash, blister), get medical attention immediately.</w:t>
      </w:r>
    </w:p>
    <w:p>
      <w:pPr>
        <w:ind w:left="6" w:leftChars="3"/>
        <w:rPr>
          <w:sz w:val="22"/>
          <w:szCs w:val="22"/>
        </w:rPr>
      </w:pPr>
      <w:r>
        <w:rPr>
          <w:b/>
          <w:sz w:val="22"/>
          <w:szCs w:val="22"/>
        </w:rPr>
        <w:t>Eye contact:</w:t>
      </w:r>
      <w:r>
        <w:rPr>
          <w:sz w:val="22"/>
          <w:szCs w:val="22"/>
        </w:rPr>
        <w:t xml:space="preserve"> Remove contact lenses, irrigate copiously with clean, fresh water, holding the eyelids apart. Seek immediate medical advice.</w:t>
      </w:r>
    </w:p>
    <w:p>
      <w:pPr>
        <w:rPr>
          <w:sz w:val="22"/>
          <w:szCs w:val="22"/>
        </w:rPr>
      </w:pPr>
      <w:r>
        <w:rPr>
          <w:b/>
          <w:sz w:val="22"/>
          <w:szCs w:val="22"/>
        </w:rPr>
        <w:t>Protection of first-aiders:</w:t>
      </w:r>
      <w:r>
        <w:rPr>
          <w:sz w:val="22"/>
          <w:szCs w:val="22"/>
        </w:rPr>
        <w:t xml:space="preserve"> The rescuer should wear an appropriate mask or self-contained breathing apparatus</w:t>
      </w:r>
    </w:p>
    <w:p>
      <w:pPr>
        <w:rPr>
          <w:sz w:val="22"/>
          <w:szCs w:val="22"/>
        </w:rPr>
      </w:pPr>
      <w:r>
        <w:rPr>
          <w:sz w:val="22"/>
          <w:szCs w:val="22"/>
        </w:rPr>
        <w:t xml:space="preserve">                      before enter accident scene.</w:t>
      </w:r>
    </w:p>
    <w:p>
      <w:pPr>
        <w:rPr>
          <w:sz w:val="22"/>
          <w:szCs w:val="22"/>
        </w:rPr>
      </w:pPr>
      <w:r>
        <w:rPr>
          <w:b/>
          <w:sz w:val="22"/>
          <w:szCs w:val="22"/>
        </w:rPr>
        <w:t>Notes to physician:</w:t>
      </w:r>
      <w:r>
        <w:rPr>
          <w:sz w:val="22"/>
          <w:szCs w:val="22"/>
        </w:rPr>
        <w:t xml:space="preserve"> The harmful ingredients are displayed in section 3 and 11.</w:t>
      </w:r>
    </w:p>
    <w:p>
      <w:pPr>
        <w:ind w:left="1865" w:leftChars="50" w:hanging="1760" w:hangingChars="800"/>
        <w:rPr>
          <w:sz w:val="22"/>
          <w:szCs w:val="22"/>
        </w:rPr>
      </w:pPr>
    </w:p>
    <w:p>
      <w:pPr>
        <w:rPr>
          <w:b/>
          <w:sz w:val="22"/>
          <w:szCs w:val="22"/>
        </w:rPr>
      </w:pPr>
      <w:r>
        <w:rPr>
          <w:b/>
          <w:sz w:val="22"/>
          <w:szCs w:val="22"/>
        </w:rPr>
        <w:t>SECTION 5 Firefighting measures</w:t>
      </w:r>
    </w:p>
    <w:p>
      <w:pPr>
        <w:ind w:left="1872" w:leftChars="50" w:hanging="1767" w:hangingChars="800"/>
        <w:jc w:val="center"/>
        <w:rPr>
          <w:b/>
          <w:sz w:val="22"/>
          <w:szCs w:val="22"/>
        </w:rPr>
      </w:pPr>
    </w:p>
    <w:p>
      <w:pPr>
        <w:rPr>
          <w:b/>
          <w:sz w:val="22"/>
          <w:szCs w:val="22"/>
        </w:rPr>
      </w:pPr>
      <w:r>
        <w:rPr>
          <w:b/>
          <w:sz w:val="22"/>
          <w:szCs w:val="22"/>
        </w:rPr>
        <w:t>Extinguishing media:</w:t>
      </w:r>
    </w:p>
    <w:p>
      <w:pPr>
        <w:rPr>
          <w:sz w:val="22"/>
          <w:szCs w:val="22"/>
        </w:rPr>
      </w:pPr>
      <w:r>
        <w:rPr>
          <w:sz w:val="22"/>
          <w:szCs w:val="22"/>
        </w:rPr>
        <w:t>Use dry chemical, sand, foam or CO₂ extinguishers. Do not use water jet directly.</w:t>
      </w:r>
    </w:p>
    <w:p>
      <w:pPr>
        <w:rPr>
          <w:b/>
          <w:sz w:val="22"/>
          <w:szCs w:val="22"/>
        </w:rPr>
      </w:pPr>
      <w:r>
        <w:rPr>
          <w:b/>
          <w:sz w:val="22"/>
          <w:szCs w:val="22"/>
        </w:rPr>
        <w:t xml:space="preserve">Special hazards: </w:t>
      </w:r>
    </w:p>
    <w:p>
      <w:pPr>
        <w:rPr>
          <w:sz w:val="22"/>
          <w:szCs w:val="22"/>
        </w:rPr>
      </w:pPr>
      <w:r>
        <w:rPr>
          <w:sz w:val="22"/>
          <w:szCs w:val="22"/>
        </w:rPr>
        <w:t xml:space="preserve">Flammable liquid and vapor. Its vapor forms explosive mixtures when meets air. May cause combustion and explosion when meets with open flames and high heat. Fast flow velocity. Easy to generate and accumulate static electricity. </w:t>
      </w:r>
    </w:p>
    <w:p>
      <w:pPr>
        <w:rPr>
          <w:b/>
          <w:sz w:val="22"/>
          <w:szCs w:val="22"/>
        </w:rPr>
      </w:pPr>
      <w:r>
        <w:rPr>
          <w:b/>
          <w:sz w:val="22"/>
          <w:szCs w:val="22"/>
        </w:rPr>
        <w:t>Special firefighting procedure and advice for protection:</w:t>
      </w:r>
    </w:p>
    <w:p>
      <w:pPr>
        <w:rPr>
          <w:sz w:val="22"/>
          <w:szCs w:val="22"/>
        </w:rPr>
      </w:pPr>
      <w:r>
        <w:rPr>
          <w:sz w:val="22"/>
          <w:szCs w:val="22"/>
        </w:rPr>
        <w:t>Remove and process liquids from fire area in case of environment pollution. Fire-fighters should wear full protective clothing and self-contained breathing apparatus (SCBA) and stand on upwind area for firefighting.</w:t>
      </w:r>
    </w:p>
    <w:tbl>
      <w:tblPr>
        <w:tblStyle w:val="5"/>
        <w:tblW w:w="10632" w:type="dxa"/>
        <w:tblInd w:w="-34" w:type="dxa"/>
        <w:tblLayout w:type="fixed"/>
        <w:tblCellMar>
          <w:top w:w="0" w:type="dxa"/>
          <w:left w:w="108" w:type="dxa"/>
          <w:bottom w:w="0" w:type="dxa"/>
          <w:right w:w="108" w:type="dxa"/>
        </w:tblCellMar>
      </w:tblPr>
      <w:tblGrid>
        <w:gridCol w:w="10632"/>
      </w:tblGrid>
      <w:tr>
        <w:tc>
          <w:tcPr>
            <w:tcW w:w="10632" w:type="dxa"/>
            <w:shd w:val="clear" w:color="auto" w:fill="auto"/>
            <w:vAlign w:val="center"/>
          </w:tcPr>
          <w:p>
            <w:pPr>
              <w:rPr>
                <w:sz w:val="22"/>
                <w:szCs w:val="22"/>
              </w:rPr>
            </w:pPr>
          </w:p>
          <w:p>
            <w:pPr>
              <w:rPr>
                <w:b/>
                <w:sz w:val="22"/>
                <w:szCs w:val="22"/>
              </w:rPr>
            </w:pPr>
            <w:r>
              <w:rPr>
                <w:b/>
                <w:sz w:val="22"/>
                <w:szCs w:val="22"/>
              </w:rPr>
              <w:t>SECTION 6 Accidental release measures</w:t>
            </w:r>
          </w:p>
          <w:p>
            <w:pPr>
              <w:ind w:left="1877" w:hanging="1877" w:hangingChars="850"/>
              <w:jc w:val="center"/>
              <w:rPr>
                <w:b/>
                <w:sz w:val="22"/>
                <w:szCs w:val="22"/>
              </w:rPr>
            </w:pPr>
          </w:p>
          <w:p>
            <w:pPr>
              <w:rPr>
                <w:b/>
                <w:sz w:val="22"/>
                <w:szCs w:val="22"/>
              </w:rPr>
            </w:pPr>
            <w:r>
              <w:rPr>
                <w:b/>
                <w:sz w:val="22"/>
                <w:szCs w:val="22"/>
              </w:rPr>
              <w:t xml:space="preserve">Personal precautions, protective equipment and emergency procedures: </w:t>
            </w:r>
          </w:p>
          <w:p>
            <w:pPr>
              <w:rPr>
                <w:sz w:val="22"/>
                <w:szCs w:val="22"/>
              </w:rPr>
            </w:pPr>
            <w:r>
              <w:rPr>
                <w:sz w:val="22"/>
                <w:szCs w:val="22"/>
              </w:rPr>
              <w:t xml:space="preserve">Be stored in well-ventilated place and keep away from ignition sources. </w:t>
            </w:r>
          </w:p>
          <w:p>
            <w:pPr>
              <w:rPr>
                <w:sz w:val="22"/>
                <w:szCs w:val="22"/>
              </w:rPr>
            </w:pPr>
            <w:r>
              <w:rPr>
                <w:sz w:val="22"/>
                <w:szCs w:val="22"/>
              </w:rPr>
              <w:t xml:space="preserve">Ensure all devices are grounded while they are working. </w:t>
            </w:r>
          </w:p>
          <w:p>
            <w:pPr>
              <w:jc w:val="left"/>
              <w:rPr>
                <w:sz w:val="22"/>
                <w:szCs w:val="22"/>
              </w:rPr>
            </w:pPr>
            <w:r>
              <w:rPr>
                <w:sz w:val="22"/>
                <w:szCs w:val="22"/>
              </w:rPr>
              <w:t xml:space="preserve">Emergency responders should wear full protective clothing and self-contained breathing apparatus during clean-up.  </w:t>
            </w:r>
          </w:p>
          <w:p>
            <w:pPr>
              <w:rPr>
                <w:sz w:val="22"/>
                <w:szCs w:val="22"/>
              </w:rPr>
            </w:pPr>
            <w:r>
              <w:rPr>
                <w:sz w:val="22"/>
                <w:szCs w:val="22"/>
              </w:rPr>
              <w:t>Follow the safety regulations.</w:t>
            </w:r>
          </w:p>
          <w:p>
            <w:pPr>
              <w:ind w:firstLine="220" w:firstLineChars="100"/>
              <w:rPr>
                <w:sz w:val="22"/>
                <w:szCs w:val="22"/>
              </w:rPr>
            </w:pPr>
          </w:p>
          <w:p>
            <w:pPr>
              <w:rPr>
                <w:b/>
                <w:sz w:val="22"/>
                <w:szCs w:val="22"/>
              </w:rPr>
            </w:pPr>
            <w:r>
              <w:rPr>
                <w:b/>
                <w:sz w:val="22"/>
                <w:szCs w:val="22"/>
              </w:rPr>
              <w:t xml:space="preserve">Environmental precaution： </w:t>
            </w:r>
          </w:p>
          <w:p>
            <w:pPr>
              <w:rPr>
                <w:sz w:val="22"/>
                <w:szCs w:val="22"/>
              </w:rPr>
            </w:pPr>
            <w:r>
              <w:rPr>
                <w:sz w:val="22"/>
                <w:szCs w:val="22"/>
              </w:rPr>
              <w:t xml:space="preserve">Avoid discharge into drains and water pipes. Inform the relevant authorities if there are pollutions entering into the rivers, lakes or waterways. </w:t>
            </w:r>
          </w:p>
          <w:p>
            <w:pPr>
              <w:autoSpaceDE w:val="0"/>
              <w:autoSpaceDN w:val="0"/>
              <w:adjustRightInd w:val="0"/>
              <w:jc w:val="left"/>
              <w:rPr>
                <w:b/>
                <w:sz w:val="22"/>
                <w:szCs w:val="22"/>
              </w:rPr>
            </w:pPr>
            <w:r>
              <w:rPr>
                <w:b/>
                <w:sz w:val="22"/>
                <w:szCs w:val="22"/>
              </w:rPr>
              <w:t>Methods and material for containment and cleaning up:</w:t>
            </w:r>
          </w:p>
          <w:p>
            <w:pPr>
              <w:rPr>
                <w:sz w:val="22"/>
                <w:szCs w:val="22"/>
              </w:rPr>
            </w:pPr>
            <w:r>
              <w:rPr>
                <w:sz w:val="22"/>
                <w:szCs w:val="22"/>
              </w:rPr>
              <w:t>Small spills: Absorb with activated carbon or other inert material or wash out with lotion made by incombustible dispersant. After diluting, place it in an appropriate waste disposal container.</w:t>
            </w:r>
          </w:p>
        </w:tc>
      </w:tr>
    </w:tbl>
    <w:p>
      <w:pPr>
        <w:rPr>
          <w:kern w:val="0"/>
          <w:sz w:val="22"/>
          <w:szCs w:val="22"/>
        </w:rPr>
      </w:pPr>
      <w:r>
        <w:rPr>
          <w:sz w:val="22"/>
          <w:szCs w:val="22"/>
        </w:rPr>
        <w:t xml:space="preserve">Large spills: Dike the spilled material and confine the sewers, where this is possible. </w:t>
      </w:r>
      <w:r>
        <w:rPr>
          <w:kern w:val="0"/>
          <w:sz w:val="22"/>
          <w:szCs w:val="22"/>
        </w:rPr>
        <w:t>Cover with foam to prevent evaporation. Collect and transfer spillage with explosive-proof pump, and place in tank trucks or containers for later recycle or disposal.</w:t>
      </w:r>
    </w:p>
    <w:p>
      <w:pPr>
        <w:rPr>
          <w:kern w:val="0"/>
          <w:sz w:val="22"/>
          <w:szCs w:val="22"/>
        </w:rPr>
      </w:pPr>
    </w:p>
    <w:p>
      <w:pPr>
        <w:rPr>
          <w:b/>
          <w:sz w:val="22"/>
          <w:szCs w:val="22"/>
        </w:rPr>
      </w:pPr>
      <w:r>
        <w:rPr>
          <w:b/>
          <w:kern w:val="0"/>
          <w:sz w:val="22"/>
          <w:szCs w:val="22"/>
        </w:rPr>
        <w:t xml:space="preserve">SECTION 7 </w:t>
      </w:r>
      <w:r>
        <w:rPr>
          <w:b/>
          <w:sz w:val="22"/>
          <w:szCs w:val="22"/>
        </w:rPr>
        <w:t>Handling and storage</w:t>
      </w:r>
    </w:p>
    <w:p>
      <w:pPr>
        <w:jc w:val="center"/>
        <w:rPr>
          <w:b/>
          <w:sz w:val="22"/>
          <w:szCs w:val="22"/>
        </w:rPr>
      </w:pPr>
    </w:p>
    <w:p>
      <w:pPr>
        <w:rPr>
          <w:b/>
          <w:sz w:val="22"/>
          <w:szCs w:val="22"/>
        </w:rPr>
      </w:pPr>
      <w:r>
        <w:rPr>
          <w:b/>
          <w:sz w:val="22"/>
          <w:szCs w:val="22"/>
        </w:rPr>
        <w:t>Precautions for safe handling:</w:t>
      </w:r>
    </w:p>
    <w:p>
      <w:pPr>
        <w:rPr>
          <w:sz w:val="22"/>
          <w:szCs w:val="22"/>
        </w:rPr>
      </w:pPr>
      <w:r>
        <w:rPr>
          <w:sz w:val="22"/>
          <w:szCs w:val="22"/>
        </w:rPr>
        <w:t xml:space="preserve">Obtain special instructions before use. Do not handle until all safety precautions have been read and understood. </w:t>
      </w:r>
    </w:p>
    <w:p>
      <w:pPr>
        <w:rPr>
          <w:sz w:val="22"/>
          <w:szCs w:val="22"/>
        </w:rPr>
      </w:pPr>
      <w:r>
        <w:rPr>
          <w:sz w:val="22"/>
          <w:szCs w:val="22"/>
        </w:rPr>
        <w:t xml:space="preserve">The operator should wear antistatic clothing and shoes, and put on rubber oil-resistant gloves. </w:t>
      </w:r>
    </w:p>
    <w:p>
      <w:pPr>
        <w:rPr>
          <w:sz w:val="22"/>
          <w:szCs w:val="22"/>
        </w:rPr>
      </w:pPr>
      <w:r>
        <w:rPr>
          <w:sz w:val="22"/>
          <w:szCs w:val="22"/>
        </w:rPr>
        <w:t xml:space="preserve">Workplace should be partial or comprehensive ventilated. </w:t>
      </w:r>
    </w:p>
    <w:p>
      <w:pPr>
        <w:rPr>
          <w:sz w:val="22"/>
          <w:szCs w:val="22"/>
        </w:rPr>
      </w:pPr>
      <w:r>
        <w:rPr>
          <w:sz w:val="22"/>
          <w:szCs w:val="22"/>
        </w:rPr>
        <w:t xml:space="preserve">Use explosion-proof ventilation and equipment. </w:t>
      </w:r>
    </w:p>
    <w:p>
      <w:pPr>
        <w:rPr>
          <w:sz w:val="22"/>
          <w:szCs w:val="22"/>
        </w:rPr>
      </w:pPr>
      <w:r>
        <w:rPr>
          <w:sz w:val="22"/>
          <w:szCs w:val="22"/>
        </w:rPr>
        <w:t xml:space="preserve">Filling speed should be controlled. </w:t>
      </w:r>
    </w:p>
    <w:p>
      <w:pPr>
        <w:rPr>
          <w:sz w:val="22"/>
          <w:szCs w:val="22"/>
        </w:rPr>
      </w:pPr>
      <w:r>
        <w:rPr>
          <w:sz w:val="22"/>
          <w:szCs w:val="22"/>
        </w:rPr>
        <w:t xml:space="preserve">Grounding device is needed to prevent static accumulation. </w:t>
      </w:r>
    </w:p>
    <w:p>
      <w:pPr>
        <w:rPr>
          <w:sz w:val="22"/>
          <w:szCs w:val="22"/>
        </w:rPr>
      </w:pPr>
      <w:r>
        <w:rPr>
          <w:sz w:val="22"/>
          <w:szCs w:val="22"/>
        </w:rPr>
        <w:t xml:space="preserve">Loading and unloading should be careful in order to prevent the damage of package and container. </w:t>
      </w:r>
    </w:p>
    <w:p>
      <w:pPr>
        <w:rPr>
          <w:sz w:val="22"/>
          <w:szCs w:val="22"/>
        </w:rPr>
      </w:pPr>
      <w:r>
        <w:rPr>
          <w:sz w:val="22"/>
          <w:szCs w:val="22"/>
        </w:rPr>
        <w:t>Avoid contact with eyes, skin. Do not breathe mist or vapor.</w:t>
      </w:r>
    </w:p>
    <w:p>
      <w:pPr>
        <w:rPr>
          <w:sz w:val="22"/>
          <w:szCs w:val="22"/>
        </w:rPr>
      </w:pPr>
      <w:r>
        <w:rPr>
          <w:sz w:val="22"/>
          <w:szCs w:val="22"/>
        </w:rPr>
        <w:t>Eating, drinking and smoking are prohibited in areas where this material is handled, stored and processed.</w:t>
      </w:r>
    </w:p>
    <w:p>
      <w:pPr>
        <w:ind w:left="220"/>
        <w:rPr>
          <w:sz w:val="22"/>
          <w:szCs w:val="22"/>
        </w:rPr>
      </w:pPr>
    </w:p>
    <w:p>
      <w:pPr>
        <w:rPr>
          <w:b/>
          <w:sz w:val="22"/>
          <w:szCs w:val="22"/>
        </w:rPr>
      </w:pPr>
      <w:r>
        <w:rPr>
          <w:b/>
          <w:sz w:val="22"/>
          <w:szCs w:val="22"/>
        </w:rPr>
        <w:t>Conditions for safe storage, including any compatibility</w:t>
      </w:r>
      <w:r>
        <w:rPr>
          <w:rFonts w:hint="eastAsia"/>
          <w:b/>
          <w:sz w:val="22"/>
          <w:szCs w:val="22"/>
        </w:rPr>
        <w:t>:</w:t>
      </w:r>
    </w:p>
    <w:p>
      <w:pPr>
        <w:rPr>
          <w:sz w:val="22"/>
          <w:szCs w:val="22"/>
        </w:rPr>
      </w:pPr>
      <w:r>
        <w:rPr>
          <w:sz w:val="22"/>
          <w:szCs w:val="22"/>
        </w:rPr>
        <w:t xml:space="preserve">Store in a cool and well-ventilated warehouse. </w:t>
      </w:r>
    </w:p>
    <w:p>
      <w:pPr>
        <w:rPr>
          <w:sz w:val="22"/>
          <w:szCs w:val="22"/>
        </w:rPr>
      </w:pPr>
      <w:r>
        <w:rPr>
          <w:sz w:val="22"/>
          <w:szCs w:val="22"/>
        </w:rPr>
        <w:t xml:space="preserve">Keep away from heat, direct sunlight or any source of ignition. Storage temperature: 0-35℃. Stored in a tightly closed container. Separate from oxidizing materials. </w:t>
      </w:r>
    </w:p>
    <w:p>
      <w:pPr>
        <w:rPr>
          <w:sz w:val="22"/>
          <w:szCs w:val="22"/>
        </w:rPr>
      </w:pPr>
      <w:r>
        <w:rPr>
          <w:sz w:val="22"/>
          <w:szCs w:val="22"/>
        </w:rPr>
        <w:t xml:space="preserve">Use explosive lightning and ventilation devices with the switch outside the warehouse. Equipped with corresponding firefighting equipment with certain quality and quantity. </w:t>
      </w:r>
    </w:p>
    <w:p>
      <w:pPr>
        <w:rPr>
          <w:sz w:val="22"/>
          <w:szCs w:val="22"/>
        </w:rPr>
      </w:pPr>
      <w:r>
        <w:rPr>
          <w:sz w:val="22"/>
          <w:szCs w:val="22"/>
        </w:rPr>
        <w:t xml:space="preserve">Barrel stacking should not be too large because it must keep a certain distance with wall, ceiling, column and fire inspection walkway. </w:t>
      </w:r>
    </w:p>
    <w:p>
      <w:pPr>
        <w:rPr>
          <w:sz w:val="22"/>
          <w:szCs w:val="22"/>
        </w:rPr>
      </w:pPr>
      <w:r>
        <w:rPr>
          <w:sz w:val="22"/>
          <w:szCs w:val="22"/>
        </w:rPr>
        <w:t xml:space="preserve">Use only non-sparking tools and devices. </w:t>
      </w:r>
    </w:p>
    <w:p>
      <w:pPr>
        <w:rPr>
          <w:sz w:val="22"/>
          <w:szCs w:val="22"/>
        </w:rPr>
      </w:pPr>
      <w:r>
        <w:rPr>
          <w:sz w:val="22"/>
          <w:szCs w:val="22"/>
        </w:rPr>
        <w:t>The storage area should be provided with a leak emergency operation device and appropriate containers.</w:t>
      </w:r>
    </w:p>
    <w:p>
      <w:pPr>
        <w:pStyle w:val="11"/>
        <w:ind w:left="719" w:firstLine="0" w:firstLineChars="0"/>
        <w:rPr>
          <w:rFonts w:ascii="Times New Roman" w:hAnsi="Times New Roman" w:cs="Times New Roman"/>
          <w:b/>
          <w:sz w:val="22"/>
        </w:rPr>
      </w:pPr>
    </w:p>
    <w:p>
      <w:pPr>
        <w:pStyle w:val="11"/>
        <w:ind w:firstLine="0" w:firstLineChars="0"/>
        <w:rPr>
          <w:rFonts w:ascii="Times New Roman" w:hAnsi="Times New Roman" w:cs="Times New Roman"/>
          <w:b/>
          <w:sz w:val="22"/>
        </w:rPr>
      </w:pPr>
      <w:r>
        <w:rPr>
          <w:rFonts w:ascii="Times New Roman" w:hAnsi="Times New Roman" w:cs="Times New Roman"/>
          <w:b/>
          <w:sz w:val="22"/>
        </w:rPr>
        <w:t>SECTION 8 Exposure controls/personal protection</w:t>
      </w:r>
    </w:p>
    <w:p>
      <w:pPr>
        <w:pStyle w:val="11"/>
        <w:ind w:left="719" w:firstLine="0" w:firstLineChars="0"/>
        <w:rPr>
          <w:rFonts w:ascii="Times New Roman" w:hAnsi="Times New Roman" w:cs="Times New Roman"/>
          <w:b/>
          <w:sz w:val="22"/>
        </w:rPr>
      </w:pPr>
    </w:p>
    <w:p>
      <w:pPr>
        <w:rPr>
          <w:b/>
          <w:sz w:val="22"/>
          <w:szCs w:val="22"/>
        </w:rPr>
      </w:pPr>
      <w:r>
        <w:rPr>
          <w:b/>
          <w:sz w:val="22"/>
          <w:szCs w:val="22"/>
        </w:rPr>
        <w:t>Occupational exposure limits</w:t>
      </w:r>
      <w:r>
        <w:rPr>
          <w:rFonts w:hint="eastAsia"/>
          <w:b/>
          <w:sz w:val="22"/>
          <w:szCs w:val="22"/>
        </w:rPr>
        <w:t>:</w:t>
      </w:r>
    </w:p>
    <w:tbl>
      <w:tblPr>
        <w:tblStyle w:val="5"/>
        <w:tblW w:w="9639" w:type="dxa"/>
        <w:tblInd w:w="392" w:type="dxa"/>
        <w:tblLayout w:type="fixed"/>
        <w:tblCellMar>
          <w:top w:w="0" w:type="dxa"/>
          <w:left w:w="108" w:type="dxa"/>
          <w:bottom w:w="0" w:type="dxa"/>
          <w:right w:w="108" w:type="dxa"/>
        </w:tblCellMar>
      </w:tblPr>
      <w:tblGrid>
        <w:gridCol w:w="2551"/>
        <w:gridCol w:w="4678"/>
        <w:gridCol w:w="2410"/>
      </w:tblGrid>
      <w:tr>
        <w:tblPrEx>
          <w:tblCellMar>
            <w:top w:w="0" w:type="dxa"/>
            <w:left w:w="108" w:type="dxa"/>
            <w:bottom w:w="0" w:type="dxa"/>
            <w:right w:w="108" w:type="dxa"/>
          </w:tblCellMar>
        </w:tblPrEx>
        <w:tc>
          <w:tcPr>
            <w:tcW w:w="2551" w:type="dxa"/>
            <w:tcBorders>
              <w:bottom w:val="single" w:color="auto" w:sz="4" w:space="0"/>
            </w:tcBorders>
            <w:shd w:val="clear" w:color="auto" w:fill="auto"/>
            <w:vAlign w:val="center"/>
          </w:tcPr>
          <w:p>
            <w:pPr>
              <w:rPr>
                <w:sz w:val="22"/>
                <w:szCs w:val="22"/>
              </w:rPr>
            </w:pPr>
            <w:r>
              <w:rPr>
                <w:sz w:val="22"/>
                <w:szCs w:val="22"/>
              </w:rPr>
              <w:t>Ingredient Name</w:t>
            </w:r>
          </w:p>
        </w:tc>
        <w:tc>
          <w:tcPr>
            <w:tcW w:w="4678" w:type="dxa"/>
            <w:tcBorders>
              <w:bottom w:val="single" w:color="auto" w:sz="4" w:space="0"/>
            </w:tcBorders>
            <w:shd w:val="clear" w:color="auto" w:fill="auto"/>
            <w:vAlign w:val="center"/>
          </w:tcPr>
          <w:p>
            <w:pPr>
              <w:rPr>
                <w:sz w:val="22"/>
                <w:szCs w:val="22"/>
              </w:rPr>
            </w:pPr>
            <w:r>
              <w:rPr>
                <w:sz w:val="22"/>
                <w:szCs w:val="22"/>
              </w:rPr>
              <w:t>Maximum Allowable Concentration</w:t>
            </w:r>
          </w:p>
        </w:tc>
        <w:tc>
          <w:tcPr>
            <w:tcW w:w="2410" w:type="dxa"/>
            <w:tcBorders>
              <w:bottom w:val="single" w:color="auto" w:sz="4" w:space="0"/>
            </w:tcBorders>
            <w:shd w:val="clear" w:color="auto" w:fill="auto"/>
            <w:vAlign w:val="center"/>
          </w:tcPr>
          <w:p>
            <w:pPr>
              <w:rPr>
                <w:sz w:val="22"/>
                <w:szCs w:val="22"/>
              </w:rPr>
            </w:pPr>
            <w:r>
              <w:rPr>
                <w:sz w:val="22"/>
                <w:szCs w:val="22"/>
              </w:rPr>
              <w:t>Standard</w:t>
            </w:r>
          </w:p>
        </w:tc>
      </w:tr>
      <w:tr>
        <w:tblPrEx>
          <w:tblCellMar>
            <w:top w:w="0" w:type="dxa"/>
            <w:left w:w="108" w:type="dxa"/>
            <w:bottom w:w="0" w:type="dxa"/>
            <w:right w:w="108" w:type="dxa"/>
          </w:tblCellMar>
        </w:tblPrEx>
        <w:trPr>
          <w:trHeight w:val="407" w:hRule="atLeast"/>
        </w:trPr>
        <w:tc>
          <w:tcPr>
            <w:tcW w:w="2551" w:type="dxa"/>
            <w:tcBorders>
              <w:top w:val="single" w:color="auto" w:sz="4" w:space="0"/>
              <w:left w:val="single" w:color="auto" w:sz="4" w:space="0"/>
              <w:bottom w:val="single" w:color="auto" w:sz="4" w:space="0"/>
              <w:right w:val="single" w:color="auto" w:sz="4" w:space="0"/>
            </w:tcBorders>
            <w:shd w:val="clear" w:color="auto" w:fill="auto"/>
          </w:tcPr>
          <w:p>
            <w:pPr>
              <w:rPr>
                <w:sz w:val="22"/>
                <w:szCs w:val="22"/>
              </w:rPr>
            </w:pPr>
            <w:r>
              <w:rPr>
                <w:sz w:val="22"/>
                <w:szCs w:val="22"/>
              </w:rPr>
              <w:t>Butyl acetate</w:t>
            </w:r>
          </w:p>
        </w:tc>
        <w:tc>
          <w:tcPr>
            <w:tcW w:w="4678" w:type="dxa"/>
            <w:tcBorders>
              <w:top w:val="single" w:color="auto" w:sz="4" w:space="0"/>
              <w:left w:val="single" w:color="auto" w:sz="4" w:space="0"/>
              <w:bottom w:val="single" w:color="auto" w:sz="4" w:space="0"/>
              <w:right w:val="single" w:color="auto" w:sz="4" w:space="0"/>
            </w:tcBorders>
            <w:shd w:val="clear" w:color="auto" w:fill="auto"/>
          </w:tcPr>
          <w:p>
            <w:pPr>
              <w:rPr>
                <w:sz w:val="22"/>
                <w:szCs w:val="22"/>
              </w:rPr>
            </w:pPr>
            <w:r>
              <w:rPr>
                <w:rFonts w:hint="eastAsia"/>
                <w:sz w:val="22"/>
                <w:szCs w:val="22"/>
              </w:rPr>
              <w:t>PC-STEL：300mg/m</w:t>
            </w:r>
            <w:r>
              <w:rPr>
                <w:rFonts w:hint="eastAsia"/>
                <w:sz w:val="22"/>
                <w:szCs w:val="22"/>
                <w:vertAlign w:val="superscript"/>
              </w:rPr>
              <w:t>3</w:t>
            </w:r>
            <w:r>
              <w:rPr>
                <w:rFonts w:hint="eastAsia"/>
                <w:sz w:val="22"/>
                <w:szCs w:val="22"/>
              </w:rPr>
              <w:t>；PC-TWA：200mg/m</w:t>
            </w:r>
            <w:r>
              <w:rPr>
                <w:rFonts w:hint="eastAsia"/>
                <w:sz w:val="22"/>
                <w:szCs w:val="22"/>
                <w:vertAlign w:val="superscript"/>
              </w:rPr>
              <w:t>3</w:t>
            </w:r>
          </w:p>
          <w:p>
            <w:pPr>
              <w:rPr>
                <w:sz w:val="22"/>
                <w:szCs w:val="22"/>
              </w:rPr>
            </w:pPr>
            <w:r>
              <w:rPr>
                <w:rFonts w:hint="eastAsia"/>
                <w:sz w:val="22"/>
                <w:szCs w:val="22"/>
              </w:rPr>
              <w:t>STEL：200ppm；TWA：150ppm</w:t>
            </w:r>
          </w:p>
        </w:tc>
        <w:tc>
          <w:tcPr>
            <w:tcW w:w="2410" w:type="dxa"/>
            <w:tcBorders>
              <w:top w:val="single" w:color="auto" w:sz="4" w:space="0"/>
              <w:left w:val="single" w:color="auto" w:sz="4" w:space="0"/>
              <w:bottom w:val="single" w:color="auto" w:sz="4" w:space="0"/>
              <w:right w:val="single" w:color="auto" w:sz="4" w:space="0"/>
            </w:tcBorders>
            <w:shd w:val="clear" w:color="auto" w:fill="auto"/>
          </w:tcPr>
          <w:p>
            <w:pPr>
              <w:ind w:left="34" w:leftChars="16"/>
              <w:rPr>
                <w:sz w:val="22"/>
                <w:szCs w:val="22"/>
              </w:rPr>
            </w:pPr>
            <w:r>
              <w:rPr>
                <w:sz w:val="22"/>
                <w:szCs w:val="22"/>
              </w:rPr>
              <w:t>GBZ 2.1 OEL (China)</w:t>
            </w:r>
          </w:p>
          <w:p>
            <w:pPr>
              <w:ind w:left="34" w:leftChars="16"/>
              <w:rPr>
                <w:sz w:val="22"/>
                <w:szCs w:val="22"/>
              </w:rPr>
            </w:pPr>
            <w:r>
              <w:rPr>
                <w:sz w:val="22"/>
                <w:szCs w:val="22"/>
              </w:rPr>
              <w:t>ACGIH TLV (USA)</w:t>
            </w:r>
          </w:p>
        </w:tc>
      </w:tr>
      <w:tr>
        <w:tblPrEx>
          <w:tblCellMar>
            <w:top w:w="0" w:type="dxa"/>
            <w:left w:w="108" w:type="dxa"/>
            <w:bottom w:w="0" w:type="dxa"/>
            <w:right w:w="108" w:type="dxa"/>
          </w:tblCellMar>
        </w:tblPrEx>
        <w:trPr>
          <w:trHeight w:val="407" w:hRule="atLeast"/>
        </w:trPr>
        <w:tc>
          <w:tcPr>
            <w:tcW w:w="2551" w:type="dxa"/>
            <w:tcBorders>
              <w:top w:val="single" w:color="auto" w:sz="4" w:space="0"/>
              <w:left w:val="single" w:color="auto" w:sz="4" w:space="0"/>
              <w:bottom w:val="single" w:color="auto" w:sz="4" w:space="0"/>
              <w:right w:val="single" w:color="auto" w:sz="4" w:space="0"/>
            </w:tcBorders>
            <w:shd w:val="clear" w:color="auto" w:fill="auto"/>
          </w:tcPr>
          <w:p>
            <w:pPr>
              <w:rPr>
                <w:sz w:val="22"/>
                <w:szCs w:val="22"/>
              </w:rPr>
            </w:pPr>
            <w:r>
              <w:rPr>
                <w:sz w:val="22"/>
                <w:szCs w:val="22"/>
              </w:rPr>
              <w:t>Xylene</w:t>
            </w:r>
          </w:p>
        </w:tc>
        <w:tc>
          <w:tcPr>
            <w:tcW w:w="4678" w:type="dxa"/>
            <w:tcBorders>
              <w:top w:val="single" w:color="auto" w:sz="4" w:space="0"/>
              <w:left w:val="single" w:color="auto" w:sz="4" w:space="0"/>
              <w:bottom w:val="single" w:color="auto" w:sz="4" w:space="0"/>
              <w:right w:val="single" w:color="auto" w:sz="4" w:space="0"/>
            </w:tcBorders>
            <w:shd w:val="clear" w:color="auto" w:fill="auto"/>
          </w:tcPr>
          <w:p>
            <w:pPr>
              <w:rPr>
                <w:sz w:val="22"/>
                <w:szCs w:val="22"/>
              </w:rPr>
            </w:pPr>
            <w:r>
              <w:rPr>
                <w:rFonts w:hint="eastAsia"/>
                <w:sz w:val="22"/>
                <w:szCs w:val="22"/>
              </w:rPr>
              <w:t>PC-STEL：100mg/m</w:t>
            </w:r>
            <w:r>
              <w:rPr>
                <w:rFonts w:hint="eastAsia"/>
                <w:sz w:val="22"/>
                <w:szCs w:val="22"/>
                <w:vertAlign w:val="superscript"/>
              </w:rPr>
              <w:t>3</w:t>
            </w:r>
            <w:r>
              <w:rPr>
                <w:rFonts w:hint="eastAsia"/>
                <w:sz w:val="22"/>
                <w:szCs w:val="22"/>
              </w:rPr>
              <w:t>；PC-TWA：50mg/m</w:t>
            </w:r>
            <w:r>
              <w:rPr>
                <w:rFonts w:hint="eastAsia"/>
                <w:sz w:val="22"/>
                <w:szCs w:val="22"/>
                <w:vertAlign w:val="superscript"/>
              </w:rPr>
              <w:t>3</w:t>
            </w:r>
          </w:p>
          <w:p>
            <w:pPr>
              <w:rPr>
                <w:sz w:val="22"/>
                <w:szCs w:val="22"/>
              </w:rPr>
            </w:pPr>
            <w:r>
              <w:rPr>
                <w:rFonts w:hint="eastAsia"/>
                <w:sz w:val="22"/>
                <w:szCs w:val="22"/>
              </w:rPr>
              <w:t>STEL：150ppm；TWA：100ppm</w:t>
            </w:r>
          </w:p>
        </w:tc>
        <w:tc>
          <w:tcPr>
            <w:tcW w:w="2410" w:type="dxa"/>
            <w:tcBorders>
              <w:top w:val="single" w:color="auto" w:sz="4" w:space="0"/>
              <w:left w:val="single" w:color="auto" w:sz="4" w:space="0"/>
              <w:bottom w:val="single" w:color="auto" w:sz="4" w:space="0"/>
              <w:right w:val="single" w:color="auto" w:sz="4" w:space="0"/>
            </w:tcBorders>
            <w:shd w:val="clear" w:color="auto" w:fill="auto"/>
          </w:tcPr>
          <w:p>
            <w:pPr>
              <w:ind w:left="34" w:leftChars="16"/>
              <w:rPr>
                <w:sz w:val="22"/>
                <w:szCs w:val="22"/>
              </w:rPr>
            </w:pPr>
            <w:r>
              <w:rPr>
                <w:sz w:val="22"/>
                <w:szCs w:val="22"/>
              </w:rPr>
              <w:t>GBZ 2.1 OEL (China)</w:t>
            </w:r>
          </w:p>
          <w:p>
            <w:pPr>
              <w:ind w:left="34" w:leftChars="16"/>
              <w:rPr>
                <w:sz w:val="22"/>
                <w:szCs w:val="22"/>
              </w:rPr>
            </w:pPr>
            <w:r>
              <w:rPr>
                <w:sz w:val="22"/>
                <w:szCs w:val="22"/>
              </w:rPr>
              <w:t>ACGIH TLV (USA)</w:t>
            </w:r>
          </w:p>
        </w:tc>
      </w:tr>
      <w:tr>
        <w:tblPrEx>
          <w:tblCellMar>
            <w:top w:w="0" w:type="dxa"/>
            <w:left w:w="108" w:type="dxa"/>
            <w:bottom w:w="0" w:type="dxa"/>
            <w:right w:w="108" w:type="dxa"/>
          </w:tblCellMar>
        </w:tblPrEx>
        <w:trPr>
          <w:trHeight w:val="407" w:hRule="atLeast"/>
        </w:trPr>
        <w:tc>
          <w:tcPr>
            <w:tcW w:w="2551" w:type="dxa"/>
            <w:tcBorders>
              <w:top w:val="single" w:color="auto" w:sz="4" w:space="0"/>
              <w:left w:val="single" w:color="auto" w:sz="4" w:space="0"/>
              <w:bottom w:val="single" w:color="auto" w:sz="4" w:space="0"/>
              <w:right w:val="single" w:color="auto" w:sz="4" w:space="0"/>
            </w:tcBorders>
            <w:shd w:val="clear" w:color="auto" w:fill="auto"/>
          </w:tcPr>
          <w:p>
            <w:pPr>
              <w:rPr>
                <w:sz w:val="22"/>
                <w:szCs w:val="22"/>
              </w:rPr>
            </w:pPr>
            <w:r>
              <w:rPr>
                <w:sz w:val="22"/>
                <w:szCs w:val="22"/>
              </w:rPr>
              <w:t>PMA</w:t>
            </w:r>
          </w:p>
        </w:tc>
        <w:tc>
          <w:tcPr>
            <w:tcW w:w="4678" w:type="dxa"/>
            <w:tcBorders>
              <w:top w:val="single" w:color="auto" w:sz="4" w:space="0"/>
              <w:left w:val="single" w:color="auto" w:sz="4" w:space="0"/>
              <w:bottom w:val="single" w:color="auto" w:sz="4" w:space="0"/>
              <w:right w:val="single" w:color="auto" w:sz="4" w:space="0"/>
            </w:tcBorders>
            <w:shd w:val="clear" w:color="auto" w:fill="auto"/>
          </w:tcPr>
          <w:p>
            <w:pPr>
              <w:rPr>
                <w:sz w:val="22"/>
                <w:szCs w:val="22"/>
              </w:rPr>
            </w:pPr>
            <w:r>
              <w:rPr>
                <w:rFonts w:hint="eastAsia"/>
                <w:sz w:val="22"/>
                <w:szCs w:val="22"/>
              </w:rPr>
              <w:t>STEL：150ppm；TWA：100ppm</w:t>
            </w:r>
          </w:p>
        </w:tc>
        <w:tc>
          <w:tcPr>
            <w:tcW w:w="2410" w:type="dxa"/>
            <w:tcBorders>
              <w:top w:val="single" w:color="auto" w:sz="4" w:space="0"/>
              <w:left w:val="single" w:color="auto" w:sz="4" w:space="0"/>
              <w:bottom w:val="single" w:color="auto" w:sz="4" w:space="0"/>
              <w:right w:val="single" w:color="auto" w:sz="4" w:space="0"/>
            </w:tcBorders>
            <w:shd w:val="clear" w:color="auto" w:fill="auto"/>
          </w:tcPr>
          <w:p>
            <w:pPr>
              <w:ind w:left="34" w:leftChars="16"/>
              <w:rPr>
                <w:sz w:val="22"/>
                <w:szCs w:val="22"/>
              </w:rPr>
            </w:pPr>
            <w:r>
              <w:rPr>
                <w:sz w:val="22"/>
                <w:szCs w:val="22"/>
              </w:rPr>
              <w:t>ACGIH TLV (USA)</w:t>
            </w:r>
          </w:p>
        </w:tc>
      </w:tr>
      <w:tr>
        <w:tblPrEx>
          <w:tblCellMar>
            <w:top w:w="0" w:type="dxa"/>
            <w:left w:w="108" w:type="dxa"/>
            <w:bottom w:w="0" w:type="dxa"/>
            <w:right w:w="108" w:type="dxa"/>
          </w:tblCellMar>
        </w:tblPrEx>
        <w:trPr>
          <w:trHeight w:val="407" w:hRule="atLeast"/>
        </w:trPr>
        <w:tc>
          <w:tcPr>
            <w:tcW w:w="2551" w:type="dxa"/>
            <w:tcBorders>
              <w:top w:val="single" w:color="auto" w:sz="4" w:space="0"/>
              <w:left w:val="single" w:color="auto" w:sz="4" w:space="0"/>
              <w:bottom w:val="single" w:color="auto" w:sz="4" w:space="0"/>
              <w:right w:val="single" w:color="auto" w:sz="4" w:space="0"/>
            </w:tcBorders>
            <w:shd w:val="clear" w:color="auto" w:fill="auto"/>
          </w:tcPr>
          <w:p>
            <w:pPr>
              <w:rPr>
                <w:sz w:val="22"/>
                <w:szCs w:val="22"/>
              </w:rPr>
            </w:pPr>
            <w:r>
              <w:rPr>
                <w:sz w:val="22"/>
                <w:szCs w:val="22"/>
              </w:rPr>
              <w:t>n-Butyl alcohol</w:t>
            </w:r>
          </w:p>
        </w:tc>
        <w:tc>
          <w:tcPr>
            <w:tcW w:w="4678" w:type="dxa"/>
            <w:tcBorders>
              <w:top w:val="single" w:color="auto" w:sz="4" w:space="0"/>
              <w:left w:val="single" w:color="auto" w:sz="4" w:space="0"/>
              <w:bottom w:val="single" w:color="auto" w:sz="4" w:space="0"/>
              <w:right w:val="single" w:color="auto" w:sz="4" w:space="0"/>
            </w:tcBorders>
            <w:shd w:val="clear" w:color="auto" w:fill="auto"/>
          </w:tcPr>
          <w:p>
            <w:pPr>
              <w:rPr>
                <w:sz w:val="22"/>
                <w:szCs w:val="22"/>
              </w:rPr>
            </w:pPr>
            <w:r>
              <w:rPr>
                <w:rFonts w:hint="eastAsia"/>
                <w:sz w:val="22"/>
                <w:szCs w:val="22"/>
              </w:rPr>
              <w:t>PC-TWA：100mg/m</w:t>
            </w:r>
            <w:r>
              <w:rPr>
                <w:rFonts w:hint="eastAsia"/>
                <w:sz w:val="22"/>
                <w:szCs w:val="22"/>
                <w:vertAlign w:val="superscript"/>
              </w:rPr>
              <w:t>3</w:t>
            </w:r>
          </w:p>
          <w:p>
            <w:pPr>
              <w:rPr>
                <w:sz w:val="22"/>
                <w:szCs w:val="22"/>
              </w:rPr>
            </w:pPr>
            <w:r>
              <w:rPr>
                <w:rFonts w:hint="eastAsia"/>
                <w:sz w:val="22"/>
                <w:szCs w:val="22"/>
              </w:rPr>
              <w:t>STEL：50ppm；TWA：100ppm</w:t>
            </w:r>
          </w:p>
        </w:tc>
        <w:tc>
          <w:tcPr>
            <w:tcW w:w="2410" w:type="dxa"/>
            <w:tcBorders>
              <w:top w:val="single" w:color="auto" w:sz="4" w:space="0"/>
              <w:left w:val="single" w:color="auto" w:sz="4" w:space="0"/>
              <w:bottom w:val="single" w:color="auto" w:sz="4" w:space="0"/>
              <w:right w:val="single" w:color="auto" w:sz="4" w:space="0"/>
            </w:tcBorders>
            <w:shd w:val="clear" w:color="auto" w:fill="auto"/>
          </w:tcPr>
          <w:p>
            <w:pPr>
              <w:ind w:left="34" w:leftChars="16"/>
              <w:rPr>
                <w:sz w:val="22"/>
                <w:szCs w:val="22"/>
              </w:rPr>
            </w:pPr>
            <w:r>
              <w:rPr>
                <w:sz w:val="22"/>
                <w:szCs w:val="22"/>
              </w:rPr>
              <w:t>GBZ 2.1 OEL (China)</w:t>
            </w:r>
          </w:p>
          <w:p>
            <w:pPr>
              <w:rPr>
                <w:sz w:val="22"/>
                <w:szCs w:val="22"/>
              </w:rPr>
            </w:pPr>
            <w:r>
              <w:rPr>
                <w:sz w:val="22"/>
                <w:szCs w:val="22"/>
              </w:rPr>
              <w:t>ACGIH TLV (USA)</w:t>
            </w:r>
          </w:p>
        </w:tc>
      </w:tr>
      <w:tr>
        <w:tblPrEx>
          <w:tblCellMar>
            <w:top w:w="0" w:type="dxa"/>
            <w:left w:w="108" w:type="dxa"/>
            <w:bottom w:w="0" w:type="dxa"/>
            <w:right w:w="108" w:type="dxa"/>
          </w:tblCellMar>
        </w:tblPrEx>
        <w:trPr>
          <w:trHeight w:val="407" w:hRule="atLeast"/>
        </w:trPr>
        <w:tc>
          <w:tcPr>
            <w:tcW w:w="2551" w:type="dxa"/>
            <w:tcBorders>
              <w:top w:val="single" w:color="auto" w:sz="4" w:space="0"/>
              <w:left w:val="single" w:color="auto" w:sz="4" w:space="0"/>
              <w:bottom w:val="single" w:color="auto" w:sz="4" w:space="0"/>
              <w:right w:val="single" w:color="auto" w:sz="4" w:space="0"/>
            </w:tcBorders>
            <w:shd w:val="clear" w:color="auto" w:fill="auto"/>
          </w:tcPr>
          <w:p>
            <w:pPr>
              <w:rPr>
                <w:sz w:val="22"/>
                <w:szCs w:val="22"/>
              </w:rPr>
            </w:pPr>
            <w:r>
              <w:rPr>
                <w:sz w:val="22"/>
                <w:szCs w:val="22"/>
              </w:rPr>
              <w:t>Ethyl acetate</w:t>
            </w:r>
          </w:p>
        </w:tc>
        <w:tc>
          <w:tcPr>
            <w:tcW w:w="4678" w:type="dxa"/>
            <w:tcBorders>
              <w:top w:val="single" w:color="auto" w:sz="4" w:space="0"/>
              <w:left w:val="single" w:color="auto" w:sz="4" w:space="0"/>
              <w:bottom w:val="single" w:color="auto" w:sz="4" w:space="0"/>
              <w:right w:val="single" w:color="auto" w:sz="4" w:space="0"/>
            </w:tcBorders>
            <w:shd w:val="clear" w:color="auto" w:fill="auto"/>
          </w:tcPr>
          <w:p>
            <w:pPr>
              <w:rPr>
                <w:sz w:val="22"/>
                <w:szCs w:val="22"/>
              </w:rPr>
            </w:pPr>
            <w:r>
              <w:rPr>
                <w:rFonts w:hint="eastAsia"/>
                <w:sz w:val="22"/>
                <w:szCs w:val="22"/>
              </w:rPr>
              <w:t>PC-STEL：300mg/m</w:t>
            </w:r>
            <w:r>
              <w:rPr>
                <w:rFonts w:hint="eastAsia"/>
                <w:sz w:val="22"/>
                <w:szCs w:val="22"/>
                <w:vertAlign w:val="superscript"/>
              </w:rPr>
              <w:t>3</w:t>
            </w:r>
            <w:r>
              <w:rPr>
                <w:rFonts w:hint="eastAsia"/>
                <w:sz w:val="22"/>
                <w:szCs w:val="22"/>
              </w:rPr>
              <w:t>；PC-TWA：200mg/m</w:t>
            </w:r>
            <w:r>
              <w:rPr>
                <w:rFonts w:hint="eastAsia"/>
                <w:sz w:val="22"/>
                <w:szCs w:val="22"/>
                <w:vertAlign w:val="superscript"/>
              </w:rPr>
              <w:t>3</w:t>
            </w:r>
          </w:p>
          <w:p>
            <w:pPr>
              <w:rPr>
                <w:sz w:val="22"/>
                <w:szCs w:val="22"/>
              </w:rPr>
            </w:pPr>
            <w:r>
              <w:rPr>
                <w:rFonts w:hint="eastAsia"/>
                <w:sz w:val="22"/>
                <w:szCs w:val="22"/>
              </w:rPr>
              <w:t>STEL：400ppm；TWA：400ppm</w:t>
            </w:r>
          </w:p>
        </w:tc>
        <w:tc>
          <w:tcPr>
            <w:tcW w:w="2410" w:type="dxa"/>
            <w:tcBorders>
              <w:top w:val="single" w:color="auto" w:sz="4" w:space="0"/>
              <w:left w:val="single" w:color="auto" w:sz="4" w:space="0"/>
              <w:bottom w:val="single" w:color="auto" w:sz="4" w:space="0"/>
              <w:right w:val="single" w:color="auto" w:sz="4" w:space="0"/>
            </w:tcBorders>
            <w:shd w:val="clear" w:color="auto" w:fill="auto"/>
          </w:tcPr>
          <w:p>
            <w:pPr>
              <w:ind w:left="34" w:leftChars="16"/>
              <w:rPr>
                <w:sz w:val="22"/>
                <w:szCs w:val="22"/>
              </w:rPr>
            </w:pPr>
            <w:r>
              <w:rPr>
                <w:sz w:val="22"/>
                <w:szCs w:val="22"/>
              </w:rPr>
              <w:t>GBZ 2.1 OEL (China)</w:t>
            </w:r>
          </w:p>
          <w:p>
            <w:pPr>
              <w:rPr>
                <w:sz w:val="22"/>
                <w:szCs w:val="22"/>
              </w:rPr>
            </w:pPr>
            <w:r>
              <w:rPr>
                <w:sz w:val="22"/>
                <w:szCs w:val="22"/>
              </w:rPr>
              <w:t>ACGIH TLV (USA)</w:t>
            </w:r>
          </w:p>
        </w:tc>
      </w:tr>
      <w:tr>
        <w:tblPrEx>
          <w:tblCellMar>
            <w:top w:w="0" w:type="dxa"/>
            <w:left w:w="108" w:type="dxa"/>
            <w:bottom w:w="0" w:type="dxa"/>
            <w:right w:w="108" w:type="dxa"/>
          </w:tblCellMar>
        </w:tblPrEx>
        <w:trPr>
          <w:trHeight w:val="407" w:hRule="atLeast"/>
        </w:trPr>
        <w:tc>
          <w:tcPr>
            <w:tcW w:w="2551" w:type="dxa"/>
            <w:tcBorders>
              <w:top w:val="single" w:color="auto" w:sz="4" w:space="0"/>
              <w:left w:val="single" w:color="auto" w:sz="4" w:space="0"/>
              <w:bottom w:val="single" w:color="auto" w:sz="4" w:space="0"/>
              <w:right w:val="single" w:color="auto" w:sz="4" w:space="0"/>
            </w:tcBorders>
            <w:shd w:val="clear" w:color="auto" w:fill="auto"/>
          </w:tcPr>
          <w:p>
            <w:pPr>
              <w:rPr>
                <w:sz w:val="22"/>
                <w:szCs w:val="22"/>
              </w:rPr>
            </w:pPr>
            <w:r>
              <w:rPr>
                <w:sz w:val="22"/>
                <w:szCs w:val="22"/>
              </w:rPr>
              <w:t>Trimethylbenzene</w:t>
            </w:r>
          </w:p>
        </w:tc>
        <w:tc>
          <w:tcPr>
            <w:tcW w:w="4678" w:type="dxa"/>
            <w:tcBorders>
              <w:top w:val="single" w:color="auto" w:sz="4" w:space="0"/>
              <w:left w:val="single" w:color="auto" w:sz="4" w:space="0"/>
              <w:bottom w:val="single" w:color="auto" w:sz="4" w:space="0"/>
              <w:right w:val="single" w:color="auto" w:sz="4" w:space="0"/>
            </w:tcBorders>
            <w:shd w:val="clear" w:color="auto" w:fill="auto"/>
          </w:tcPr>
          <w:p>
            <w:pPr>
              <w:rPr>
                <w:sz w:val="22"/>
                <w:szCs w:val="22"/>
              </w:rPr>
            </w:pPr>
            <w:r>
              <w:rPr>
                <w:rFonts w:hint="eastAsia"/>
                <w:sz w:val="22"/>
                <w:szCs w:val="22"/>
              </w:rPr>
              <w:t>TWA：25ppm</w:t>
            </w:r>
          </w:p>
        </w:tc>
        <w:tc>
          <w:tcPr>
            <w:tcW w:w="2410" w:type="dxa"/>
            <w:tcBorders>
              <w:top w:val="single" w:color="auto" w:sz="4" w:space="0"/>
              <w:left w:val="single" w:color="auto" w:sz="4" w:space="0"/>
              <w:bottom w:val="single" w:color="auto" w:sz="4" w:space="0"/>
              <w:right w:val="single" w:color="auto" w:sz="4" w:space="0"/>
            </w:tcBorders>
            <w:shd w:val="clear" w:color="auto" w:fill="auto"/>
          </w:tcPr>
          <w:p>
            <w:pPr>
              <w:rPr>
                <w:sz w:val="22"/>
                <w:szCs w:val="22"/>
              </w:rPr>
            </w:pPr>
            <w:r>
              <w:rPr>
                <w:sz w:val="22"/>
                <w:szCs w:val="22"/>
              </w:rPr>
              <w:t>ACGIH TLV (USA)</w:t>
            </w:r>
          </w:p>
        </w:tc>
      </w:tr>
    </w:tbl>
    <w:p>
      <w:pPr>
        <w:rPr>
          <w:sz w:val="22"/>
          <w:szCs w:val="22"/>
        </w:rPr>
      </w:pPr>
    </w:p>
    <w:p>
      <w:pPr>
        <w:rPr>
          <w:b/>
          <w:sz w:val="22"/>
          <w:szCs w:val="22"/>
        </w:rPr>
      </w:pPr>
      <w:r>
        <w:rPr>
          <w:rFonts w:eastAsia="黑体"/>
          <w:b/>
          <w:bCs/>
          <w:sz w:val="22"/>
          <w:szCs w:val="22"/>
        </w:rPr>
        <w:t>M</w:t>
      </w:r>
      <w:r>
        <w:rPr>
          <w:b/>
          <w:sz w:val="22"/>
          <w:szCs w:val="22"/>
        </w:rPr>
        <w:t xml:space="preserve">ethods of monitoring: </w:t>
      </w:r>
    </w:p>
    <w:p>
      <w:pPr>
        <w:rPr>
          <w:sz w:val="22"/>
          <w:szCs w:val="22"/>
        </w:rPr>
      </w:pPr>
      <w:r>
        <w:rPr>
          <w:sz w:val="22"/>
          <w:szCs w:val="22"/>
        </w:rPr>
        <w:t>Method for determination of toxic substances in the air of workplace: Solvent Analysis-gas chromatography in GBZ/T 160.42, thermal desorption-gas chromatography, non-pump sampling -gas chromatography.</w:t>
      </w:r>
    </w:p>
    <w:p>
      <w:pPr>
        <w:ind w:firstLine="220" w:firstLineChars="100"/>
        <w:rPr>
          <w:sz w:val="22"/>
          <w:szCs w:val="22"/>
        </w:rPr>
      </w:pPr>
    </w:p>
    <w:p>
      <w:pPr>
        <w:rPr>
          <w:b/>
          <w:sz w:val="22"/>
          <w:szCs w:val="22"/>
        </w:rPr>
      </w:pPr>
      <w:r>
        <w:rPr>
          <w:b/>
          <w:sz w:val="22"/>
          <w:szCs w:val="22"/>
        </w:rPr>
        <w:t>Engineering controls:</w:t>
      </w:r>
    </w:p>
    <w:p>
      <w:pPr>
        <w:rPr>
          <w:sz w:val="22"/>
          <w:szCs w:val="22"/>
        </w:rPr>
      </w:pPr>
      <w:r>
        <w:rPr>
          <w:sz w:val="22"/>
          <w:szCs w:val="22"/>
        </w:rPr>
        <w:t xml:space="preserve">As flammable liquid separated workplace is needed. The operation should be done in a closed place, in order to prevent vapor leaking in the air. Promote ventilation and maintain the airborne concentrations below the occupation exposure limits. Set up automatic alarm and accidental ventilation equipment. Emergency exits and risk-elimination areas are necessary. Set up communication alarm system. Red zone warning line, warning signs and Chinese warning instructions are needed. </w:t>
      </w:r>
    </w:p>
    <w:p>
      <w:pPr>
        <w:rPr>
          <w:sz w:val="22"/>
          <w:szCs w:val="22"/>
        </w:rPr>
      </w:pPr>
    </w:p>
    <w:p>
      <w:pPr>
        <w:rPr>
          <w:b/>
          <w:sz w:val="22"/>
          <w:szCs w:val="22"/>
        </w:rPr>
      </w:pPr>
      <w:r>
        <w:rPr>
          <w:b/>
          <w:sz w:val="22"/>
          <w:szCs w:val="22"/>
        </w:rPr>
        <w:t xml:space="preserve">Personal protective equipment: </w:t>
      </w:r>
    </w:p>
    <w:p>
      <w:pPr>
        <w:autoSpaceDE w:val="0"/>
        <w:autoSpaceDN w:val="0"/>
        <w:adjustRightInd w:val="0"/>
        <w:rPr>
          <w:sz w:val="22"/>
          <w:szCs w:val="22"/>
        </w:rPr>
      </w:pPr>
      <w:r>
        <w:rPr>
          <w:b/>
          <w:sz w:val="22"/>
          <w:szCs w:val="22"/>
        </w:rPr>
        <w:t>Respiration protection:</w:t>
      </w:r>
      <w:r>
        <w:rPr>
          <w:sz w:val="22"/>
          <w:szCs w:val="22"/>
        </w:rPr>
        <w:t xml:space="preserve"> If engineering controls do not maintain airborne concentrations below recommended exposure limits (where applicable), a self-absorption filter mask (half mask) must be worn. When emergency rescue or evacuation occurs, workers should wear air respirator or oxygen breathing apparatus.</w:t>
      </w:r>
    </w:p>
    <w:p>
      <w:pPr>
        <w:rPr>
          <w:sz w:val="22"/>
          <w:szCs w:val="22"/>
        </w:rPr>
      </w:pPr>
      <w:r>
        <w:rPr>
          <w:b/>
          <w:sz w:val="22"/>
          <w:szCs w:val="22"/>
        </w:rPr>
        <w:t xml:space="preserve">Eye protection: </w:t>
      </w:r>
      <w:r>
        <w:rPr>
          <w:sz w:val="22"/>
          <w:szCs w:val="22"/>
        </w:rPr>
        <w:t>Wear safety goggles with side shields.</w:t>
      </w:r>
    </w:p>
    <w:p>
      <w:pPr>
        <w:rPr>
          <w:sz w:val="22"/>
          <w:szCs w:val="22"/>
        </w:rPr>
      </w:pPr>
      <w:r>
        <w:rPr>
          <w:b/>
          <w:sz w:val="22"/>
          <w:szCs w:val="22"/>
        </w:rPr>
        <w:t>Skin/body protection:</w:t>
      </w:r>
      <w:r>
        <w:rPr>
          <w:sz w:val="22"/>
          <w:szCs w:val="22"/>
        </w:rPr>
        <w:t xml:space="preserve"> Wear appropriate chemical resistant clothing.</w:t>
      </w:r>
    </w:p>
    <w:p>
      <w:pPr>
        <w:rPr>
          <w:sz w:val="22"/>
          <w:szCs w:val="22"/>
        </w:rPr>
      </w:pPr>
      <w:r>
        <w:rPr>
          <w:b/>
          <w:sz w:val="22"/>
          <w:szCs w:val="22"/>
        </w:rPr>
        <w:t xml:space="preserve">Hand protection: </w:t>
      </w:r>
      <w:r>
        <w:rPr>
          <w:sz w:val="22"/>
          <w:szCs w:val="22"/>
        </w:rPr>
        <w:t>Wear rubber oil-resistant gloves.</w:t>
      </w:r>
    </w:p>
    <w:p>
      <w:pPr>
        <w:jc w:val="center"/>
        <w:rPr>
          <w:b/>
          <w:sz w:val="22"/>
          <w:szCs w:val="22"/>
        </w:rPr>
      </w:pPr>
    </w:p>
    <w:p>
      <w:pPr>
        <w:rPr>
          <w:b/>
          <w:sz w:val="22"/>
          <w:szCs w:val="22"/>
        </w:rPr>
      </w:pPr>
      <w:r>
        <w:rPr>
          <w:b/>
          <w:sz w:val="22"/>
          <w:szCs w:val="22"/>
        </w:rPr>
        <w:t>SETION 9 Physical and chemical properties</w:t>
      </w:r>
    </w:p>
    <w:p>
      <w:pPr>
        <w:jc w:val="center"/>
        <w:rPr>
          <w:b/>
          <w:sz w:val="22"/>
          <w:szCs w:val="22"/>
        </w:rPr>
      </w:pPr>
    </w:p>
    <w:p>
      <w:pPr>
        <w:rPr>
          <w:sz w:val="22"/>
          <w:szCs w:val="22"/>
        </w:rPr>
      </w:pPr>
      <w:r>
        <w:rPr>
          <w:b/>
          <w:sz w:val="22"/>
          <w:szCs w:val="22"/>
        </w:rPr>
        <w:t>Appearance and character</w:t>
      </w:r>
      <w:r>
        <w:rPr>
          <w:sz w:val="22"/>
          <w:szCs w:val="22"/>
        </w:rPr>
        <w:t xml:space="preserve">: White pearl mucus. </w:t>
      </w:r>
    </w:p>
    <w:p>
      <w:pPr>
        <w:ind w:left="540"/>
        <w:rPr>
          <w:sz w:val="22"/>
          <w:szCs w:val="22"/>
        </w:rPr>
      </w:pPr>
      <w:r>
        <w:rPr>
          <w:sz w:val="22"/>
          <w:szCs w:val="22"/>
        </w:rPr>
        <w:t>Boiling point (℃): 108-262</w:t>
      </w:r>
      <w:r>
        <w:rPr>
          <w:rFonts w:eastAsia="黑体"/>
          <w:sz w:val="22"/>
          <w:szCs w:val="22"/>
        </w:rPr>
        <w:tab/>
      </w:r>
    </w:p>
    <w:p>
      <w:pPr>
        <w:ind w:left="540"/>
        <w:rPr>
          <w:sz w:val="22"/>
          <w:szCs w:val="22"/>
        </w:rPr>
      </w:pPr>
      <w:r>
        <w:rPr>
          <w:sz w:val="22"/>
          <w:szCs w:val="22"/>
        </w:rPr>
        <w:t xml:space="preserve">Flash point (℃): 28 (closed cup)  </w:t>
      </w:r>
    </w:p>
    <w:p>
      <w:pPr>
        <w:ind w:left="540"/>
        <w:rPr>
          <w:sz w:val="22"/>
          <w:szCs w:val="22"/>
        </w:rPr>
      </w:pPr>
      <w:r>
        <w:rPr>
          <w:rFonts w:eastAsia="Arial,Bold"/>
          <w:bCs/>
          <w:kern w:val="0"/>
          <w:sz w:val="22"/>
          <w:szCs w:val="22"/>
        </w:rPr>
        <w:t>Upper/lower flammability or explosive limits:</w:t>
      </w:r>
    </w:p>
    <w:p>
      <w:pPr>
        <w:ind w:left="1080"/>
        <w:rPr>
          <w:sz w:val="22"/>
          <w:szCs w:val="22"/>
        </w:rPr>
      </w:pPr>
      <w:r>
        <w:rPr>
          <w:sz w:val="22"/>
          <w:szCs w:val="22"/>
        </w:rPr>
        <w:t>Flammability limit – lower (%): N/A</w:t>
      </w:r>
    </w:p>
    <w:p>
      <w:pPr>
        <w:ind w:left="1080"/>
        <w:rPr>
          <w:sz w:val="22"/>
          <w:szCs w:val="22"/>
        </w:rPr>
      </w:pPr>
      <w:r>
        <w:rPr>
          <w:sz w:val="22"/>
          <w:szCs w:val="22"/>
        </w:rPr>
        <w:t xml:space="preserve">Flammability limit – upper (%): </w:t>
      </w:r>
      <w:r>
        <w:rPr>
          <w:rFonts w:eastAsia="黑体"/>
          <w:sz w:val="22"/>
          <w:szCs w:val="22"/>
        </w:rPr>
        <w:t>N/A</w:t>
      </w:r>
      <w:r>
        <w:rPr>
          <w:sz w:val="22"/>
          <w:szCs w:val="22"/>
        </w:rPr>
        <w:t xml:space="preserve">  </w:t>
      </w:r>
    </w:p>
    <w:p>
      <w:pPr>
        <w:ind w:left="530"/>
        <w:rPr>
          <w:sz w:val="22"/>
          <w:szCs w:val="22"/>
        </w:rPr>
      </w:pPr>
      <w:r>
        <w:rPr>
          <w:sz w:val="22"/>
          <w:szCs w:val="22"/>
        </w:rPr>
        <w:t>Viscosity (-4 Cup. second, 30℃): 70</w:t>
      </w:r>
      <w:r>
        <w:rPr>
          <w:rFonts w:eastAsia="黑体"/>
          <w:sz w:val="22"/>
          <w:szCs w:val="22"/>
        </w:rPr>
        <w:t>-110</w:t>
      </w:r>
    </w:p>
    <w:p>
      <w:pPr>
        <w:rPr>
          <w:sz w:val="22"/>
          <w:szCs w:val="22"/>
        </w:rPr>
      </w:pPr>
      <w:r>
        <w:rPr>
          <w:sz w:val="22"/>
          <w:szCs w:val="22"/>
        </w:rPr>
        <w:t xml:space="preserve">     VOC (g/L):</w:t>
      </w:r>
      <w:r>
        <w:t xml:space="preserve"> </w:t>
      </w:r>
      <w:r>
        <w:rPr>
          <w:sz w:val="22"/>
          <w:szCs w:val="22"/>
        </w:rPr>
        <w:t>551-651</w:t>
      </w:r>
    </w:p>
    <w:p>
      <w:pPr>
        <w:ind w:left="530"/>
        <w:rPr>
          <w:sz w:val="22"/>
          <w:szCs w:val="22"/>
        </w:rPr>
      </w:pPr>
      <w:r>
        <w:rPr>
          <w:sz w:val="22"/>
          <w:szCs w:val="22"/>
        </w:rPr>
        <w:t xml:space="preserve">Relative density (assume water as 1): </w:t>
      </w:r>
      <w:r>
        <w:rPr>
          <w:rFonts w:hint="eastAsia"/>
          <w:sz w:val="22"/>
          <w:szCs w:val="22"/>
        </w:rPr>
        <w:t>0.9</w:t>
      </w:r>
      <w:r>
        <w:rPr>
          <w:sz w:val="22"/>
          <w:szCs w:val="22"/>
        </w:rPr>
        <w:t>7</w:t>
      </w:r>
    </w:p>
    <w:p>
      <w:pPr>
        <w:ind w:left="530"/>
        <w:rPr>
          <w:sz w:val="22"/>
          <w:szCs w:val="22"/>
        </w:rPr>
      </w:pPr>
      <w:r>
        <w:rPr>
          <w:sz w:val="22"/>
          <w:szCs w:val="22"/>
        </w:rPr>
        <w:t>Solubility: Hardly soluble in water</w:t>
      </w:r>
    </w:p>
    <w:p>
      <w:pPr>
        <w:ind w:left="330"/>
        <w:rPr>
          <w:sz w:val="22"/>
          <w:szCs w:val="22"/>
        </w:rPr>
      </w:pPr>
    </w:p>
    <w:p>
      <w:pPr>
        <w:rPr>
          <w:rFonts w:eastAsia="黑体"/>
          <w:b/>
          <w:sz w:val="22"/>
          <w:szCs w:val="22"/>
        </w:rPr>
      </w:pPr>
      <w:r>
        <w:rPr>
          <w:rFonts w:eastAsia="黑体"/>
          <w:b/>
          <w:sz w:val="22"/>
          <w:szCs w:val="22"/>
        </w:rPr>
        <w:t xml:space="preserve">SECTION 10 </w:t>
      </w:r>
      <w:r>
        <w:rPr>
          <w:rFonts w:hint="eastAsia" w:eastAsia="黑体"/>
          <w:b/>
          <w:sz w:val="22"/>
          <w:szCs w:val="22"/>
        </w:rPr>
        <w:t>S</w:t>
      </w:r>
      <w:r>
        <w:rPr>
          <w:rFonts w:eastAsia="黑体"/>
          <w:b/>
          <w:sz w:val="22"/>
          <w:szCs w:val="22"/>
        </w:rPr>
        <w:t>tability and reactivity</w:t>
      </w:r>
    </w:p>
    <w:p>
      <w:pPr>
        <w:jc w:val="center"/>
        <w:rPr>
          <w:rFonts w:eastAsia="黑体"/>
          <w:b/>
          <w:sz w:val="22"/>
          <w:szCs w:val="22"/>
        </w:rPr>
      </w:pPr>
    </w:p>
    <w:p>
      <w:pPr>
        <w:rPr>
          <w:rFonts w:eastAsia="黑体"/>
          <w:sz w:val="22"/>
          <w:szCs w:val="22"/>
        </w:rPr>
      </w:pPr>
      <w:r>
        <w:rPr>
          <w:rFonts w:eastAsia="黑体"/>
          <w:b/>
          <w:sz w:val="22"/>
          <w:szCs w:val="22"/>
        </w:rPr>
        <w:t>Stability:</w:t>
      </w:r>
      <w:r>
        <w:rPr>
          <w:rFonts w:eastAsia="黑体"/>
          <w:sz w:val="22"/>
          <w:szCs w:val="22"/>
        </w:rPr>
        <w:t xml:space="preserve"> The product is stable.</w:t>
      </w:r>
    </w:p>
    <w:p>
      <w:pPr>
        <w:rPr>
          <w:rFonts w:eastAsia="黑体"/>
          <w:sz w:val="22"/>
          <w:szCs w:val="22"/>
        </w:rPr>
      </w:pPr>
      <w:r>
        <w:rPr>
          <w:rFonts w:eastAsia="黑体"/>
          <w:b/>
          <w:bCs/>
          <w:kern w:val="0"/>
          <w:sz w:val="22"/>
          <w:szCs w:val="22"/>
        </w:rPr>
        <w:t xml:space="preserve">Possibility of hazardous reactions: </w:t>
      </w:r>
      <w:r>
        <w:rPr>
          <w:rFonts w:eastAsia="黑体"/>
          <w:kern w:val="0"/>
          <w:sz w:val="22"/>
          <w:szCs w:val="22"/>
        </w:rPr>
        <w:t>No dangerous reaction known under conditions of normal use.</w:t>
      </w:r>
    </w:p>
    <w:p>
      <w:pPr>
        <w:rPr>
          <w:rFonts w:eastAsia="黑体"/>
          <w:sz w:val="22"/>
          <w:szCs w:val="22"/>
        </w:rPr>
      </w:pPr>
      <w:r>
        <w:rPr>
          <w:rFonts w:eastAsia="黑体"/>
          <w:b/>
          <w:bCs/>
          <w:kern w:val="0"/>
          <w:sz w:val="22"/>
          <w:szCs w:val="22"/>
        </w:rPr>
        <w:t xml:space="preserve">Conditions to avoid: </w:t>
      </w:r>
      <w:r>
        <w:rPr>
          <w:rFonts w:eastAsia="黑体"/>
          <w:kern w:val="0"/>
          <w:sz w:val="22"/>
          <w:szCs w:val="22"/>
        </w:rPr>
        <w:t>Avoid static electricity, high heat, open flames.</w:t>
      </w:r>
    </w:p>
    <w:p>
      <w:pPr>
        <w:rPr>
          <w:rFonts w:eastAsia="黑体"/>
          <w:sz w:val="22"/>
          <w:szCs w:val="22"/>
        </w:rPr>
      </w:pPr>
      <w:r>
        <w:rPr>
          <w:rFonts w:eastAsia="黑体"/>
          <w:b/>
          <w:kern w:val="0"/>
          <w:sz w:val="22"/>
          <w:szCs w:val="22"/>
        </w:rPr>
        <w:t xml:space="preserve">Incompatible materials: </w:t>
      </w:r>
      <w:r>
        <w:rPr>
          <w:rFonts w:eastAsia="黑体"/>
          <w:kern w:val="0"/>
          <w:sz w:val="22"/>
          <w:szCs w:val="22"/>
        </w:rPr>
        <w:t>Strong acids, strong oxidizing agents, and strong alkali.</w:t>
      </w:r>
    </w:p>
    <w:p>
      <w:pPr>
        <w:rPr>
          <w:rFonts w:eastAsia="黑体"/>
          <w:sz w:val="22"/>
          <w:szCs w:val="22"/>
        </w:rPr>
      </w:pPr>
      <w:r>
        <w:rPr>
          <w:rFonts w:eastAsia="黑体"/>
          <w:b/>
          <w:sz w:val="22"/>
          <w:szCs w:val="22"/>
        </w:rPr>
        <w:t>Hazardous decomposition products:</w:t>
      </w:r>
      <w:r>
        <w:rPr>
          <w:rFonts w:eastAsia="黑体"/>
          <w:sz w:val="22"/>
          <w:szCs w:val="22"/>
        </w:rPr>
        <w:t xml:space="preserve"> No hazardous decomposition products are known under the condition of normal use.</w:t>
      </w:r>
    </w:p>
    <w:p>
      <w:pPr>
        <w:rPr>
          <w:b/>
          <w:sz w:val="22"/>
          <w:szCs w:val="22"/>
        </w:rPr>
      </w:pPr>
    </w:p>
    <w:p>
      <w:pPr>
        <w:rPr>
          <w:b/>
          <w:sz w:val="22"/>
          <w:szCs w:val="22"/>
        </w:rPr>
      </w:pPr>
      <w:r>
        <w:rPr>
          <w:b/>
          <w:sz w:val="22"/>
          <w:szCs w:val="22"/>
        </w:rPr>
        <w:t>SECTION 11 Toxicological information</w:t>
      </w:r>
    </w:p>
    <w:p>
      <w:pPr>
        <w:jc w:val="center"/>
        <w:rPr>
          <w:b/>
          <w:sz w:val="22"/>
          <w:szCs w:val="22"/>
        </w:rPr>
      </w:pPr>
    </w:p>
    <w:p>
      <w:pPr>
        <w:rPr>
          <w:b/>
          <w:bCs/>
          <w:sz w:val="22"/>
          <w:szCs w:val="22"/>
        </w:rPr>
      </w:pPr>
      <w:r>
        <w:rPr>
          <w:b/>
          <w:bCs/>
          <w:sz w:val="22"/>
          <w:szCs w:val="22"/>
        </w:rPr>
        <w:t xml:space="preserve">Acute toxicity:  </w:t>
      </w:r>
    </w:p>
    <w:tbl>
      <w:tblPr>
        <w:tblStyle w:val="6"/>
        <w:tblW w:w="98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5"/>
        <w:gridCol w:w="2759"/>
        <w:gridCol w:w="1701"/>
        <w:gridCol w:w="1635"/>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tcPr>
          <w:p>
            <w:pPr>
              <w:rPr>
                <w:sz w:val="22"/>
                <w:szCs w:val="22"/>
              </w:rPr>
            </w:pPr>
            <w:bookmarkStart w:id="1" w:name="_Hlk17100963"/>
            <w:r>
              <w:rPr>
                <w:sz w:val="22"/>
                <w:szCs w:val="22"/>
              </w:rPr>
              <w:t>Ingredient Name</w:t>
            </w:r>
          </w:p>
        </w:tc>
        <w:tc>
          <w:tcPr>
            <w:tcW w:w="2759" w:type="dxa"/>
          </w:tcPr>
          <w:p>
            <w:pPr>
              <w:rPr>
                <w:sz w:val="22"/>
                <w:szCs w:val="22"/>
              </w:rPr>
            </w:pPr>
            <w:r>
              <w:rPr>
                <w:sz w:val="22"/>
                <w:szCs w:val="22"/>
              </w:rPr>
              <w:t>Result</w:t>
            </w:r>
          </w:p>
        </w:tc>
        <w:tc>
          <w:tcPr>
            <w:tcW w:w="1701" w:type="dxa"/>
          </w:tcPr>
          <w:p>
            <w:pPr>
              <w:rPr>
                <w:sz w:val="22"/>
                <w:szCs w:val="22"/>
              </w:rPr>
            </w:pPr>
            <w:r>
              <w:rPr>
                <w:sz w:val="22"/>
                <w:szCs w:val="22"/>
              </w:rPr>
              <w:t>Species</w:t>
            </w:r>
          </w:p>
        </w:tc>
        <w:tc>
          <w:tcPr>
            <w:tcW w:w="1635" w:type="dxa"/>
          </w:tcPr>
          <w:p>
            <w:pPr>
              <w:rPr>
                <w:sz w:val="22"/>
                <w:szCs w:val="22"/>
              </w:rPr>
            </w:pPr>
            <w:r>
              <w:rPr>
                <w:sz w:val="22"/>
                <w:szCs w:val="22"/>
              </w:rPr>
              <w:t>Dose</w:t>
            </w:r>
          </w:p>
        </w:tc>
        <w:tc>
          <w:tcPr>
            <w:tcW w:w="1559" w:type="dxa"/>
          </w:tcPr>
          <w:p>
            <w:pPr>
              <w:rPr>
                <w:sz w:val="22"/>
                <w:szCs w:val="22"/>
              </w:rPr>
            </w:pPr>
            <w:r>
              <w:rPr>
                <w:sz w:val="22"/>
                <w:szCs w:val="22"/>
              </w:rPr>
              <w:t>Exposure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2235" w:type="dxa"/>
          </w:tcPr>
          <w:p>
            <w:pPr>
              <w:rPr>
                <w:sz w:val="22"/>
                <w:szCs w:val="22"/>
              </w:rPr>
            </w:pPr>
            <w:r>
              <w:rPr>
                <w:sz w:val="22"/>
                <w:szCs w:val="22"/>
              </w:rPr>
              <w:t>Butyl acetate</w:t>
            </w:r>
          </w:p>
          <w:p>
            <w:pPr>
              <w:rPr>
                <w:sz w:val="22"/>
                <w:szCs w:val="22"/>
              </w:rPr>
            </w:pPr>
          </w:p>
        </w:tc>
        <w:tc>
          <w:tcPr>
            <w:tcW w:w="2759" w:type="dxa"/>
          </w:tcPr>
          <w:p>
            <w:pPr>
              <w:rPr>
                <w:sz w:val="22"/>
                <w:szCs w:val="22"/>
              </w:rPr>
            </w:pPr>
            <w:r>
              <w:rPr>
                <w:sz w:val="22"/>
                <w:szCs w:val="22"/>
              </w:rPr>
              <w:t xml:space="preserve">LC50 Vapor Inhalation </w:t>
            </w:r>
          </w:p>
          <w:p>
            <w:pPr>
              <w:rPr>
                <w:sz w:val="22"/>
                <w:szCs w:val="22"/>
              </w:rPr>
            </w:pPr>
            <w:r>
              <w:rPr>
                <w:sz w:val="22"/>
                <w:szCs w:val="22"/>
              </w:rPr>
              <w:t>LD50 Dermal</w:t>
            </w:r>
          </w:p>
          <w:p>
            <w:pPr>
              <w:rPr>
                <w:sz w:val="22"/>
                <w:szCs w:val="22"/>
              </w:rPr>
            </w:pPr>
            <w:r>
              <w:rPr>
                <w:rFonts w:hint="eastAsia"/>
                <w:sz w:val="22"/>
                <w:szCs w:val="22"/>
              </w:rPr>
              <w:t>L</w:t>
            </w:r>
            <w:r>
              <w:rPr>
                <w:sz w:val="22"/>
                <w:szCs w:val="22"/>
              </w:rPr>
              <w:t>D50 Oral</w:t>
            </w:r>
          </w:p>
        </w:tc>
        <w:tc>
          <w:tcPr>
            <w:tcW w:w="1701" w:type="dxa"/>
          </w:tcPr>
          <w:p>
            <w:pPr>
              <w:rPr>
                <w:sz w:val="22"/>
                <w:szCs w:val="22"/>
              </w:rPr>
            </w:pPr>
            <w:r>
              <w:rPr>
                <w:sz w:val="22"/>
                <w:szCs w:val="22"/>
              </w:rPr>
              <w:t>Rat</w:t>
            </w:r>
          </w:p>
          <w:p>
            <w:pPr>
              <w:rPr>
                <w:sz w:val="22"/>
                <w:szCs w:val="22"/>
              </w:rPr>
            </w:pPr>
            <w:r>
              <w:rPr>
                <w:sz w:val="22"/>
                <w:szCs w:val="22"/>
              </w:rPr>
              <w:t>Rabbit</w:t>
            </w:r>
          </w:p>
          <w:p>
            <w:pPr>
              <w:rPr>
                <w:sz w:val="22"/>
                <w:szCs w:val="22"/>
              </w:rPr>
            </w:pPr>
            <w:r>
              <w:rPr>
                <w:sz w:val="22"/>
                <w:szCs w:val="22"/>
              </w:rPr>
              <w:t>Rat</w:t>
            </w:r>
          </w:p>
        </w:tc>
        <w:tc>
          <w:tcPr>
            <w:tcW w:w="1635" w:type="dxa"/>
          </w:tcPr>
          <w:p>
            <w:pPr>
              <w:rPr>
                <w:sz w:val="22"/>
                <w:szCs w:val="22"/>
              </w:rPr>
            </w:pPr>
            <w:r>
              <w:rPr>
                <w:rFonts w:hint="eastAsia"/>
                <w:sz w:val="22"/>
                <w:szCs w:val="22"/>
              </w:rPr>
              <w:t>2000ppm</w:t>
            </w:r>
          </w:p>
          <w:p>
            <w:pPr>
              <w:rPr>
                <w:sz w:val="22"/>
                <w:szCs w:val="22"/>
              </w:rPr>
            </w:pPr>
            <w:r>
              <w:rPr>
                <w:rFonts w:hint="eastAsia"/>
                <w:sz w:val="22"/>
                <w:szCs w:val="22"/>
              </w:rPr>
              <w:t>&gt;17600mg/kg</w:t>
            </w:r>
          </w:p>
          <w:p>
            <w:pPr>
              <w:ind w:left="31" w:leftChars="15"/>
              <w:rPr>
                <w:sz w:val="22"/>
                <w:szCs w:val="22"/>
              </w:rPr>
            </w:pPr>
            <w:r>
              <w:rPr>
                <w:rFonts w:hint="eastAsia"/>
                <w:sz w:val="22"/>
                <w:szCs w:val="22"/>
              </w:rPr>
              <w:t>10768mg/kg</w:t>
            </w:r>
          </w:p>
        </w:tc>
        <w:tc>
          <w:tcPr>
            <w:tcW w:w="1559" w:type="dxa"/>
          </w:tcPr>
          <w:p>
            <w:pPr>
              <w:rPr>
                <w:sz w:val="22"/>
                <w:szCs w:val="22"/>
              </w:rPr>
            </w:pPr>
            <w:r>
              <w:rPr>
                <w:sz w:val="22"/>
                <w:szCs w:val="22"/>
              </w:rPr>
              <w:t>4 hour</w:t>
            </w:r>
            <w:r>
              <w:rPr>
                <w:rFonts w:hint="eastAsia"/>
                <w:sz w:val="22"/>
                <w:szCs w:val="22"/>
              </w:rPr>
              <w:t>s</w:t>
            </w:r>
          </w:p>
          <w:p>
            <w:pPr>
              <w:rPr>
                <w:sz w:val="22"/>
                <w:szCs w:val="22"/>
              </w:rPr>
            </w:pPr>
            <w:r>
              <w:rPr>
                <w:rFonts w:hint="eastAsia"/>
                <w:sz w:val="22"/>
                <w:szCs w:val="22"/>
              </w:rPr>
              <w:t>-</w:t>
            </w:r>
          </w:p>
          <w:p>
            <w:pPr>
              <w:rPr>
                <w:sz w:val="22"/>
                <w:szCs w:val="22"/>
              </w:rPr>
            </w:pPr>
            <w:r>
              <w:rPr>
                <w:rFonts w:hint="eastAsia"/>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2235" w:type="dxa"/>
          </w:tcPr>
          <w:p>
            <w:pPr>
              <w:rPr>
                <w:sz w:val="22"/>
                <w:szCs w:val="22"/>
              </w:rPr>
            </w:pPr>
            <w:r>
              <w:rPr>
                <w:sz w:val="22"/>
                <w:szCs w:val="22"/>
              </w:rPr>
              <w:t>Xylene</w:t>
            </w:r>
          </w:p>
        </w:tc>
        <w:tc>
          <w:tcPr>
            <w:tcW w:w="2759" w:type="dxa"/>
          </w:tcPr>
          <w:p>
            <w:pPr>
              <w:rPr>
                <w:sz w:val="22"/>
                <w:szCs w:val="22"/>
              </w:rPr>
            </w:pPr>
            <w:r>
              <w:rPr>
                <w:rFonts w:hint="eastAsia"/>
                <w:sz w:val="22"/>
                <w:szCs w:val="22"/>
              </w:rPr>
              <w:t>L</w:t>
            </w:r>
            <w:r>
              <w:rPr>
                <w:sz w:val="22"/>
                <w:szCs w:val="22"/>
              </w:rPr>
              <w:t>D50 Oral</w:t>
            </w:r>
          </w:p>
        </w:tc>
        <w:tc>
          <w:tcPr>
            <w:tcW w:w="1701" w:type="dxa"/>
          </w:tcPr>
          <w:p>
            <w:pPr>
              <w:rPr>
                <w:sz w:val="22"/>
                <w:szCs w:val="22"/>
              </w:rPr>
            </w:pPr>
            <w:r>
              <w:rPr>
                <w:sz w:val="22"/>
                <w:szCs w:val="22"/>
              </w:rPr>
              <w:t>Rat</w:t>
            </w:r>
          </w:p>
        </w:tc>
        <w:tc>
          <w:tcPr>
            <w:tcW w:w="1635" w:type="dxa"/>
            <w:vAlign w:val="center"/>
          </w:tcPr>
          <w:p>
            <w:pPr>
              <w:ind w:left="31" w:leftChars="15"/>
              <w:rPr>
                <w:sz w:val="22"/>
                <w:szCs w:val="22"/>
              </w:rPr>
            </w:pPr>
            <w:r>
              <w:rPr>
                <w:rFonts w:hint="eastAsia"/>
                <w:sz w:val="22"/>
                <w:szCs w:val="22"/>
              </w:rPr>
              <w:t>4300mg/kg</w:t>
            </w:r>
          </w:p>
        </w:tc>
        <w:tc>
          <w:tcPr>
            <w:tcW w:w="1559" w:type="dxa"/>
          </w:tcPr>
          <w:p>
            <w:pPr>
              <w:rPr>
                <w:sz w:val="22"/>
                <w:szCs w:val="22"/>
              </w:rPr>
            </w:pPr>
            <w:r>
              <w:rPr>
                <w:rFonts w:hint="eastAsia"/>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2235" w:type="dxa"/>
          </w:tcPr>
          <w:p>
            <w:pPr>
              <w:rPr>
                <w:sz w:val="22"/>
                <w:szCs w:val="22"/>
              </w:rPr>
            </w:pPr>
            <w:r>
              <w:rPr>
                <w:sz w:val="22"/>
                <w:szCs w:val="22"/>
              </w:rPr>
              <w:t>PMA</w:t>
            </w:r>
          </w:p>
        </w:tc>
        <w:tc>
          <w:tcPr>
            <w:tcW w:w="2759" w:type="dxa"/>
          </w:tcPr>
          <w:p>
            <w:pPr>
              <w:rPr>
                <w:sz w:val="22"/>
                <w:szCs w:val="22"/>
              </w:rPr>
            </w:pPr>
            <w:r>
              <w:rPr>
                <w:sz w:val="22"/>
                <w:szCs w:val="22"/>
              </w:rPr>
              <w:t>LD50 Dermal</w:t>
            </w:r>
          </w:p>
          <w:p>
            <w:pPr>
              <w:rPr>
                <w:sz w:val="22"/>
                <w:szCs w:val="22"/>
              </w:rPr>
            </w:pPr>
            <w:r>
              <w:rPr>
                <w:sz w:val="22"/>
                <w:szCs w:val="22"/>
              </w:rPr>
              <w:t>LD50 Oral</w:t>
            </w:r>
          </w:p>
        </w:tc>
        <w:tc>
          <w:tcPr>
            <w:tcW w:w="1701" w:type="dxa"/>
          </w:tcPr>
          <w:p>
            <w:pPr>
              <w:rPr>
                <w:sz w:val="22"/>
                <w:szCs w:val="22"/>
              </w:rPr>
            </w:pPr>
            <w:r>
              <w:rPr>
                <w:sz w:val="22"/>
                <w:szCs w:val="22"/>
              </w:rPr>
              <w:t>Rabbit</w:t>
            </w:r>
          </w:p>
          <w:p>
            <w:pPr>
              <w:rPr>
                <w:sz w:val="22"/>
                <w:szCs w:val="22"/>
              </w:rPr>
            </w:pPr>
            <w:r>
              <w:rPr>
                <w:sz w:val="22"/>
                <w:szCs w:val="22"/>
              </w:rPr>
              <w:t>Rat</w:t>
            </w:r>
          </w:p>
        </w:tc>
        <w:tc>
          <w:tcPr>
            <w:tcW w:w="1635" w:type="dxa"/>
          </w:tcPr>
          <w:p>
            <w:pPr>
              <w:ind w:left="31" w:leftChars="15"/>
              <w:rPr>
                <w:sz w:val="22"/>
                <w:szCs w:val="22"/>
              </w:rPr>
            </w:pPr>
            <w:r>
              <w:rPr>
                <w:rFonts w:hint="eastAsia"/>
                <w:sz w:val="22"/>
                <w:szCs w:val="22"/>
              </w:rPr>
              <w:t>&gt;5000mg/kg</w:t>
            </w:r>
          </w:p>
          <w:p>
            <w:pPr>
              <w:ind w:left="31" w:leftChars="15"/>
              <w:rPr>
                <w:sz w:val="22"/>
                <w:szCs w:val="22"/>
              </w:rPr>
            </w:pPr>
            <w:r>
              <w:rPr>
                <w:rFonts w:hint="eastAsia"/>
                <w:sz w:val="22"/>
                <w:szCs w:val="22"/>
              </w:rPr>
              <w:t>8532mg/kg</w:t>
            </w:r>
          </w:p>
        </w:tc>
        <w:tc>
          <w:tcPr>
            <w:tcW w:w="1559" w:type="dxa"/>
          </w:tcPr>
          <w:p>
            <w:pPr>
              <w:rPr>
                <w:sz w:val="22"/>
                <w:szCs w:val="22"/>
              </w:rPr>
            </w:pPr>
            <w:r>
              <w:rPr>
                <w:rFonts w:hint="eastAsia"/>
                <w:sz w:val="22"/>
                <w:szCs w:val="22"/>
              </w:rPr>
              <w:t>-</w:t>
            </w:r>
          </w:p>
          <w:p>
            <w:pPr>
              <w:rPr>
                <w:sz w:val="22"/>
                <w:szCs w:val="22"/>
              </w:rPr>
            </w:pPr>
            <w:r>
              <w:rPr>
                <w:rFonts w:hint="eastAsia"/>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2235" w:type="dxa"/>
          </w:tcPr>
          <w:p>
            <w:pPr>
              <w:rPr>
                <w:sz w:val="22"/>
                <w:szCs w:val="22"/>
              </w:rPr>
            </w:pPr>
            <w:r>
              <w:rPr>
                <w:sz w:val="22"/>
                <w:szCs w:val="22"/>
              </w:rPr>
              <w:t>n-Butyl alcohol</w:t>
            </w:r>
          </w:p>
        </w:tc>
        <w:tc>
          <w:tcPr>
            <w:tcW w:w="2759" w:type="dxa"/>
          </w:tcPr>
          <w:p>
            <w:pPr>
              <w:rPr>
                <w:sz w:val="22"/>
                <w:szCs w:val="22"/>
              </w:rPr>
            </w:pPr>
            <w:r>
              <w:rPr>
                <w:sz w:val="22"/>
                <w:szCs w:val="22"/>
              </w:rPr>
              <w:t xml:space="preserve">LC50 Vapor Inhalation </w:t>
            </w:r>
          </w:p>
          <w:p>
            <w:pPr>
              <w:rPr>
                <w:sz w:val="22"/>
                <w:szCs w:val="22"/>
              </w:rPr>
            </w:pPr>
            <w:r>
              <w:rPr>
                <w:sz w:val="22"/>
                <w:szCs w:val="22"/>
              </w:rPr>
              <w:t>LD50 Oral</w:t>
            </w:r>
          </w:p>
          <w:p>
            <w:pPr>
              <w:rPr>
                <w:sz w:val="22"/>
                <w:szCs w:val="22"/>
              </w:rPr>
            </w:pPr>
            <w:r>
              <w:rPr>
                <w:sz w:val="22"/>
                <w:szCs w:val="22"/>
              </w:rPr>
              <w:t>LD50 Dermal</w:t>
            </w:r>
          </w:p>
        </w:tc>
        <w:tc>
          <w:tcPr>
            <w:tcW w:w="1701" w:type="dxa"/>
          </w:tcPr>
          <w:p>
            <w:pPr>
              <w:rPr>
                <w:sz w:val="22"/>
                <w:szCs w:val="22"/>
              </w:rPr>
            </w:pPr>
            <w:r>
              <w:rPr>
                <w:sz w:val="22"/>
                <w:szCs w:val="22"/>
              </w:rPr>
              <w:t xml:space="preserve">Rat </w:t>
            </w:r>
          </w:p>
          <w:p>
            <w:pPr>
              <w:rPr>
                <w:sz w:val="22"/>
                <w:szCs w:val="22"/>
              </w:rPr>
            </w:pPr>
            <w:r>
              <w:rPr>
                <w:sz w:val="22"/>
                <w:szCs w:val="22"/>
              </w:rPr>
              <w:t xml:space="preserve">Rat </w:t>
            </w:r>
          </w:p>
          <w:p>
            <w:pPr>
              <w:rPr>
                <w:sz w:val="22"/>
                <w:szCs w:val="22"/>
              </w:rPr>
            </w:pPr>
            <w:r>
              <w:rPr>
                <w:sz w:val="22"/>
                <w:szCs w:val="22"/>
              </w:rPr>
              <w:t>Rabbit</w:t>
            </w:r>
          </w:p>
        </w:tc>
        <w:tc>
          <w:tcPr>
            <w:tcW w:w="1635" w:type="dxa"/>
          </w:tcPr>
          <w:p>
            <w:pPr>
              <w:rPr>
                <w:sz w:val="22"/>
                <w:szCs w:val="22"/>
              </w:rPr>
            </w:pPr>
            <w:r>
              <w:rPr>
                <w:sz w:val="22"/>
                <w:szCs w:val="22"/>
              </w:rPr>
              <w:t>8000ppm</w:t>
            </w:r>
            <w:r>
              <w:rPr>
                <w:rFonts w:hint="eastAsia"/>
                <w:sz w:val="22"/>
                <w:szCs w:val="22"/>
              </w:rPr>
              <w:t xml:space="preserve"> </w:t>
            </w:r>
          </w:p>
          <w:p>
            <w:pPr>
              <w:rPr>
                <w:sz w:val="22"/>
                <w:szCs w:val="22"/>
              </w:rPr>
            </w:pPr>
            <w:r>
              <w:rPr>
                <w:rFonts w:hint="eastAsia"/>
                <w:sz w:val="22"/>
                <w:szCs w:val="22"/>
              </w:rPr>
              <w:t>790mg/kg</w:t>
            </w:r>
          </w:p>
          <w:p>
            <w:pPr>
              <w:ind w:left="31" w:leftChars="15"/>
              <w:rPr>
                <w:sz w:val="22"/>
                <w:szCs w:val="22"/>
              </w:rPr>
            </w:pPr>
            <w:r>
              <w:rPr>
                <w:rFonts w:hint="eastAsia"/>
                <w:sz w:val="22"/>
                <w:szCs w:val="22"/>
              </w:rPr>
              <w:t>3400mg/kg</w:t>
            </w:r>
          </w:p>
        </w:tc>
        <w:tc>
          <w:tcPr>
            <w:tcW w:w="1559" w:type="dxa"/>
          </w:tcPr>
          <w:p>
            <w:pPr>
              <w:rPr>
                <w:sz w:val="22"/>
                <w:szCs w:val="22"/>
              </w:rPr>
            </w:pPr>
            <w:r>
              <w:rPr>
                <w:sz w:val="22"/>
                <w:szCs w:val="22"/>
              </w:rPr>
              <w:t>4 hour</w:t>
            </w:r>
            <w:r>
              <w:rPr>
                <w:rFonts w:hint="eastAsia"/>
                <w:sz w:val="22"/>
                <w:szCs w:val="22"/>
              </w:rPr>
              <w:t>s</w:t>
            </w:r>
          </w:p>
          <w:p>
            <w:pPr>
              <w:rPr>
                <w:sz w:val="22"/>
                <w:szCs w:val="22"/>
              </w:rPr>
            </w:pPr>
            <w:r>
              <w:rPr>
                <w:rFonts w:hint="eastAsia"/>
                <w:sz w:val="22"/>
                <w:szCs w:val="22"/>
              </w:rPr>
              <w:t>-</w:t>
            </w:r>
          </w:p>
          <w:p>
            <w:pPr>
              <w:rPr>
                <w:sz w:val="22"/>
                <w:szCs w:val="22"/>
              </w:rPr>
            </w:pPr>
            <w:r>
              <w:rPr>
                <w:rFonts w:hint="eastAsia"/>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2235" w:type="dxa"/>
          </w:tcPr>
          <w:p>
            <w:pPr>
              <w:rPr>
                <w:sz w:val="22"/>
                <w:szCs w:val="22"/>
              </w:rPr>
            </w:pPr>
            <w:r>
              <w:rPr>
                <w:sz w:val="22"/>
                <w:szCs w:val="22"/>
              </w:rPr>
              <w:t>Solvent Oil</w:t>
            </w:r>
          </w:p>
        </w:tc>
        <w:tc>
          <w:tcPr>
            <w:tcW w:w="2759" w:type="dxa"/>
          </w:tcPr>
          <w:p>
            <w:pPr>
              <w:rPr>
                <w:sz w:val="22"/>
                <w:szCs w:val="22"/>
              </w:rPr>
            </w:pPr>
            <w:r>
              <w:rPr>
                <w:sz w:val="22"/>
                <w:szCs w:val="22"/>
              </w:rPr>
              <w:t>LD50 Oral</w:t>
            </w:r>
          </w:p>
          <w:p>
            <w:pPr>
              <w:rPr>
                <w:sz w:val="22"/>
                <w:szCs w:val="22"/>
              </w:rPr>
            </w:pPr>
            <w:r>
              <w:rPr>
                <w:sz w:val="22"/>
                <w:szCs w:val="22"/>
              </w:rPr>
              <w:t xml:space="preserve">LC50 Vapor Inhalation </w:t>
            </w:r>
          </w:p>
        </w:tc>
        <w:tc>
          <w:tcPr>
            <w:tcW w:w="1701" w:type="dxa"/>
          </w:tcPr>
          <w:p>
            <w:pPr>
              <w:rPr>
                <w:sz w:val="22"/>
                <w:szCs w:val="22"/>
              </w:rPr>
            </w:pPr>
            <w:r>
              <w:rPr>
                <w:sz w:val="22"/>
                <w:szCs w:val="22"/>
              </w:rPr>
              <w:t>Rat</w:t>
            </w:r>
          </w:p>
          <w:p>
            <w:pPr>
              <w:rPr>
                <w:sz w:val="22"/>
                <w:szCs w:val="22"/>
              </w:rPr>
            </w:pPr>
            <w:r>
              <w:rPr>
                <w:sz w:val="22"/>
                <w:szCs w:val="22"/>
              </w:rPr>
              <w:t>Rat</w:t>
            </w:r>
          </w:p>
        </w:tc>
        <w:tc>
          <w:tcPr>
            <w:tcW w:w="1635" w:type="dxa"/>
          </w:tcPr>
          <w:p>
            <w:pPr>
              <w:rPr>
                <w:sz w:val="22"/>
                <w:szCs w:val="22"/>
              </w:rPr>
            </w:pPr>
            <w:r>
              <w:rPr>
                <w:rFonts w:hint="eastAsia"/>
                <w:sz w:val="22"/>
                <w:szCs w:val="22"/>
              </w:rPr>
              <w:t>67000mg/kg</w:t>
            </w:r>
          </w:p>
          <w:p>
            <w:pPr>
              <w:ind w:left="31" w:leftChars="15"/>
              <w:rPr>
                <w:sz w:val="22"/>
                <w:szCs w:val="22"/>
              </w:rPr>
            </w:pPr>
            <w:r>
              <w:rPr>
                <w:rFonts w:hint="eastAsia"/>
                <w:sz w:val="22"/>
                <w:szCs w:val="22"/>
              </w:rPr>
              <w:t>300000mg/m</w:t>
            </w:r>
            <w:r>
              <w:rPr>
                <w:rFonts w:hint="eastAsia"/>
                <w:sz w:val="22"/>
                <w:szCs w:val="22"/>
                <w:vertAlign w:val="superscript"/>
              </w:rPr>
              <w:t>3</w:t>
            </w:r>
          </w:p>
        </w:tc>
        <w:tc>
          <w:tcPr>
            <w:tcW w:w="1559" w:type="dxa"/>
          </w:tcPr>
          <w:p>
            <w:pPr>
              <w:rPr>
                <w:sz w:val="22"/>
                <w:szCs w:val="22"/>
              </w:rPr>
            </w:pPr>
            <w:r>
              <w:rPr>
                <w:rFonts w:hint="eastAsia"/>
                <w:sz w:val="22"/>
                <w:szCs w:val="22"/>
              </w:rPr>
              <w:t>-</w:t>
            </w:r>
          </w:p>
          <w:p>
            <w:pPr>
              <w:rPr>
                <w:sz w:val="22"/>
                <w:szCs w:val="22"/>
              </w:rPr>
            </w:pPr>
            <w:r>
              <w:rPr>
                <w:rFonts w:hint="eastAsia"/>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2235" w:type="dxa"/>
          </w:tcPr>
          <w:p>
            <w:pPr>
              <w:rPr>
                <w:sz w:val="22"/>
                <w:szCs w:val="22"/>
              </w:rPr>
            </w:pPr>
            <w:r>
              <w:rPr>
                <w:sz w:val="22"/>
                <w:szCs w:val="22"/>
              </w:rPr>
              <w:t>Ethyl acetate</w:t>
            </w:r>
          </w:p>
        </w:tc>
        <w:tc>
          <w:tcPr>
            <w:tcW w:w="2759" w:type="dxa"/>
          </w:tcPr>
          <w:p>
            <w:pPr>
              <w:rPr>
                <w:sz w:val="22"/>
                <w:szCs w:val="22"/>
              </w:rPr>
            </w:pPr>
            <w:r>
              <w:rPr>
                <w:sz w:val="22"/>
                <w:szCs w:val="22"/>
              </w:rPr>
              <w:t xml:space="preserve">LC50 Vapor Inhalation </w:t>
            </w:r>
          </w:p>
          <w:p>
            <w:pPr>
              <w:rPr>
                <w:sz w:val="22"/>
                <w:szCs w:val="22"/>
              </w:rPr>
            </w:pPr>
            <w:r>
              <w:rPr>
                <w:rFonts w:hint="eastAsia"/>
                <w:sz w:val="22"/>
                <w:szCs w:val="22"/>
              </w:rPr>
              <w:t>L</w:t>
            </w:r>
            <w:r>
              <w:rPr>
                <w:sz w:val="22"/>
                <w:szCs w:val="22"/>
              </w:rPr>
              <w:t>D50 Oral</w:t>
            </w:r>
          </w:p>
          <w:p>
            <w:pPr>
              <w:rPr>
                <w:sz w:val="22"/>
                <w:szCs w:val="22"/>
              </w:rPr>
            </w:pPr>
            <w:r>
              <w:rPr>
                <w:rFonts w:hint="eastAsia"/>
                <w:sz w:val="22"/>
                <w:szCs w:val="22"/>
              </w:rPr>
              <w:t>L</w:t>
            </w:r>
            <w:r>
              <w:rPr>
                <w:sz w:val="22"/>
                <w:szCs w:val="22"/>
              </w:rPr>
              <w:t>D50 Oral</w:t>
            </w:r>
          </w:p>
        </w:tc>
        <w:tc>
          <w:tcPr>
            <w:tcW w:w="1701" w:type="dxa"/>
          </w:tcPr>
          <w:p>
            <w:pPr>
              <w:rPr>
                <w:sz w:val="22"/>
                <w:szCs w:val="22"/>
              </w:rPr>
            </w:pPr>
            <w:r>
              <w:rPr>
                <w:sz w:val="22"/>
                <w:szCs w:val="22"/>
              </w:rPr>
              <w:t>Rat</w:t>
            </w:r>
          </w:p>
          <w:p>
            <w:pPr>
              <w:rPr>
                <w:sz w:val="22"/>
                <w:szCs w:val="22"/>
              </w:rPr>
            </w:pPr>
            <w:r>
              <w:rPr>
                <w:sz w:val="22"/>
                <w:szCs w:val="22"/>
              </w:rPr>
              <w:t>Rabbit</w:t>
            </w:r>
          </w:p>
          <w:p>
            <w:pPr>
              <w:rPr>
                <w:sz w:val="22"/>
                <w:szCs w:val="22"/>
              </w:rPr>
            </w:pPr>
            <w:r>
              <w:rPr>
                <w:sz w:val="22"/>
                <w:szCs w:val="22"/>
              </w:rPr>
              <w:t>Rat</w:t>
            </w:r>
          </w:p>
        </w:tc>
        <w:tc>
          <w:tcPr>
            <w:tcW w:w="1635" w:type="dxa"/>
          </w:tcPr>
          <w:p>
            <w:pPr>
              <w:rPr>
                <w:sz w:val="22"/>
                <w:szCs w:val="22"/>
              </w:rPr>
            </w:pPr>
            <w:r>
              <w:rPr>
                <w:rFonts w:hint="eastAsia"/>
                <w:sz w:val="22"/>
                <w:szCs w:val="22"/>
              </w:rPr>
              <w:t>5760mg/kg</w:t>
            </w:r>
          </w:p>
          <w:p>
            <w:pPr>
              <w:rPr>
                <w:sz w:val="22"/>
                <w:szCs w:val="22"/>
              </w:rPr>
            </w:pPr>
            <w:r>
              <w:rPr>
                <w:rFonts w:hint="eastAsia"/>
                <w:sz w:val="22"/>
                <w:szCs w:val="22"/>
              </w:rPr>
              <w:t>4940mg/kg</w:t>
            </w:r>
          </w:p>
          <w:p>
            <w:pPr>
              <w:ind w:left="31" w:leftChars="15"/>
              <w:rPr>
                <w:sz w:val="22"/>
                <w:szCs w:val="22"/>
              </w:rPr>
            </w:pPr>
            <w:r>
              <w:rPr>
                <w:rFonts w:hint="eastAsia"/>
                <w:sz w:val="22"/>
                <w:szCs w:val="22"/>
              </w:rPr>
              <w:t>5620mg/kg</w:t>
            </w:r>
          </w:p>
        </w:tc>
        <w:tc>
          <w:tcPr>
            <w:tcW w:w="1559" w:type="dxa"/>
          </w:tcPr>
          <w:p>
            <w:pPr>
              <w:rPr>
                <w:sz w:val="22"/>
                <w:szCs w:val="22"/>
              </w:rPr>
            </w:pPr>
            <w:r>
              <w:rPr>
                <w:rFonts w:hint="eastAsia"/>
                <w:sz w:val="22"/>
                <w:szCs w:val="22"/>
              </w:rPr>
              <w:t>-</w:t>
            </w:r>
          </w:p>
          <w:p>
            <w:pPr>
              <w:rPr>
                <w:sz w:val="22"/>
                <w:szCs w:val="22"/>
              </w:rPr>
            </w:pPr>
            <w:r>
              <w:rPr>
                <w:sz w:val="22"/>
                <w:szCs w:val="22"/>
              </w:rPr>
              <w:t>-</w:t>
            </w:r>
          </w:p>
          <w:p>
            <w:pPr>
              <w:rPr>
                <w:sz w:val="22"/>
                <w:szCs w:val="22"/>
              </w:rPr>
            </w:pPr>
            <w:r>
              <w:rPr>
                <w:rFonts w:hint="eastAsia"/>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2235" w:type="dxa"/>
          </w:tcPr>
          <w:p>
            <w:pPr>
              <w:rPr>
                <w:sz w:val="22"/>
                <w:szCs w:val="22"/>
              </w:rPr>
            </w:pPr>
            <w:r>
              <w:rPr>
                <w:sz w:val="22"/>
                <w:szCs w:val="22"/>
              </w:rPr>
              <w:t>Trimethylbenzene</w:t>
            </w:r>
          </w:p>
        </w:tc>
        <w:tc>
          <w:tcPr>
            <w:tcW w:w="2759" w:type="dxa"/>
          </w:tcPr>
          <w:p>
            <w:pPr>
              <w:rPr>
                <w:sz w:val="22"/>
                <w:szCs w:val="22"/>
              </w:rPr>
            </w:pPr>
            <w:r>
              <w:rPr>
                <w:rFonts w:hint="eastAsia"/>
                <w:sz w:val="22"/>
                <w:szCs w:val="22"/>
              </w:rPr>
              <w:t>L</w:t>
            </w:r>
            <w:r>
              <w:rPr>
                <w:sz w:val="22"/>
                <w:szCs w:val="22"/>
              </w:rPr>
              <w:t>D50 Oral</w:t>
            </w:r>
          </w:p>
        </w:tc>
        <w:tc>
          <w:tcPr>
            <w:tcW w:w="1701" w:type="dxa"/>
          </w:tcPr>
          <w:p>
            <w:pPr>
              <w:rPr>
                <w:sz w:val="22"/>
                <w:szCs w:val="22"/>
              </w:rPr>
            </w:pPr>
            <w:r>
              <w:rPr>
                <w:sz w:val="22"/>
                <w:szCs w:val="22"/>
              </w:rPr>
              <w:t>Rat</w:t>
            </w:r>
          </w:p>
        </w:tc>
        <w:tc>
          <w:tcPr>
            <w:tcW w:w="1635" w:type="dxa"/>
          </w:tcPr>
          <w:p>
            <w:pPr>
              <w:ind w:left="31" w:leftChars="15"/>
              <w:rPr>
                <w:sz w:val="22"/>
                <w:szCs w:val="22"/>
              </w:rPr>
            </w:pPr>
            <w:r>
              <w:rPr>
                <w:rFonts w:hint="eastAsia"/>
                <w:sz w:val="22"/>
                <w:szCs w:val="22"/>
              </w:rPr>
              <w:t>5000mg/kg</w:t>
            </w:r>
          </w:p>
        </w:tc>
        <w:tc>
          <w:tcPr>
            <w:tcW w:w="1559" w:type="dxa"/>
          </w:tcPr>
          <w:p>
            <w:pPr>
              <w:rPr>
                <w:sz w:val="22"/>
                <w:szCs w:val="22"/>
              </w:rPr>
            </w:pPr>
            <w:r>
              <w:rPr>
                <w:rFonts w:hint="eastAsia"/>
                <w:sz w:val="22"/>
                <w:szCs w:val="22"/>
              </w:rPr>
              <w:t>-</w:t>
            </w:r>
          </w:p>
        </w:tc>
      </w:tr>
      <w:bookmarkEnd w:id="1"/>
    </w:tbl>
    <w:p>
      <w:pPr>
        <w:rPr>
          <w:b/>
          <w:bCs/>
          <w:sz w:val="22"/>
          <w:szCs w:val="22"/>
        </w:rPr>
      </w:pPr>
    </w:p>
    <w:p>
      <w:pPr>
        <w:rPr>
          <w:b/>
          <w:bCs/>
          <w:sz w:val="22"/>
          <w:szCs w:val="22"/>
        </w:rPr>
      </w:pPr>
      <w:r>
        <w:rPr>
          <w:b/>
          <w:bCs/>
          <w:sz w:val="22"/>
          <w:szCs w:val="22"/>
        </w:rPr>
        <w:t>Irritation/corrosion</w:t>
      </w:r>
      <w:r>
        <w:rPr>
          <w:rFonts w:hint="eastAsia"/>
          <w:b/>
          <w:bCs/>
          <w:sz w:val="22"/>
          <w:szCs w:val="22"/>
        </w:rPr>
        <w:t>:</w:t>
      </w:r>
    </w:p>
    <w:tbl>
      <w:tblPr>
        <w:tblStyle w:val="5"/>
        <w:tblW w:w="9923"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7"/>
        <w:gridCol w:w="1559"/>
        <w:gridCol w:w="2126"/>
        <w:gridCol w:w="1134"/>
        <w:gridCol w:w="1418"/>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27" w:type="dxa"/>
            <w:shd w:val="clear" w:color="auto" w:fill="auto"/>
            <w:vAlign w:val="center"/>
          </w:tcPr>
          <w:p>
            <w:pPr>
              <w:ind w:left="-109" w:leftChars="-52" w:firstLine="110" w:firstLineChars="50"/>
              <w:rPr>
                <w:rFonts w:eastAsia="黑体"/>
                <w:sz w:val="22"/>
                <w:szCs w:val="22"/>
              </w:rPr>
            </w:pPr>
            <w:bookmarkStart w:id="2" w:name="_Hlk17101101"/>
            <w:r>
              <w:rPr>
                <w:rFonts w:eastAsia="黑体"/>
                <w:sz w:val="22"/>
                <w:szCs w:val="22"/>
              </w:rPr>
              <w:t>Ingredient Name</w:t>
            </w:r>
          </w:p>
        </w:tc>
        <w:tc>
          <w:tcPr>
            <w:tcW w:w="1559" w:type="dxa"/>
            <w:shd w:val="clear" w:color="auto" w:fill="auto"/>
            <w:vAlign w:val="center"/>
          </w:tcPr>
          <w:p>
            <w:pPr>
              <w:tabs>
                <w:tab w:val="left" w:pos="1132"/>
              </w:tabs>
              <w:rPr>
                <w:rFonts w:eastAsia="黑体"/>
                <w:sz w:val="22"/>
                <w:szCs w:val="22"/>
              </w:rPr>
            </w:pPr>
            <w:r>
              <w:rPr>
                <w:rFonts w:eastAsia="黑体"/>
                <w:sz w:val="22"/>
                <w:szCs w:val="22"/>
              </w:rPr>
              <w:t>Exposure</w:t>
            </w:r>
          </w:p>
          <w:p>
            <w:pPr>
              <w:rPr>
                <w:rFonts w:eastAsia="黑体"/>
                <w:sz w:val="22"/>
                <w:szCs w:val="22"/>
              </w:rPr>
            </w:pPr>
            <w:r>
              <w:rPr>
                <w:rFonts w:eastAsia="黑体"/>
                <w:sz w:val="22"/>
                <w:szCs w:val="22"/>
              </w:rPr>
              <w:t>Pathway</w:t>
            </w:r>
          </w:p>
        </w:tc>
        <w:tc>
          <w:tcPr>
            <w:tcW w:w="2126" w:type="dxa"/>
            <w:vAlign w:val="center"/>
          </w:tcPr>
          <w:p>
            <w:pPr>
              <w:jc w:val="left"/>
              <w:rPr>
                <w:rFonts w:eastAsia="黑体"/>
                <w:sz w:val="22"/>
                <w:szCs w:val="22"/>
              </w:rPr>
            </w:pPr>
            <w:r>
              <w:rPr>
                <w:rFonts w:eastAsia="黑体"/>
                <w:sz w:val="22"/>
                <w:szCs w:val="22"/>
              </w:rPr>
              <w:t>Result</w:t>
            </w:r>
          </w:p>
        </w:tc>
        <w:tc>
          <w:tcPr>
            <w:tcW w:w="1134" w:type="dxa"/>
            <w:shd w:val="clear" w:color="auto" w:fill="auto"/>
            <w:vAlign w:val="center"/>
          </w:tcPr>
          <w:p>
            <w:pPr>
              <w:jc w:val="left"/>
              <w:rPr>
                <w:rFonts w:eastAsia="黑体"/>
                <w:sz w:val="22"/>
                <w:szCs w:val="22"/>
              </w:rPr>
            </w:pPr>
            <w:r>
              <w:rPr>
                <w:rFonts w:eastAsia="黑体"/>
                <w:sz w:val="22"/>
                <w:szCs w:val="22"/>
              </w:rPr>
              <w:t>Species</w:t>
            </w:r>
          </w:p>
        </w:tc>
        <w:tc>
          <w:tcPr>
            <w:tcW w:w="1418" w:type="dxa"/>
            <w:shd w:val="clear" w:color="auto" w:fill="auto"/>
            <w:vAlign w:val="center"/>
          </w:tcPr>
          <w:p>
            <w:pPr>
              <w:ind w:right="31" w:rightChars="15"/>
              <w:rPr>
                <w:rFonts w:eastAsia="黑体"/>
                <w:sz w:val="22"/>
                <w:szCs w:val="22"/>
              </w:rPr>
            </w:pPr>
            <w:r>
              <w:rPr>
                <w:rFonts w:eastAsia="黑体"/>
                <w:sz w:val="22"/>
                <w:szCs w:val="22"/>
              </w:rPr>
              <w:t xml:space="preserve">Dose/Time      </w:t>
            </w:r>
          </w:p>
        </w:tc>
        <w:tc>
          <w:tcPr>
            <w:tcW w:w="1559" w:type="dxa"/>
            <w:shd w:val="clear" w:color="auto" w:fill="auto"/>
            <w:vAlign w:val="center"/>
          </w:tcPr>
          <w:p>
            <w:pPr>
              <w:ind w:right="31" w:rightChars="15"/>
              <w:rPr>
                <w:rFonts w:eastAsia="黑体"/>
                <w:sz w:val="22"/>
                <w:szCs w:val="22"/>
              </w:rPr>
            </w:pPr>
            <w:r>
              <w:rPr>
                <w:rFonts w:eastAsia="黑体"/>
                <w:sz w:val="22"/>
                <w:szCs w:val="22"/>
              </w:rPr>
              <w:t>Observation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 w:hRule="atLeast"/>
        </w:trPr>
        <w:tc>
          <w:tcPr>
            <w:tcW w:w="2127" w:type="dxa"/>
            <w:shd w:val="clear" w:color="auto" w:fill="auto"/>
            <w:vAlign w:val="center"/>
          </w:tcPr>
          <w:p>
            <w:pPr>
              <w:ind w:left="-109" w:leftChars="-52" w:firstLine="110" w:firstLineChars="50"/>
              <w:rPr>
                <w:rFonts w:eastAsia="黑体"/>
                <w:sz w:val="22"/>
                <w:szCs w:val="22"/>
              </w:rPr>
            </w:pPr>
            <w:r>
              <w:rPr>
                <w:rFonts w:hint="eastAsia" w:eastAsia="黑体"/>
                <w:sz w:val="22"/>
                <w:szCs w:val="22"/>
              </w:rPr>
              <w:t>Buty</w:t>
            </w:r>
            <w:r>
              <w:rPr>
                <w:rFonts w:eastAsia="黑体"/>
                <w:sz w:val="22"/>
                <w:szCs w:val="22"/>
              </w:rPr>
              <w:t>l acetate</w:t>
            </w:r>
          </w:p>
        </w:tc>
        <w:tc>
          <w:tcPr>
            <w:tcW w:w="1559" w:type="dxa"/>
            <w:shd w:val="clear" w:color="auto" w:fill="auto"/>
            <w:vAlign w:val="center"/>
          </w:tcPr>
          <w:p>
            <w:pPr>
              <w:jc w:val="left"/>
              <w:rPr>
                <w:rFonts w:eastAsia="黑体"/>
                <w:sz w:val="22"/>
                <w:szCs w:val="22"/>
              </w:rPr>
            </w:pPr>
            <w:r>
              <w:rPr>
                <w:rFonts w:eastAsia="黑体"/>
                <w:sz w:val="22"/>
                <w:szCs w:val="22"/>
              </w:rPr>
              <w:t>Eye</w:t>
            </w:r>
          </w:p>
          <w:p>
            <w:pPr>
              <w:jc w:val="left"/>
              <w:rPr>
                <w:rFonts w:eastAsia="黑体"/>
                <w:sz w:val="22"/>
                <w:szCs w:val="22"/>
              </w:rPr>
            </w:pPr>
            <w:r>
              <w:rPr>
                <w:rFonts w:eastAsia="黑体"/>
                <w:sz w:val="22"/>
                <w:szCs w:val="22"/>
              </w:rPr>
              <w:t>Skin</w:t>
            </w:r>
          </w:p>
        </w:tc>
        <w:tc>
          <w:tcPr>
            <w:tcW w:w="2126" w:type="dxa"/>
            <w:vAlign w:val="center"/>
          </w:tcPr>
          <w:p>
            <w:pPr>
              <w:ind w:left="31" w:leftChars="15"/>
              <w:jc w:val="left"/>
              <w:rPr>
                <w:rFonts w:eastAsia="黑体"/>
                <w:sz w:val="22"/>
                <w:szCs w:val="22"/>
              </w:rPr>
            </w:pPr>
            <w:r>
              <w:rPr>
                <w:rFonts w:hint="eastAsia" w:eastAsia="黑体"/>
                <w:sz w:val="22"/>
                <w:szCs w:val="22"/>
              </w:rPr>
              <w:t>M</w:t>
            </w:r>
            <w:r>
              <w:rPr>
                <w:rFonts w:eastAsia="黑体"/>
                <w:sz w:val="22"/>
                <w:szCs w:val="22"/>
              </w:rPr>
              <w:t>oderate irritant</w:t>
            </w:r>
          </w:p>
          <w:p>
            <w:pPr>
              <w:ind w:left="31" w:leftChars="15"/>
              <w:jc w:val="left"/>
              <w:rPr>
                <w:rFonts w:eastAsia="黑体"/>
                <w:sz w:val="22"/>
                <w:szCs w:val="22"/>
              </w:rPr>
            </w:pPr>
            <w:r>
              <w:rPr>
                <w:rFonts w:hint="eastAsia" w:eastAsia="黑体"/>
                <w:sz w:val="22"/>
                <w:szCs w:val="22"/>
              </w:rPr>
              <w:t>M</w:t>
            </w:r>
            <w:r>
              <w:rPr>
                <w:rFonts w:eastAsia="黑体"/>
                <w:sz w:val="22"/>
                <w:szCs w:val="22"/>
              </w:rPr>
              <w:t>oderate irritant</w:t>
            </w:r>
          </w:p>
        </w:tc>
        <w:tc>
          <w:tcPr>
            <w:tcW w:w="1134" w:type="dxa"/>
            <w:shd w:val="clear" w:color="auto" w:fill="auto"/>
            <w:vAlign w:val="center"/>
          </w:tcPr>
          <w:p>
            <w:pPr>
              <w:jc w:val="left"/>
              <w:rPr>
                <w:rFonts w:eastAsia="黑体"/>
                <w:sz w:val="22"/>
                <w:szCs w:val="22"/>
              </w:rPr>
            </w:pPr>
            <w:r>
              <w:rPr>
                <w:rFonts w:eastAsia="黑体"/>
                <w:sz w:val="22"/>
                <w:szCs w:val="22"/>
              </w:rPr>
              <w:t>Rabbit</w:t>
            </w:r>
          </w:p>
          <w:p>
            <w:pPr>
              <w:jc w:val="left"/>
              <w:rPr>
                <w:rFonts w:eastAsia="黑体"/>
                <w:sz w:val="22"/>
                <w:szCs w:val="22"/>
              </w:rPr>
            </w:pPr>
            <w:r>
              <w:rPr>
                <w:rFonts w:eastAsia="黑体"/>
                <w:sz w:val="22"/>
                <w:szCs w:val="22"/>
              </w:rPr>
              <w:t>Rabbit</w:t>
            </w:r>
          </w:p>
        </w:tc>
        <w:tc>
          <w:tcPr>
            <w:tcW w:w="1418" w:type="dxa"/>
            <w:shd w:val="clear" w:color="auto" w:fill="auto"/>
            <w:vAlign w:val="center"/>
          </w:tcPr>
          <w:p>
            <w:pPr>
              <w:jc w:val="left"/>
              <w:rPr>
                <w:rFonts w:eastAsia="黑体"/>
                <w:sz w:val="22"/>
                <w:szCs w:val="22"/>
              </w:rPr>
            </w:pPr>
            <w:r>
              <w:rPr>
                <w:rFonts w:eastAsia="黑体"/>
                <w:sz w:val="22"/>
                <w:szCs w:val="22"/>
              </w:rPr>
              <w:t>100mg</w:t>
            </w:r>
          </w:p>
          <w:p>
            <w:pPr>
              <w:jc w:val="left"/>
              <w:rPr>
                <w:rFonts w:eastAsia="黑体"/>
                <w:sz w:val="22"/>
                <w:szCs w:val="22"/>
              </w:rPr>
            </w:pPr>
            <w:r>
              <w:rPr>
                <w:rFonts w:eastAsia="黑体"/>
                <w:sz w:val="22"/>
                <w:szCs w:val="22"/>
              </w:rPr>
              <w:t>500mg/24h</w:t>
            </w:r>
          </w:p>
        </w:tc>
        <w:tc>
          <w:tcPr>
            <w:tcW w:w="1559" w:type="dxa"/>
            <w:shd w:val="clear" w:color="auto" w:fill="auto"/>
            <w:vAlign w:val="center"/>
          </w:tcPr>
          <w:p>
            <w:pPr>
              <w:pStyle w:val="11"/>
              <w:ind w:firstLine="0" w:firstLineChars="0"/>
              <w:rPr>
                <w:rFonts w:ascii="Times New Roman" w:hAnsi="Times New Roman" w:eastAsia="黑体" w:cs="Times New Roman"/>
                <w:sz w:val="22"/>
              </w:rPr>
            </w:pPr>
            <w:r>
              <w:rPr>
                <w:rFonts w:hint="eastAsia" w:ascii="Times New Roman" w:hAnsi="Times New Roman" w:eastAsia="黑体" w:cs="Times New Roman"/>
                <w:sz w:val="22"/>
              </w:rPr>
              <w:t>-</w:t>
            </w:r>
          </w:p>
          <w:p>
            <w:pPr>
              <w:pStyle w:val="11"/>
              <w:ind w:firstLine="0" w:firstLineChars="0"/>
              <w:rPr>
                <w:rFonts w:ascii="Times New Roman" w:hAnsi="Times New Roman" w:eastAsia="黑体" w:cs="Times New Roman"/>
                <w:sz w:val="22"/>
              </w:rPr>
            </w:pPr>
            <w:r>
              <w:rPr>
                <w:rFonts w:hint="eastAsia" w:ascii="Times New Roman" w:hAnsi="Times New Roman" w:eastAsia="黑体" w:cs="Times New Roman"/>
                <w:sz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 w:hRule="atLeast"/>
        </w:trPr>
        <w:tc>
          <w:tcPr>
            <w:tcW w:w="2127" w:type="dxa"/>
            <w:shd w:val="clear" w:color="auto" w:fill="auto"/>
            <w:vAlign w:val="center"/>
          </w:tcPr>
          <w:p>
            <w:pPr>
              <w:ind w:left="-109" w:leftChars="-52" w:firstLine="110" w:firstLineChars="50"/>
              <w:rPr>
                <w:rFonts w:eastAsia="黑体"/>
                <w:sz w:val="22"/>
                <w:szCs w:val="22"/>
              </w:rPr>
            </w:pPr>
            <w:r>
              <w:rPr>
                <w:rFonts w:eastAsia="黑体"/>
                <w:sz w:val="22"/>
                <w:szCs w:val="22"/>
              </w:rPr>
              <w:t>Xylene</w:t>
            </w:r>
          </w:p>
        </w:tc>
        <w:tc>
          <w:tcPr>
            <w:tcW w:w="1559" w:type="dxa"/>
            <w:shd w:val="clear" w:color="auto" w:fill="auto"/>
            <w:vAlign w:val="center"/>
          </w:tcPr>
          <w:p>
            <w:pPr>
              <w:jc w:val="left"/>
              <w:rPr>
                <w:rFonts w:eastAsia="黑体"/>
                <w:sz w:val="22"/>
                <w:szCs w:val="22"/>
              </w:rPr>
            </w:pPr>
            <w:r>
              <w:rPr>
                <w:rFonts w:eastAsia="黑体"/>
                <w:sz w:val="22"/>
                <w:szCs w:val="22"/>
              </w:rPr>
              <w:t>Eye</w:t>
            </w:r>
          </w:p>
          <w:p>
            <w:pPr>
              <w:jc w:val="left"/>
              <w:rPr>
                <w:rFonts w:eastAsia="黑体"/>
                <w:sz w:val="22"/>
                <w:szCs w:val="22"/>
              </w:rPr>
            </w:pPr>
            <w:r>
              <w:rPr>
                <w:rFonts w:eastAsia="黑体"/>
                <w:sz w:val="22"/>
                <w:szCs w:val="22"/>
              </w:rPr>
              <w:t>Eye</w:t>
            </w:r>
          </w:p>
          <w:p>
            <w:pPr>
              <w:jc w:val="left"/>
              <w:rPr>
                <w:rFonts w:eastAsia="黑体"/>
                <w:sz w:val="22"/>
                <w:szCs w:val="22"/>
              </w:rPr>
            </w:pPr>
            <w:r>
              <w:rPr>
                <w:rFonts w:eastAsia="黑体"/>
                <w:sz w:val="22"/>
                <w:szCs w:val="22"/>
              </w:rPr>
              <w:t>Skin</w:t>
            </w:r>
            <w:r>
              <w:rPr>
                <w:rFonts w:hint="eastAsia" w:eastAsia="黑体"/>
                <w:sz w:val="22"/>
                <w:szCs w:val="22"/>
              </w:rPr>
              <w:t xml:space="preserve"> </w:t>
            </w:r>
          </w:p>
          <w:p>
            <w:pPr>
              <w:jc w:val="left"/>
              <w:rPr>
                <w:rFonts w:eastAsia="黑体"/>
                <w:sz w:val="22"/>
                <w:szCs w:val="22"/>
              </w:rPr>
            </w:pPr>
            <w:r>
              <w:rPr>
                <w:rFonts w:eastAsia="黑体"/>
                <w:sz w:val="22"/>
                <w:szCs w:val="22"/>
              </w:rPr>
              <w:t>Skin</w:t>
            </w:r>
            <w:r>
              <w:rPr>
                <w:rFonts w:hint="eastAsia" w:eastAsia="黑体"/>
                <w:sz w:val="22"/>
                <w:szCs w:val="22"/>
              </w:rPr>
              <w:t xml:space="preserve"> </w:t>
            </w:r>
          </w:p>
          <w:p>
            <w:pPr>
              <w:jc w:val="left"/>
              <w:rPr>
                <w:rFonts w:eastAsia="黑体"/>
                <w:sz w:val="22"/>
                <w:szCs w:val="22"/>
              </w:rPr>
            </w:pPr>
            <w:r>
              <w:rPr>
                <w:rFonts w:hint="eastAsia" w:eastAsia="黑体"/>
                <w:sz w:val="22"/>
                <w:szCs w:val="22"/>
              </w:rPr>
              <w:t>S</w:t>
            </w:r>
            <w:r>
              <w:rPr>
                <w:rFonts w:eastAsia="黑体"/>
                <w:sz w:val="22"/>
                <w:szCs w:val="22"/>
              </w:rPr>
              <w:t>kin</w:t>
            </w:r>
          </w:p>
        </w:tc>
        <w:tc>
          <w:tcPr>
            <w:tcW w:w="2126" w:type="dxa"/>
            <w:vAlign w:val="center"/>
          </w:tcPr>
          <w:p>
            <w:pPr>
              <w:ind w:left="31" w:leftChars="15"/>
              <w:jc w:val="left"/>
              <w:rPr>
                <w:rFonts w:eastAsia="黑体"/>
                <w:sz w:val="22"/>
                <w:szCs w:val="22"/>
              </w:rPr>
            </w:pPr>
            <w:r>
              <w:rPr>
                <w:rFonts w:eastAsia="黑体"/>
                <w:sz w:val="22"/>
                <w:szCs w:val="22"/>
              </w:rPr>
              <w:t>Mild irritant</w:t>
            </w:r>
          </w:p>
          <w:p>
            <w:pPr>
              <w:ind w:left="31" w:leftChars="15"/>
              <w:jc w:val="left"/>
              <w:rPr>
                <w:rFonts w:eastAsia="黑体"/>
                <w:sz w:val="22"/>
                <w:szCs w:val="22"/>
              </w:rPr>
            </w:pPr>
            <w:r>
              <w:rPr>
                <w:rFonts w:eastAsia="黑体"/>
                <w:sz w:val="22"/>
                <w:szCs w:val="22"/>
              </w:rPr>
              <w:t>Severe irritant</w:t>
            </w:r>
          </w:p>
          <w:p>
            <w:pPr>
              <w:ind w:left="31" w:leftChars="15"/>
              <w:jc w:val="left"/>
              <w:rPr>
                <w:rFonts w:eastAsia="黑体"/>
                <w:sz w:val="22"/>
                <w:szCs w:val="22"/>
              </w:rPr>
            </w:pPr>
            <w:r>
              <w:rPr>
                <w:rFonts w:eastAsia="黑体"/>
                <w:sz w:val="22"/>
                <w:szCs w:val="22"/>
              </w:rPr>
              <w:t>Mild irritant</w:t>
            </w:r>
          </w:p>
          <w:p>
            <w:pPr>
              <w:ind w:left="31" w:leftChars="15"/>
              <w:jc w:val="left"/>
              <w:rPr>
                <w:rFonts w:eastAsia="黑体"/>
                <w:sz w:val="22"/>
                <w:szCs w:val="22"/>
              </w:rPr>
            </w:pPr>
            <w:r>
              <w:rPr>
                <w:rFonts w:hint="eastAsia" w:eastAsia="黑体"/>
                <w:sz w:val="22"/>
                <w:szCs w:val="22"/>
              </w:rPr>
              <w:t>M</w:t>
            </w:r>
            <w:r>
              <w:rPr>
                <w:rFonts w:eastAsia="黑体"/>
                <w:sz w:val="22"/>
                <w:szCs w:val="22"/>
              </w:rPr>
              <w:t>oderate irritant</w:t>
            </w:r>
          </w:p>
          <w:p>
            <w:pPr>
              <w:ind w:left="31" w:leftChars="15"/>
              <w:jc w:val="left"/>
              <w:rPr>
                <w:rFonts w:eastAsia="黑体"/>
                <w:sz w:val="22"/>
                <w:szCs w:val="22"/>
              </w:rPr>
            </w:pPr>
            <w:r>
              <w:rPr>
                <w:rFonts w:hint="eastAsia" w:eastAsia="黑体"/>
                <w:sz w:val="22"/>
                <w:szCs w:val="22"/>
              </w:rPr>
              <w:t>M</w:t>
            </w:r>
            <w:r>
              <w:rPr>
                <w:rFonts w:eastAsia="黑体"/>
                <w:sz w:val="22"/>
                <w:szCs w:val="22"/>
              </w:rPr>
              <w:t>oderate irritant</w:t>
            </w:r>
          </w:p>
        </w:tc>
        <w:tc>
          <w:tcPr>
            <w:tcW w:w="1134" w:type="dxa"/>
            <w:shd w:val="clear" w:color="auto" w:fill="auto"/>
            <w:vAlign w:val="center"/>
          </w:tcPr>
          <w:p>
            <w:pPr>
              <w:jc w:val="left"/>
              <w:rPr>
                <w:rFonts w:eastAsia="黑体"/>
                <w:sz w:val="22"/>
                <w:szCs w:val="22"/>
              </w:rPr>
            </w:pPr>
            <w:r>
              <w:rPr>
                <w:rFonts w:eastAsia="黑体"/>
                <w:sz w:val="22"/>
                <w:szCs w:val="22"/>
              </w:rPr>
              <w:t>Rabbit</w:t>
            </w:r>
          </w:p>
          <w:p>
            <w:pPr>
              <w:jc w:val="left"/>
              <w:rPr>
                <w:rFonts w:eastAsia="黑体"/>
                <w:sz w:val="22"/>
                <w:szCs w:val="22"/>
              </w:rPr>
            </w:pPr>
            <w:r>
              <w:rPr>
                <w:rFonts w:eastAsia="黑体"/>
                <w:sz w:val="22"/>
                <w:szCs w:val="22"/>
              </w:rPr>
              <w:t>Rabbit</w:t>
            </w:r>
          </w:p>
          <w:p>
            <w:pPr>
              <w:jc w:val="left"/>
              <w:rPr>
                <w:rFonts w:eastAsia="黑体"/>
                <w:sz w:val="22"/>
                <w:szCs w:val="22"/>
              </w:rPr>
            </w:pPr>
            <w:r>
              <w:rPr>
                <w:rFonts w:eastAsia="黑体"/>
                <w:sz w:val="22"/>
                <w:szCs w:val="22"/>
              </w:rPr>
              <w:t>Rat</w:t>
            </w:r>
          </w:p>
          <w:p>
            <w:pPr>
              <w:jc w:val="left"/>
              <w:rPr>
                <w:rFonts w:eastAsia="黑体"/>
                <w:sz w:val="22"/>
                <w:szCs w:val="22"/>
              </w:rPr>
            </w:pPr>
            <w:r>
              <w:rPr>
                <w:rFonts w:eastAsia="黑体"/>
                <w:sz w:val="22"/>
                <w:szCs w:val="22"/>
              </w:rPr>
              <w:t>Rabbit</w:t>
            </w:r>
          </w:p>
          <w:p>
            <w:pPr>
              <w:jc w:val="left"/>
              <w:rPr>
                <w:rFonts w:eastAsia="黑体"/>
                <w:sz w:val="22"/>
                <w:szCs w:val="22"/>
              </w:rPr>
            </w:pPr>
            <w:r>
              <w:rPr>
                <w:rFonts w:eastAsia="黑体"/>
                <w:sz w:val="22"/>
                <w:szCs w:val="22"/>
              </w:rPr>
              <w:t>Rabbit</w:t>
            </w:r>
          </w:p>
        </w:tc>
        <w:tc>
          <w:tcPr>
            <w:tcW w:w="1418" w:type="dxa"/>
            <w:shd w:val="clear" w:color="auto" w:fill="auto"/>
            <w:vAlign w:val="center"/>
          </w:tcPr>
          <w:p>
            <w:pPr>
              <w:jc w:val="left"/>
              <w:rPr>
                <w:rFonts w:eastAsia="黑体"/>
                <w:sz w:val="22"/>
                <w:szCs w:val="22"/>
              </w:rPr>
            </w:pPr>
            <w:r>
              <w:rPr>
                <w:rFonts w:eastAsia="黑体"/>
                <w:sz w:val="22"/>
                <w:szCs w:val="22"/>
              </w:rPr>
              <w:t>87mg</w:t>
            </w:r>
          </w:p>
          <w:p>
            <w:pPr>
              <w:jc w:val="left"/>
              <w:rPr>
                <w:rFonts w:eastAsia="黑体"/>
                <w:sz w:val="22"/>
                <w:szCs w:val="22"/>
              </w:rPr>
            </w:pPr>
            <w:r>
              <w:rPr>
                <w:rFonts w:eastAsia="黑体"/>
                <w:sz w:val="22"/>
                <w:szCs w:val="22"/>
              </w:rPr>
              <w:t>5mg/24h</w:t>
            </w:r>
          </w:p>
          <w:p>
            <w:pPr>
              <w:jc w:val="left"/>
              <w:rPr>
                <w:rFonts w:eastAsia="黑体"/>
                <w:sz w:val="22"/>
                <w:szCs w:val="22"/>
              </w:rPr>
            </w:pPr>
            <w:r>
              <w:rPr>
                <w:rFonts w:eastAsia="黑体"/>
                <w:sz w:val="22"/>
                <w:szCs w:val="22"/>
              </w:rPr>
              <w:t>60μL/8h</w:t>
            </w:r>
          </w:p>
          <w:p>
            <w:pPr>
              <w:jc w:val="left"/>
              <w:rPr>
                <w:rFonts w:eastAsia="黑体"/>
                <w:sz w:val="22"/>
                <w:szCs w:val="22"/>
              </w:rPr>
            </w:pPr>
            <w:r>
              <w:rPr>
                <w:rFonts w:eastAsia="黑体"/>
                <w:sz w:val="22"/>
                <w:szCs w:val="22"/>
              </w:rPr>
              <w:t>500mg/24h</w:t>
            </w:r>
          </w:p>
          <w:p>
            <w:pPr>
              <w:jc w:val="left"/>
              <w:rPr>
                <w:rFonts w:eastAsia="黑体"/>
                <w:sz w:val="22"/>
                <w:szCs w:val="22"/>
              </w:rPr>
            </w:pPr>
            <w:r>
              <w:rPr>
                <w:rFonts w:eastAsia="黑体"/>
                <w:sz w:val="22"/>
                <w:szCs w:val="22"/>
              </w:rPr>
              <w:t>100%</w:t>
            </w:r>
          </w:p>
        </w:tc>
        <w:tc>
          <w:tcPr>
            <w:tcW w:w="1559" w:type="dxa"/>
            <w:shd w:val="clear" w:color="auto" w:fill="auto"/>
            <w:vAlign w:val="center"/>
          </w:tcPr>
          <w:p>
            <w:pPr>
              <w:pStyle w:val="11"/>
              <w:ind w:firstLine="0" w:firstLineChars="0"/>
              <w:rPr>
                <w:rFonts w:ascii="Times New Roman" w:hAnsi="Times New Roman" w:eastAsia="黑体" w:cs="Times New Roman"/>
                <w:sz w:val="22"/>
              </w:rPr>
            </w:pPr>
            <w:r>
              <w:rPr>
                <w:rFonts w:hint="eastAsia" w:ascii="Times New Roman" w:hAnsi="Times New Roman" w:eastAsia="黑体" w:cs="Times New Roman"/>
                <w:sz w:val="22"/>
              </w:rPr>
              <w:t>-</w:t>
            </w:r>
          </w:p>
          <w:p>
            <w:pPr>
              <w:pStyle w:val="11"/>
              <w:ind w:firstLine="0" w:firstLineChars="0"/>
              <w:rPr>
                <w:rFonts w:ascii="Times New Roman" w:hAnsi="Times New Roman" w:eastAsia="黑体" w:cs="Times New Roman"/>
                <w:sz w:val="22"/>
              </w:rPr>
            </w:pPr>
            <w:r>
              <w:rPr>
                <w:rFonts w:hint="eastAsia" w:ascii="Times New Roman" w:hAnsi="Times New Roman" w:eastAsia="黑体" w:cs="Times New Roman"/>
                <w:sz w:val="22"/>
              </w:rPr>
              <w:t>-</w:t>
            </w:r>
          </w:p>
          <w:p>
            <w:pPr>
              <w:pStyle w:val="11"/>
              <w:ind w:firstLine="0" w:firstLineChars="0"/>
              <w:rPr>
                <w:rFonts w:ascii="Times New Roman" w:hAnsi="Times New Roman" w:eastAsia="黑体" w:cs="Times New Roman"/>
                <w:sz w:val="22"/>
              </w:rPr>
            </w:pPr>
            <w:r>
              <w:rPr>
                <w:rFonts w:hint="eastAsia" w:ascii="Times New Roman" w:hAnsi="Times New Roman" w:eastAsia="黑体" w:cs="Times New Roman"/>
                <w:sz w:val="22"/>
              </w:rPr>
              <w:t>-</w:t>
            </w:r>
          </w:p>
          <w:p>
            <w:pPr>
              <w:pStyle w:val="11"/>
              <w:ind w:firstLine="0" w:firstLineChars="0"/>
              <w:rPr>
                <w:rFonts w:ascii="Times New Roman" w:hAnsi="Times New Roman" w:eastAsia="黑体" w:cs="Times New Roman"/>
                <w:sz w:val="22"/>
              </w:rPr>
            </w:pPr>
            <w:r>
              <w:rPr>
                <w:rFonts w:hint="eastAsia" w:ascii="Times New Roman" w:hAnsi="Times New Roman" w:eastAsia="黑体" w:cs="Times New Roman"/>
                <w:sz w:val="22"/>
              </w:rPr>
              <w:t>-</w:t>
            </w:r>
          </w:p>
          <w:p>
            <w:pPr>
              <w:pStyle w:val="11"/>
              <w:ind w:firstLine="0" w:firstLineChars="0"/>
              <w:rPr>
                <w:rFonts w:ascii="Times New Roman" w:hAnsi="Times New Roman" w:eastAsia="黑体" w:cs="Times New Roman"/>
                <w:sz w:val="22"/>
              </w:rPr>
            </w:pPr>
            <w:r>
              <w:rPr>
                <w:rFonts w:hint="eastAsia" w:ascii="Times New Roman" w:hAnsi="Times New Roman" w:eastAsia="黑体" w:cs="Times New Roman"/>
                <w:sz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 w:hRule="atLeast"/>
        </w:trPr>
        <w:tc>
          <w:tcPr>
            <w:tcW w:w="2127" w:type="dxa"/>
            <w:shd w:val="clear" w:color="auto" w:fill="auto"/>
          </w:tcPr>
          <w:p>
            <w:pPr>
              <w:ind w:left="-109" w:leftChars="-52" w:firstLine="110" w:firstLineChars="50"/>
              <w:rPr>
                <w:rFonts w:eastAsia="黑体"/>
                <w:sz w:val="22"/>
                <w:szCs w:val="22"/>
              </w:rPr>
            </w:pPr>
            <w:r>
              <w:rPr>
                <w:rFonts w:eastAsia="黑体"/>
                <w:sz w:val="22"/>
                <w:szCs w:val="22"/>
              </w:rPr>
              <w:t>n-Butyl alcohol</w:t>
            </w:r>
          </w:p>
        </w:tc>
        <w:tc>
          <w:tcPr>
            <w:tcW w:w="1559" w:type="dxa"/>
            <w:shd w:val="clear" w:color="auto" w:fill="auto"/>
            <w:vAlign w:val="center"/>
          </w:tcPr>
          <w:p>
            <w:pPr>
              <w:jc w:val="left"/>
              <w:rPr>
                <w:rFonts w:eastAsia="黑体"/>
                <w:sz w:val="22"/>
                <w:szCs w:val="22"/>
              </w:rPr>
            </w:pPr>
            <w:r>
              <w:rPr>
                <w:rFonts w:eastAsia="黑体"/>
                <w:sz w:val="22"/>
                <w:szCs w:val="22"/>
              </w:rPr>
              <w:t>Eye</w:t>
            </w:r>
          </w:p>
          <w:p>
            <w:pPr>
              <w:jc w:val="left"/>
              <w:rPr>
                <w:rFonts w:eastAsia="黑体"/>
                <w:sz w:val="22"/>
                <w:szCs w:val="22"/>
              </w:rPr>
            </w:pPr>
            <w:r>
              <w:rPr>
                <w:rFonts w:eastAsia="黑体"/>
                <w:sz w:val="22"/>
                <w:szCs w:val="22"/>
              </w:rPr>
              <w:t>Skin</w:t>
            </w:r>
          </w:p>
        </w:tc>
        <w:tc>
          <w:tcPr>
            <w:tcW w:w="2126" w:type="dxa"/>
            <w:vAlign w:val="center"/>
          </w:tcPr>
          <w:p>
            <w:pPr>
              <w:ind w:left="31" w:leftChars="15"/>
              <w:jc w:val="left"/>
              <w:rPr>
                <w:rFonts w:eastAsia="黑体"/>
                <w:sz w:val="22"/>
                <w:szCs w:val="22"/>
              </w:rPr>
            </w:pPr>
            <w:r>
              <w:rPr>
                <w:rFonts w:eastAsia="黑体"/>
                <w:sz w:val="22"/>
                <w:szCs w:val="22"/>
              </w:rPr>
              <w:t>Severe irritant</w:t>
            </w:r>
          </w:p>
          <w:p>
            <w:pPr>
              <w:ind w:left="31" w:leftChars="15"/>
              <w:jc w:val="left"/>
              <w:rPr>
                <w:rFonts w:eastAsia="黑体"/>
                <w:sz w:val="22"/>
                <w:szCs w:val="22"/>
              </w:rPr>
            </w:pPr>
            <w:r>
              <w:rPr>
                <w:rFonts w:hint="eastAsia" w:eastAsia="黑体"/>
                <w:sz w:val="22"/>
                <w:szCs w:val="22"/>
              </w:rPr>
              <w:t>M</w:t>
            </w:r>
            <w:r>
              <w:rPr>
                <w:rFonts w:eastAsia="黑体"/>
                <w:sz w:val="22"/>
                <w:szCs w:val="22"/>
              </w:rPr>
              <w:t>oderate irritant</w:t>
            </w:r>
          </w:p>
        </w:tc>
        <w:tc>
          <w:tcPr>
            <w:tcW w:w="1134" w:type="dxa"/>
            <w:shd w:val="clear" w:color="auto" w:fill="auto"/>
            <w:vAlign w:val="center"/>
          </w:tcPr>
          <w:p>
            <w:pPr>
              <w:jc w:val="left"/>
              <w:rPr>
                <w:rFonts w:eastAsia="黑体"/>
                <w:sz w:val="22"/>
                <w:szCs w:val="22"/>
              </w:rPr>
            </w:pPr>
            <w:r>
              <w:rPr>
                <w:rFonts w:eastAsia="黑体"/>
                <w:sz w:val="22"/>
                <w:szCs w:val="22"/>
              </w:rPr>
              <w:t>Rabbit Rabbit</w:t>
            </w:r>
          </w:p>
        </w:tc>
        <w:tc>
          <w:tcPr>
            <w:tcW w:w="1418" w:type="dxa"/>
            <w:shd w:val="clear" w:color="auto" w:fill="auto"/>
            <w:vAlign w:val="center"/>
          </w:tcPr>
          <w:p>
            <w:pPr>
              <w:jc w:val="left"/>
              <w:rPr>
                <w:rFonts w:eastAsia="黑体"/>
                <w:sz w:val="22"/>
                <w:szCs w:val="22"/>
              </w:rPr>
            </w:pPr>
            <w:r>
              <w:rPr>
                <w:rFonts w:eastAsia="黑体"/>
                <w:sz w:val="22"/>
                <w:szCs w:val="22"/>
              </w:rPr>
              <w:t>2mg</w:t>
            </w:r>
          </w:p>
          <w:p>
            <w:pPr>
              <w:jc w:val="left"/>
              <w:rPr>
                <w:rFonts w:eastAsia="黑体"/>
                <w:sz w:val="22"/>
                <w:szCs w:val="22"/>
              </w:rPr>
            </w:pPr>
            <w:r>
              <w:rPr>
                <w:rFonts w:eastAsia="黑体"/>
                <w:sz w:val="22"/>
                <w:szCs w:val="22"/>
              </w:rPr>
              <w:t>405mg/24h</w:t>
            </w:r>
          </w:p>
        </w:tc>
        <w:tc>
          <w:tcPr>
            <w:tcW w:w="1559" w:type="dxa"/>
            <w:shd w:val="clear" w:color="auto" w:fill="auto"/>
            <w:vAlign w:val="center"/>
          </w:tcPr>
          <w:p>
            <w:pPr>
              <w:pStyle w:val="11"/>
              <w:ind w:firstLine="0" w:firstLineChars="0"/>
              <w:rPr>
                <w:rFonts w:ascii="Times New Roman" w:hAnsi="Times New Roman" w:eastAsia="黑体" w:cs="Times New Roman"/>
                <w:sz w:val="22"/>
              </w:rPr>
            </w:pPr>
            <w:r>
              <w:rPr>
                <w:rFonts w:hint="eastAsia" w:ascii="Times New Roman" w:hAnsi="Times New Roman" w:eastAsia="黑体" w:cs="Times New Roman"/>
                <w:sz w:val="22"/>
              </w:rPr>
              <w:t>-</w:t>
            </w:r>
          </w:p>
          <w:p>
            <w:pPr>
              <w:pStyle w:val="11"/>
              <w:ind w:firstLine="0" w:firstLineChars="0"/>
              <w:rPr>
                <w:rFonts w:ascii="Times New Roman" w:hAnsi="Times New Roman" w:eastAsia="黑体" w:cs="Times New Roman"/>
                <w:sz w:val="22"/>
              </w:rPr>
            </w:pPr>
            <w:r>
              <w:rPr>
                <w:rFonts w:hint="eastAsia" w:ascii="Times New Roman" w:hAnsi="Times New Roman" w:eastAsia="黑体" w:cs="Times New Roman"/>
                <w:sz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 w:hRule="atLeast"/>
        </w:trPr>
        <w:tc>
          <w:tcPr>
            <w:tcW w:w="2127" w:type="dxa"/>
            <w:shd w:val="clear" w:color="auto" w:fill="auto"/>
          </w:tcPr>
          <w:p>
            <w:pPr>
              <w:ind w:left="-109" w:leftChars="-52" w:firstLine="110" w:firstLineChars="50"/>
              <w:rPr>
                <w:rFonts w:eastAsia="黑体"/>
                <w:sz w:val="22"/>
                <w:szCs w:val="22"/>
              </w:rPr>
            </w:pPr>
            <w:r>
              <w:rPr>
                <w:rFonts w:hint="eastAsia" w:eastAsia="黑体"/>
                <w:sz w:val="22"/>
                <w:szCs w:val="22"/>
              </w:rPr>
              <w:t>S</w:t>
            </w:r>
            <w:r>
              <w:rPr>
                <w:rFonts w:eastAsia="黑体"/>
                <w:sz w:val="22"/>
                <w:szCs w:val="22"/>
              </w:rPr>
              <w:t>olvent Oil</w:t>
            </w:r>
          </w:p>
        </w:tc>
        <w:tc>
          <w:tcPr>
            <w:tcW w:w="1559" w:type="dxa"/>
            <w:shd w:val="clear" w:color="auto" w:fill="auto"/>
            <w:vAlign w:val="center"/>
          </w:tcPr>
          <w:p>
            <w:pPr>
              <w:jc w:val="left"/>
              <w:rPr>
                <w:rFonts w:eastAsia="黑体"/>
                <w:sz w:val="22"/>
                <w:szCs w:val="22"/>
              </w:rPr>
            </w:pPr>
            <w:r>
              <w:rPr>
                <w:rFonts w:eastAsia="黑体"/>
                <w:sz w:val="22"/>
                <w:szCs w:val="22"/>
              </w:rPr>
              <w:t>Eye</w:t>
            </w:r>
          </w:p>
        </w:tc>
        <w:tc>
          <w:tcPr>
            <w:tcW w:w="2126" w:type="dxa"/>
            <w:vAlign w:val="center"/>
          </w:tcPr>
          <w:p>
            <w:pPr>
              <w:ind w:left="31" w:leftChars="15"/>
              <w:jc w:val="left"/>
              <w:rPr>
                <w:rFonts w:eastAsia="黑体"/>
                <w:sz w:val="22"/>
                <w:szCs w:val="22"/>
              </w:rPr>
            </w:pPr>
            <w:r>
              <w:rPr>
                <w:rFonts w:eastAsia="黑体"/>
                <w:sz w:val="22"/>
                <w:szCs w:val="22"/>
              </w:rPr>
              <w:t>Mild irritant</w:t>
            </w:r>
          </w:p>
        </w:tc>
        <w:tc>
          <w:tcPr>
            <w:tcW w:w="1134" w:type="dxa"/>
            <w:shd w:val="clear" w:color="auto" w:fill="auto"/>
            <w:vAlign w:val="center"/>
          </w:tcPr>
          <w:p>
            <w:pPr>
              <w:jc w:val="left"/>
              <w:rPr>
                <w:rFonts w:eastAsia="黑体"/>
                <w:sz w:val="22"/>
                <w:szCs w:val="22"/>
              </w:rPr>
            </w:pPr>
            <w:r>
              <w:rPr>
                <w:rFonts w:eastAsia="黑体"/>
                <w:sz w:val="22"/>
                <w:szCs w:val="22"/>
              </w:rPr>
              <w:t>Rabbit</w:t>
            </w:r>
          </w:p>
        </w:tc>
        <w:tc>
          <w:tcPr>
            <w:tcW w:w="1418" w:type="dxa"/>
            <w:shd w:val="clear" w:color="auto" w:fill="auto"/>
            <w:vAlign w:val="center"/>
          </w:tcPr>
          <w:p>
            <w:pPr>
              <w:jc w:val="left"/>
              <w:rPr>
                <w:rFonts w:eastAsia="黑体"/>
                <w:sz w:val="22"/>
                <w:szCs w:val="22"/>
              </w:rPr>
            </w:pPr>
            <w:r>
              <w:rPr>
                <w:rFonts w:hint="eastAsia" w:eastAsia="黑体"/>
                <w:sz w:val="22"/>
                <w:szCs w:val="22"/>
              </w:rPr>
              <w:t>100</w:t>
            </w:r>
            <w:r>
              <w:rPr>
                <w:rFonts w:eastAsia="黑体"/>
                <w:sz w:val="22"/>
                <w:szCs w:val="22"/>
              </w:rPr>
              <w:t>μ</w:t>
            </w:r>
            <w:r>
              <w:rPr>
                <w:rFonts w:hint="eastAsia" w:eastAsia="黑体"/>
                <w:sz w:val="22"/>
                <w:szCs w:val="22"/>
              </w:rPr>
              <w:t>L/24h</w:t>
            </w:r>
          </w:p>
        </w:tc>
        <w:tc>
          <w:tcPr>
            <w:tcW w:w="1559" w:type="dxa"/>
            <w:shd w:val="clear" w:color="auto" w:fill="auto"/>
            <w:vAlign w:val="center"/>
          </w:tcPr>
          <w:p>
            <w:pPr>
              <w:pStyle w:val="11"/>
              <w:ind w:firstLine="0" w:firstLineChars="0"/>
              <w:rPr>
                <w:rFonts w:ascii="Times New Roman" w:hAnsi="Times New Roman" w:eastAsia="黑体" w:cs="Times New Roman"/>
                <w:sz w:val="22"/>
              </w:rPr>
            </w:pPr>
            <w:r>
              <w:rPr>
                <w:rFonts w:ascii="Times New Roman" w:hAnsi="Times New Roman" w:eastAsia="黑体" w:cs="Times New Roman"/>
                <w:sz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 w:hRule="atLeast"/>
        </w:trPr>
        <w:tc>
          <w:tcPr>
            <w:tcW w:w="2127" w:type="dxa"/>
            <w:shd w:val="clear" w:color="auto" w:fill="auto"/>
          </w:tcPr>
          <w:p>
            <w:pPr>
              <w:ind w:left="-109" w:leftChars="-52" w:firstLine="110" w:firstLineChars="50"/>
              <w:rPr>
                <w:rFonts w:eastAsia="黑体"/>
                <w:sz w:val="22"/>
                <w:szCs w:val="22"/>
              </w:rPr>
            </w:pPr>
            <w:r>
              <w:rPr>
                <w:rFonts w:eastAsia="黑体"/>
                <w:sz w:val="22"/>
                <w:szCs w:val="22"/>
              </w:rPr>
              <w:t>Trimethylbenzene</w:t>
            </w:r>
          </w:p>
        </w:tc>
        <w:tc>
          <w:tcPr>
            <w:tcW w:w="1559" w:type="dxa"/>
            <w:shd w:val="clear" w:color="auto" w:fill="auto"/>
            <w:vAlign w:val="center"/>
          </w:tcPr>
          <w:p>
            <w:pPr>
              <w:jc w:val="left"/>
              <w:rPr>
                <w:rFonts w:eastAsia="黑体"/>
                <w:sz w:val="22"/>
                <w:szCs w:val="22"/>
              </w:rPr>
            </w:pPr>
            <w:r>
              <w:rPr>
                <w:rFonts w:hint="eastAsia" w:eastAsia="黑体"/>
                <w:sz w:val="22"/>
                <w:szCs w:val="22"/>
              </w:rPr>
              <w:t>E</w:t>
            </w:r>
            <w:r>
              <w:rPr>
                <w:rFonts w:eastAsia="黑体"/>
                <w:sz w:val="22"/>
                <w:szCs w:val="22"/>
              </w:rPr>
              <w:t>ye</w:t>
            </w:r>
          </w:p>
          <w:p>
            <w:pPr>
              <w:jc w:val="left"/>
              <w:rPr>
                <w:rFonts w:eastAsia="黑体"/>
                <w:sz w:val="22"/>
                <w:szCs w:val="22"/>
              </w:rPr>
            </w:pPr>
            <w:r>
              <w:rPr>
                <w:rFonts w:eastAsia="黑体"/>
                <w:sz w:val="22"/>
                <w:szCs w:val="22"/>
              </w:rPr>
              <w:t>Skin</w:t>
            </w:r>
          </w:p>
        </w:tc>
        <w:tc>
          <w:tcPr>
            <w:tcW w:w="2126" w:type="dxa"/>
            <w:vAlign w:val="center"/>
          </w:tcPr>
          <w:p>
            <w:pPr>
              <w:ind w:left="31" w:leftChars="15"/>
              <w:jc w:val="left"/>
              <w:rPr>
                <w:rFonts w:eastAsia="黑体"/>
                <w:sz w:val="22"/>
                <w:szCs w:val="22"/>
              </w:rPr>
            </w:pPr>
            <w:r>
              <w:rPr>
                <w:rFonts w:hint="eastAsia" w:eastAsia="黑体"/>
                <w:sz w:val="22"/>
                <w:szCs w:val="22"/>
              </w:rPr>
              <w:t>M</w:t>
            </w:r>
            <w:r>
              <w:rPr>
                <w:rFonts w:eastAsia="黑体"/>
                <w:sz w:val="22"/>
                <w:szCs w:val="22"/>
              </w:rPr>
              <w:t>ild irritant</w:t>
            </w:r>
          </w:p>
          <w:p>
            <w:pPr>
              <w:ind w:left="31" w:leftChars="15"/>
              <w:jc w:val="left"/>
              <w:rPr>
                <w:rFonts w:eastAsia="黑体"/>
                <w:sz w:val="22"/>
                <w:szCs w:val="22"/>
              </w:rPr>
            </w:pPr>
            <w:r>
              <w:rPr>
                <w:rFonts w:hint="eastAsia" w:eastAsia="黑体"/>
                <w:sz w:val="22"/>
                <w:szCs w:val="22"/>
              </w:rPr>
              <w:t>M</w:t>
            </w:r>
            <w:r>
              <w:rPr>
                <w:rFonts w:eastAsia="黑体"/>
                <w:sz w:val="22"/>
                <w:szCs w:val="22"/>
              </w:rPr>
              <w:t>oderate irritant</w:t>
            </w:r>
          </w:p>
        </w:tc>
        <w:tc>
          <w:tcPr>
            <w:tcW w:w="1134" w:type="dxa"/>
            <w:shd w:val="clear" w:color="auto" w:fill="auto"/>
            <w:vAlign w:val="center"/>
          </w:tcPr>
          <w:p>
            <w:pPr>
              <w:jc w:val="left"/>
              <w:rPr>
                <w:rFonts w:eastAsia="黑体"/>
                <w:sz w:val="22"/>
                <w:szCs w:val="22"/>
              </w:rPr>
            </w:pPr>
            <w:r>
              <w:rPr>
                <w:rFonts w:hint="eastAsia" w:eastAsia="黑体"/>
                <w:sz w:val="22"/>
                <w:szCs w:val="22"/>
              </w:rPr>
              <w:t>R</w:t>
            </w:r>
            <w:r>
              <w:rPr>
                <w:rFonts w:eastAsia="黑体"/>
                <w:sz w:val="22"/>
                <w:szCs w:val="22"/>
              </w:rPr>
              <w:t>abbit</w:t>
            </w:r>
          </w:p>
          <w:p>
            <w:pPr>
              <w:jc w:val="left"/>
              <w:rPr>
                <w:rFonts w:eastAsia="黑体"/>
                <w:sz w:val="22"/>
                <w:szCs w:val="22"/>
              </w:rPr>
            </w:pPr>
            <w:r>
              <w:rPr>
                <w:rFonts w:hint="eastAsia" w:eastAsia="黑体"/>
                <w:sz w:val="22"/>
                <w:szCs w:val="22"/>
              </w:rPr>
              <w:t>R</w:t>
            </w:r>
            <w:r>
              <w:rPr>
                <w:rFonts w:eastAsia="黑体"/>
                <w:sz w:val="22"/>
                <w:szCs w:val="22"/>
              </w:rPr>
              <w:t>abbit</w:t>
            </w:r>
          </w:p>
        </w:tc>
        <w:tc>
          <w:tcPr>
            <w:tcW w:w="1418" w:type="dxa"/>
            <w:shd w:val="clear" w:color="auto" w:fill="auto"/>
            <w:vAlign w:val="center"/>
          </w:tcPr>
          <w:p>
            <w:pPr>
              <w:jc w:val="left"/>
              <w:rPr>
                <w:rFonts w:eastAsia="黑体"/>
                <w:sz w:val="22"/>
                <w:szCs w:val="22"/>
              </w:rPr>
            </w:pPr>
            <w:r>
              <w:rPr>
                <w:rFonts w:eastAsia="黑体"/>
                <w:sz w:val="22"/>
                <w:szCs w:val="22"/>
              </w:rPr>
              <w:t>500mg/24h</w:t>
            </w:r>
          </w:p>
          <w:p>
            <w:pPr>
              <w:jc w:val="left"/>
              <w:rPr>
                <w:rFonts w:eastAsia="黑体"/>
                <w:sz w:val="22"/>
                <w:szCs w:val="22"/>
              </w:rPr>
            </w:pPr>
            <w:r>
              <w:rPr>
                <w:rFonts w:eastAsia="黑体"/>
                <w:sz w:val="22"/>
                <w:szCs w:val="22"/>
              </w:rPr>
              <w:t>20mg/24h</w:t>
            </w:r>
          </w:p>
        </w:tc>
        <w:tc>
          <w:tcPr>
            <w:tcW w:w="1559" w:type="dxa"/>
            <w:shd w:val="clear" w:color="auto" w:fill="auto"/>
            <w:vAlign w:val="center"/>
          </w:tcPr>
          <w:p>
            <w:pPr>
              <w:pStyle w:val="11"/>
              <w:ind w:firstLine="0" w:firstLineChars="0"/>
              <w:rPr>
                <w:rFonts w:ascii="Times New Roman" w:hAnsi="Times New Roman" w:eastAsia="黑体" w:cs="Times New Roman"/>
                <w:sz w:val="22"/>
              </w:rPr>
            </w:pPr>
            <w:r>
              <w:rPr>
                <w:rFonts w:hint="eastAsia" w:ascii="Times New Roman" w:hAnsi="Times New Roman" w:eastAsia="黑体" w:cs="Times New Roman"/>
                <w:sz w:val="22"/>
              </w:rPr>
              <w:t>-</w:t>
            </w:r>
          </w:p>
          <w:p>
            <w:pPr>
              <w:pStyle w:val="11"/>
              <w:ind w:firstLine="0" w:firstLineChars="0"/>
              <w:rPr>
                <w:rFonts w:ascii="Times New Roman" w:hAnsi="Times New Roman" w:eastAsia="黑体" w:cs="Times New Roman"/>
                <w:sz w:val="22"/>
              </w:rPr>
            </w:pPr>
            <w:r>
              <w:rPr>
                <w:rFonts w:hint="eastAsia" w:ascii="Times New Roman" w:hAnsi="Times New Roman" w:eastAsia="黑体" w:cs="Times New Roman"/>
                <w:sz w:val="22"/>
              </w:rPr>
              <w:t>-</w:t>
            </w:r>
          </w:p>
        </w:tc>
      </w:tr>
      <w:bookmarkEnd w:id="2"/>
    </w:tbl>
    <w:p>
      <w:pPr>
        <w:rPr>
          <w:b/>
          <w:sz w:val="22"/>
          <w:szCs w:val="22"/>
        </w:rPr>
      </w:pPr>
      <w:bookmarkStart w:id="3" w:name="_Hlk17107532"/>
      <w:r>
        <w:rPr>
          <w:b/>
          <w:sz w:val="22"/>
          <w:szCs w:val="22"/>
        </w:rPr>
        <w:t>Reproductive toxicity:</w:t>
      </w:r>
    </w:p>
    <w:p>
      <w:pPr>
        <w:ind w:left="40" w:leftChars="19"/>
        <w:rPr>
          <w:kern w:val="0"/>
          <w:sz w:val="22"/>
          <w:szCs w:val="22"/>
        </w:rPr>
      </w:pPr>
      <w:r>
        <w:rPr>
          <w:b/>
          <w:kern w:val="0"/>
          <w:sz w:val="22"/>
          <w:szCs w:val="22"/>
        </w:rPr>
        <w:t xml:space="preserve">Butyl acetate: </w:t>
      </w:r>
      <w:r>
        <w:rPr>
          <w:kern w:val="0"/>
          <w:sz w:val="22"/>
          <w:szCs w:val="22"/>
        </w:rPr>
        <w:t>Rat inhaled a minimum toxic concentration (</w:t>
      </w:r>
      <w:r>
        <w:rPr>
          <w:rFonts w:hint="eastAsia" w:ascii="Arial" w:hAnsi="Arial" w:eastAsia="黑体" w:cs="Arial"/>
          <w:spacing w:val="6"/>
          <w:szCs w:val="21"/>
          <w:shd w:val="clear" w:color="auto" w:fill="FFFFFF"/>
        </w:rPr>
        <w:t>TCL</w:t>
      </w:r>
      <w:r>
        <w:rPr>
          <w:rFonts w:hint="eastAsia" w:ascii="Arial" w:hAnsi="Arial" w:eastAsia="黑体" w:cs="Arial"/>
          <w:spacing w:val="6"/>
          <w:szCs w:val="21"/>
          <w:shd w:val="clear" w:color="auto" w:fill="FFFFFF"/>
          <w:vertAlign w:val="subscript"/>
        </w:rPr>
        <w:t>0</w:t>
      </w:r>
      <w:r>
        <w:rPr>
          <w:kern w:val="0"/>
          <w:sz w:val="22"/>
          <w:szCs w:val="22"/>
        </w:rPr>
        <w:t>) of 1500ppm/7h (7-16 days of gestation), which resulting in fetal toxicity and skeletal dysplasia.</w:t>
      </w:r>
    </w:p>
    <w:p>
      <w:pPr>
        <w:ind w:left="40" w:leftChars="19"/>
        <w:rPr>
          <w:kern w:val="0"/>
          <w:sz w:val="22"/>
          <w:szCs w:val="22"/>
        </w:rPr>
      </w:pPr>
      <w:r>
        <w:rPr>
          <w:rFonts w:hint="eastAsia"/>
          <w:b/>
          <w:kern w:val="0"/>
          <w:sz w:val="22"/>
          <w:szCs w:val="22"/>
        </w:rPr>
        <w:t>Xy</w:t>
      </w:r>
      <w:r>
        <w:rPr>
          <w:b/>
          <w:kern w:val="0"/>
          <w:sz w:val="22"/>
          <w:szCs w:val="22"/>
        </w:rPr>
        <w:t xml:space="preserve">lene: </w:t>
      </w:r>
      <w:r>
        <w:rPr>
          <w:kern w:val="0"/>
          <w:sz w:val="22"/>
          <w:szCs w:val="22"/>
        </w:rPr>
        <w:t>Rat inhaled a minimum toxic concentration (</w:t>
      </w:r>
      <w:r>
        <w:rPr>
          <w:rFonts w:hint="eastAsia" w:ascii="Arial" w:hAnsi="Arial" w:eastAsia="黑体" w:cs="Arial"/>
          <w:spacing w:val="6"/>
          <w:szCs w:val="21"/>
          <w:shd w:val="clear" w:color="auto" w:fill="FFFFFF"/>
        </w:rPr>
        <w:t>T</w:t>
      </w:r>
      <w:r>
        <w:rPr>
          <w:rFonts w:ascii="Arial" w:hAnsi="Arial" w:eastAsia="黑体" w:cs="Arial"/>
          <w:spacing w:val="6"/>
          <w:szCs w:val="21"/>
          <w:shd w:val="clear" w:color="auto" w:fill="FFFFFF"/>
        </w:rPr>
        <w:t>D</w:t>
      </w:r>
      <w:r>
        <w:rPr>
          <w:rFonts w:hint="eastAsia" w:ascii="Arial" w:hAnsi="Arial" w:eastAsia="黑体" w:cs="Arial"/>
          <w:spacing w:val="6"/>
          <w:szCs w:val="21"/>
          <w:shd w:val="clear" w:color="auto" w:fill="FFFFFF"/>
        </w:rPr>
        <w:t>L</w:t>
      </w:r>
      <w:r>
        <w:rPr>
          <w:rFonts w:hint="eastAsia" w:ascii="Arial" w:hAnsi="Arial" w:eastAsia="黑体" w:cs="Arial"/>
          <w:spacing w:val="6"/>
          <w:szCs w:val="21"/>
          <w:shd w:val="clear" w:color="auto" w:fill="FFFFFF"/>
          <w:vertAlign w:val="subscript"/>
        </w:rPr>
        <w:t>0</w:t>
      </w:r>
      <w:r>
        <w:rPr>
          <w:kern w:val="0"/>
          <w:sz w:val="22"/>
          <w:szCs w:val="22"/>
        </w:rPr>
        <w:t>) of 200ppm/6h (4-20 days of gestation), which resulting in impact on neonatal behavior and skeletal dysplasia.</w:t>
      </w:r>
    </w:p>
    <w:p>
      <w:pPr>
        <w:ind w:left="40" w:leftChars="19"/>
        <w:rPr>
          <w:kern w:val="0"/>
          <w:sz w:val="22"/>
          <w:szCs w:val="22"/>
        </w:rPr>
      </w:pPr>
      <w:bookmarkStart w:id="4" w:name="_Hlk17101133"/>
      <w:r>
        <w:rPr>
          <w:rFonts w:eastAsia="黑体"/>
          <w:b/>
          <w:bCs/>
          <w:sz w:val="22"/>
          <w:szCs w:val="22"/>
        </w:rPr>
        <w:t>n-Butyl alcohol</w:t>
      </w:r>
      <w:r>
        <w:rPr>
          <w:b/>
          <w:bCs/>
          <w:kern w:val="0"/>
          <w:sz w:val="22"/>
          <w:szCs w:val="22"/>
        </w:rPr>
        <w:t>:</w:t>
      </w:r>
      <w:r>
        <w:rPr>
          <w:b/>
          <w:kern w:val="0"/>
          <w:sz w:val="22"/>
          <w:szCs w:val="22"/>
        </w:rPr>
        <w:t xml:space="preserve"> </w:t>
      </w:r>
      <w:r>
        <w:rPr>
          <w:kern w:val="0"/>
          <w:sz w:val="22"/>
          <w:szCs w:val="22"/>
        </w:rPr>
        <w:t>Rat inhaled a minimum toxic concentration (</w:t>
      </w:r>
      <w:r>
        <w:rPr>
          <w:rFonts w:hint="eastAsia" w:ascii="Arial" w:hAnsi="Arial" w:eastAsia="黑体" w:cs="Arial"/>
          <w:spacing w:val="6"/>
          <w:szCs w:val="21"/>
          <w:shd w:val="clear" w:color="auto" w:fill="FFFFFF"/>
        </w:rPr>
        <w:t>T</w:t>
      </w:r>
      <w:r>
        <w:rPr>
          <w:rFonts w:ascii="Arial" w:hAnsi="Arial" w:eastAsia="黑体" w:cs="Arial"/>
          <w:spacing w:val="6"/>
          <w:szCs w:val="21"/>
          <w:shd w:val="clear" w:color="auto" w:fill="FFFFFF"/>
        </w:rPr>
        <w:t>D</w:t>
      </w:r>
      <w:r>
        <w:rPr>
          <w:rFonts w:hint="eastAsia" w:ascii="Arial" w:hAnsi="Arial" w:eastAsia="黑体" w:cs="Arial"/>
          <w:spacing w:val="6"/>
          <w:szCs w:val="21"/>
          <w:shd w:val="clear" w:color="auto" w:fill="FFFFFF"/>
        </w:rPr>
        <w:t>L</w:t>
      </w:r>
      <w:r>
        <w:rPr>
          <w:rFonts w:hint="eastAsia" w:ascii="Arial" w:hAnsi="Arial" w:eastAsia="黑体" w:cs="Arial"/>
          <w:spacing w:val="6"/>
          <w:szCs w:val="21"/>
          <w:shd w:val="clear" w:color="auto" w:fill="FFFFFF"/>
          <w:vertAlign w:val="subscript"/>
        </w:rPr>
        <w:t>0</w:t>
      </w:r>
      <w:r>
        <w:rPr>
          <w:kern w:val="0"/>
          <w:sz w:val="22"/>
          <w:szCs w:val="22"/>
        </w:rPr>
        <w:t>) of 8000ppm/7h (1-19 days of gestation), which resulting in abnormal musculoskeletal development.</w:t>
      </w:r>
    </w:p>
    <w:p>
      <w:pPr>
        <w:ind w:left="40" w:leftChars="19"/>
        <w:rPr>
          <w:kern w:val="0"/>
          <w:sz w:val="22"/>
          <w:szCs w:val="22"/>
        </w:rPr>
      </w:pPr>
    </w:p>
    <w:bookmarkEnd w:id="4"/>
    <w:p>
      <w:pPr>
        <w:rPr>
          <w:b/>
          <w:kern w:val="0"/>
          <w:sz w:val="22"/>
          <w:szCs w:val="22"/>
        </w:rPr>
      </w:pPr>
      <w:r>
        <w:rPr>
          <w:b/>
          <w:kern w:val="0"/>
          <w:sz w:val="22"/>
          <w:szCs w:val="22"/>
        </w:rPr>
        <w:t>Specific target organ toxicity – single exposure:</w:t>
      </w:r>
    </w:p>
    <w:p>
      <w:pPr>
        <w:rPr>
          <w:bCs/>
          <w:kern w:val="0"/>
          <w:sz w:val="22"/>
          <w:szCs w:val="22"/>
        </w:rPr>
      </w:pPr>
      <w:r>
        <w:rPr>
          <w:b/>
          <w:kern w:val="0"/>
          <w:sz w:val="22"/>
          <w:szCs w:val="22"/>
        </w:rPr>
        <w:t xml:space="preserve">Butyl acetate: </w:t>
      </w:r>
      <w:r>
        <w:rPr>
          <w:bCs/>
          <w:kern w:val="0"/>
          <w:sz w:val="22"/>
          <w:szCs w:val="22"/>
        </w:rPr>
        <w:t>Affects the central nervous system, may cause drowsiness or dizziness</w:t>
      </w:r>
    </w:p>
    <w:p>
      <w:pPr>
        <w:rPr>
          <w:bCs/>
          <w:kern w:val="0"/>
          <w:sz w:val="22"/>
          <w:szCs w:val="22"/>
        </w:rPr>
      </w:pPr>
      <w:r>
        <w:rPr>
          <w:rFonts w:eastAsia="黑体"/>
          <w:b/>
          <w:bCs/>
          <w:sz w:val="22"/>
          <w:szCs w:val="22"/>
        </w:rPr>
        <w:t>n-Butyl alcohol</w:t>
      </w:r>
      <w:r>
        <w:rPr>
          <w:b/>
          <w:bCs/>
          <w:kern w:val="0"/>
          <w:sz w:val="22"/>
          <w:szCs w:val="22"/>
        </w:rPr>
        <w:t>:</w:t>
      </w:r>
      <w:r>
        <w:rPr>
          <w:b/>
          <w:kern w:val="0"/>
          <w:sz w:val="22"/>
          <w:szCs w:val="22"/>
        </w:rPr>
        <w:t xml:space="preserve"> </w:t>
      </w:r>
      <w:r>
        <w:rPr>
          <w:bCs/>
          <w:kern w:val="0"/>
          <w:sz w:val="22"/>
          <w:szCs w:val="22"/>
        </w:rPr>
        <w:t>May cause respiratory irritation, may cause drowsiness or dizziness</w:t>
      </w:r>
    </w:p>
    <w:p>
      <w:pPr>
        <w:ind w:left="-109" w:leftChars="-52" w:firstLine="110" w:firstLineChars="50"/>
        <w:rPr>
          <w:bCs/>
          <w:kern w:val="0"/>
          <w:sz w:val="22"/>
          <w:szCs w:val="22"/>
        </w:rPr>
      </w:pPr>
      <w:r>
        <w:rPr>
          <w:b/>
          <w:bCs/>
          <w:sz w:val="22"/>
          <w:szCs w:val="22"/>
        </w:rPr>
        <w:t>Trimethylbenzene</w:t>
      </w:r>
      <w:r>
        <w:rPr>
          <w:b/>
          <w:kern w:val="0"/>
          <w:sz w:val="22"/>
          <w:szCs w:val="22"/>
        </w:rPr>
        <w:t xml:space="preserve">: </w:t>
      </w:r>
      <w:r>
        <w:rPr>
          <w:bCs/>
          <w:kern w:val="0"/>
          <w:sz w:val="22"/>
          <w:szCs w:val="22"/>
        </w:rPr>
        <w:t>Affects the respiratory system and may cause respiratory irritation.</w:t>
      </w:r>
    </w:p>
    <w:p>
      <w:pPr>
        <w:ind w:left="-109" w:leftChars="-52" w:firstLine="110" w:firstLineChars="50"/>
        <w:rPr>
          <w:bCs/>
          <w:kern w:val="0"/>
          <w:sz w:val="22"/>
          <w:szCs w:val="22"/>
        </w:rPr>
      </w:pPr>
    </w:p>
    <w:p>
      <w:pPr>
        <w:rPr>
          <w:b/>
          <w:sz w:val="22"/>
          <w:szCs w:val="22"/>
        </w:rPr>
      </w:pPr>
      <w:r>
        <w:rPr>
          <w:b/>
          <w:sz w:val="22"/>
          <w:szCs w:val="22"/>
        </w:rPr>
        <w:t xml:space="preserve">Specific target organ toxicity – repeated exposure: </w:t>
      </w:r>
    </w:p>
    <w:p>
      <w:pPr>
        <w:rPr>
          <w:b/>
          <w:kern w:val="0"/>
          <w:sz w:val="22"/>
          <w:szCs w:val="22"/>
        </w:rPr>
      </w:pPr>
      <w:r>
        <w:rPr>
          <w:rFonts w:hint="eastAsia"/>
          <w:b/>
          <w:kern w:val="0"/>
          <w:sz w:val="22"/>
          <w:szCs w:val="22"/>
        </w:rPr>
        <w:t>N</w:t>
      </w:r>
      <w:r>
        <w:rPr>
          <w:b/>
          <w:kern w:val="0"/>
          <w:sz w:val="22"/>
          <w:szCs w:val="22"/>
        </w:rPr>
        <w:t>/A.</w:t>
      </w:r>
    </w:p>
    <w:p>
      <w:pPr>
        <w:rPr>
          <w:bCs/>
          <w:kern w:val="0"/>
          <w:sz w:val="22"/>
          <w:szCs w:val="22"/>
        </w:rPr>
      </w:pPr>
    </w:p>
    <w:bookmarkEnd w:id="3"/>
    <w:p>
      <w:pPr>
        <w:rPr>
          <w:b/>
          <w:sz w:val="22"/>
          <w:szCs w:val="22"/>
        </w:rPr>
      </w:pPr>
      <w:r>
        <w:rPr>
          <w:b/>
          <w:sz w:val="22"/>
          <w:szCs w:val="22"/>
        </w:rPr>
        <w:t>Aspiration hazards:</w:t>
      </w:r>
    </w:p>
    <w:p>
      <w:pPr>
        <w:rPr>
          <w:color w:val="333333"/>
          <w:sz w:val="22"/>
          <w:szCs w:val="22"/>
        </w:rPr>
      </w:pPr>
      <w:r>
        <w:rPr>
          <w:sz w:val="22"/>
          <w:szCs w:val="22"/>
        </w:rPr>
        <w:t>May cause nasal and throat irritation</w:t>
      </w:r>
      <w:r>
        <w:rPr>
          <w:color w:val="333333"/>
          <w:sz w:val="22"/>
          <w:szCs w:val="22"/>
        </w:rPr>
        <w:t>. It may cause neurasthenia. The typical symptoms are: headache, drowsiness, nausea, teetering, confusion of consciousness, and unconsciousness.</w:t>
      </w:r>
    </w:p>
    <w:p>
      <w:pPr>
        <w:rPr>
          <w:color w:val="333333"/>
          <w:sz w:val="22"/>
          <w:szCs w:val="22"/>
        </w:rPr>
      </w:pPr>
    </w:p>
    <w:p>
      <w:pPr>
        <w:rPr>
          <w:b/>
          <w:color w:val="333333"/>
          <w:sz w:val="22"/>
          <w:szCs w:val="22"/>
        </w:rPr>
      </w:pPr>
      <w:r>
        <w:rPr>
          <w:b/>
          <w:color w:val="333333"/>
          <w:sz w:val="22"/>
          <w:szCs w:val="22"/>
        </w:rPr>
        <w:t xml:space="preserve">Ingestion hazard: </w:t>
      </w:r>
      <w:r>
        <w:rPr>
          <w:color w:val="333333"/>
          <w:sz w:val="22"/>
          <w:szCs w:val="22"/>
        </w:rPr>
        <w:t>It may cause gastrointestinal discomfort.</w:t>
      </w:r>
    </w:p>
    <w:p>
      <w:pPr>
        <w:rPr>
          <w:color w:val="333333"/>
          <w:sz w:val="22"/>
          <w:szCs w:val="22"/>
        </w:rPr>
      </w:pPr>
    </w:p>
    <w:p>
      <w:pPr>
        <w:rPr>
          <w:b/>
          <w:color w:val="333333"/>
          <w:sz w:val="22"/>
          <w:szCs w:val="22"/>
        </w:rPr>
      </w:pPr>
      <w:r>
        <w:rPr>
          <w:b/>
          <w:color w:val="333333"/>
          <w:sz w:val="22"/>
          <w:szCs w:val="22"/>
        </w:rPr>
        <w:t>Contact hazards:</w:t>
      </w:r>
    </w:p>
    <w:p>
      <w:pPr>
        <w:rPr>
          <w:color w:val="333333"/>
          <w:sz w:val="22"/>
          <w:szCs w:val="22"/>
        </w:rPr>
      </w:pPr>
      <w:r>
        <w:rPr>
          <w:color w:val="333333"/>
          <w:sz w:val="22"/>
          <w:szCs w:val="22"/>
        </w:rPr>
        <w:t>It may cause eye irritation or burns, even skin irritation with repeated or long-term contact. Discomfort and dermatitis may occur as well.</w:t>
      </w:r>
    </w:p>
    <w:p>
      <w:pPr>
        <w:rPr>
          <w:color w:val="333333"/>
          <w:sz w:val="22"/>
          <w:szCs w:val="22"/>
        </w:rPr>
      </w:pPr>
    </w:p>
    <w:p>
      <w:pPr>
        <w:rPr>
          <w:b/>
          <w:color w:val="333333"/>
          <w:sz w:val="22"/>
          <w:szCs w:val="22"/>
        </w:rPr>
      </w:pPr>
      <w:r>
        <w:rPr>
          <w:b/>
          <w:color w:val="333333"/>
          <w:sz w:val="22"/>
          <w:szCs w:val="22"/>
        </w:rPr>
        <w:t>SECTION 12 Ecological information</w:t>
      </w:r>
    </w:p>
    <w:p>
      <w:pPr>
        <w:jc w:val="center"/>
        <w:rPr>
          <w:b/>
          <w:color w:val="333333"/>
          <w:sz w:val="22"/>
          <w:szCs w:val="22"/>
        </w:rPr>
      </w:pPr>
    </w:p>
    <w:p>
      <w:pPr>
        <w:rPr>
          <w:b/>
          <w:color w:val="333333"/>
          <w:sz w:val="22"/>
          <w:szCs w:val="22"/>
        </w:rPr>
      </w:pPr>
      <w:r>
        <w:rPr>
          <w:b/>
          <w:color w:val="333333"/>
          <w:sz w:val="22"/>
          <w:szCs w:val="22"/>
        </w:rPr>
        <w:t>Ecological toxicity</w:t>
      </w:r>
      <w:r>
        <w:rPr>
          <w:rFonts w:hint="eastAsia"/>
          <w:b/>
          <w:color w:val="333333"/>
          <w:sz w:val="22"/>
          <w:szCs w:val="22"/>
        </w:rPr>
        <w:t>:</w:t>
      </w:r>
    </w:p>
    <w:tbl>
      <w:tblPr>
        <w:tblStyle w:val="5"/>
        <w:tblW w:w="9980" w:type="dxa"/>
        <w:tblInd w:w="118" w:type="dxa"/>
        <w:tblLayout w:type="autofit"/>
        <w:tblCellMar>
          <w:top w:w="0" w:type="dxa"/>
          <w:left w:w="108" w:type="dxa"/>
          <w:bottom w:w="0" w:type="dxa"/>
          <w:right w:w="108" w:type="dxa"/>
        </w:tblCellMar>
      </w:tblPr>
      <w:tblGrid>
        <w:gridCol w:w="1817"/>
        <w:gridCol w:w="3566"/>
        <w:gridCol w:w="3389"/>
        <w:gridCol w:w="1208"/>
      </w:tblGrid>
      <w:tr>
        <w:tblPrEx>
          <w:tblCellMar>
            <w:top w:w="0" w:type="dxa"/>
            <w:left w:w="108" w:type="dxa"/>
            <w:bottom w:w="0" w:type="dxa"/>
            <w:right w:w="108" w:type="dxa"/>
          </w:tblCellMar>
        </w:tblPrEx>
        <w:trPr>
          <w:trHeight w:val="315" w:hRule="atLeast"/>
        </w:trPr>
        <w:tc>
          <w:tcPr>
            <w:tcW w:w="1817"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rPr>
                <w:rFonts w:eastAsia="等线"/>
                <w:color w:val="000000"/>
                <w:kern w:val="0"/>
                <w:sz w:val="22"/>
                <w:szCs w:val="22"/>
              </w:rPr>
            </w:pPr>
            <w:r>
              <w:rPr>
                <w:rFonts w:eastAsia="等线"/>
                <w:color w:val="000000"/>
                <w:kern w:val="0"/>
                <w:sz w:val="22"/>
                <w:szCs w:val="22"/>
              </w:rPr>
              <w:t>Ingredient Name</w:t>
            </w:r>
          </w:p>
        </w:tc>
        <w:tc>
          <w:tcPr>
            <w:tcW w:w="3566" w:type="dxa"/>
            <w:tcBorders>
              <w:top w:val="single" w:color="auto" w:sz="8" w:space="0"/>
              <w:left w:val="nil"/>
              <w:bottom w:val="single" w:color="auto" w:sz="8" w:space="0"/>
              <w:right w:val="single" w:color="auto" w:sz="8" w:space="0"/>
            </w:tcBorders>
            <w:shd w:val="clear" w:color="auto" w:fill="auto"/>
            <w:vAlign w:val="center"/>
          </w:tcPr>
          <w:p>
            <w:pPr>
              <w:widowControl/>
              <w:jc w:val="left"/>
              <w:rPr>
                <w:rFonts w:eastAsia="等线"/>
                <w:color w:val="000000"/>
                <w:kern w:val="0"/>
                <w:sz w:val="22"/>
                <w:szCs w:val="22"/>
              </w:rPr>
            </w:pPr>
            <w:r>
              <w:rPr>
                <w:rFonts w:eastAsia="等线"/>
                <w:color w:val="000000"/>
                <w:kern w:val="0"/>
                <w:sz w:val="22"/>
                <w:szCs w:val="22"/>
              </w:rPr>
              <w:t>Result</w:t>
            </w:r>
          </w:p>
        </w:tc>
        <w:tc>
          <w:tcPr>
            <w:tcW w:w="3389" w:type="dxa"/>
            <w:tcBorders>
              <w:top w:val="single" w:color="auto" w:sz="8" w:space="0"/>
              <w:left w:val="nil"/>
              <w:bottom w:val="single" w:color="auto" w:sz="8" w:space="0"/>
              <w:right w:val="single" w:color="auto" w:sz="8" w:space="0"/>
            </w:tcBorders>
            <w:shd w:val="clear" w:color="auto" w:fill="auto"/>
            <w:vAlign w:val="center"/>
          </w:tcPr>
          <w:p>
            <w:pPr>
              <w:widowControl/>
              <w:jc w:val="left"/>
              <w:rPr>
                <w:rFonts w:eastAsia="等线"/>
                <w:color w:val="000000"/>
                <w:kern w:val="0"/>
                <w:sz w:val="22"/>
                <w:szCs w:val="22"/>
              </w:rPr>
            </w:pPr>
            <w:r>
              <w:rPr>
                <w:rFonts w:eastAsia="等线"/>
                <w:color w:val="000000"/>
                <w:kern w:val="0"/>
                <w:sz w:val="22"/>
                <w:szCs w:val="22"/>
              </w:rPr>
              <w:t>Species</w:t>
            </w:r>
          </w:p>
        </w:tc>
        <w:tc>
          <w:tcPr>
            <w:tcW w:w="1208" w:type="dxa"/>
            <w:tcBorders>
              <w:top w:val="single" w:color="auto" w:sz="8" w:space="0"/>
              <w:left w:val="nil"/>
              <w:bottom w:val="single" w:color="auto" w:sz="8" w:space="0"/>
              <w:right w:val="single" w:color="auto" w:sz="8" w:space="0"/>
            </w:tcBorders>
            <w:shd w:val="clear" w:color="auto" w:fill="auto"/>
            <w:vAlign w:val="center"/>
          </w:tcPr>
          <w:p>
            <w:pPr>
              <w:widowControl/>
              <w:jc w:val="left"/>
              <w:rPr>
                <w:rFonts w:eastAsia="等线"/>
                <w:color w:val="000000"/>
                <w:kern w:val="0"/>
                <w:sz w:val="22"/>
                <w:szCs w:val="22"/>
              </w:rPr>
            </w:pPr>
            <w:r>
              <w:rPr>
                <w:rFonts w:eastAsia="等线"/>
                <w:color w:val="000000"/>
                <w:kern w:val="0"/>
                <w:sz w:val="22"/>
                <w:szCs w:val="22"/>
              </w:rPr>
              <w:t>Exposure</w:t>
            </w:r>
          </w:p>
        </w:tc>
      </w:tr>
      <w:tr>
        <w:tblPrEx>
          <w:tblCellMar>
            <w:top w:w="0" w:type="dxa"/>
            <w:left w:w="108" w:type="dxa"/>
            <w:bottom w:w="0" w:type="dxa"/>
            <w:right w:w="108" w:type="dxa"/>
          </w:tblCellMar>
        </w:tblPrEx>
        <w:trPr>
          <w:trHeight w:val="300" w:hRule="atLeast"/>
        </w:trPr>
        <w:tc>
          <w:tcPr>
            <w:tcW w:w="1817" w:type="dxa"/>
            <w:vMerge w:val="restart"/>
            <w:tcBorders>
              <w:top w:val="nil"/>
              <w:left w:val="single" w:color="auto" w:sz="8" w:space="0"/>
              <w:bottom w:val="single" w:color="000000" w:sz="8" w:space="0"/>
              <w:right w:val="single" w:color="auto" w:sz="8" w:space="0"/>
            </w:tcBorders>
            <w:shd w:val="clear" w:color="auto" w:fill="auto"/>
            <w:vAlign w:val="center"/>
          </w:tcPr>
          <w:p>
            <w:pPr>
              <w:widowControl/>
              <w:rPr>
                <w:rFonts w:eastAsia="等线"/>
                <w:color w:val="000000"/>
                <w:kern w:val="0"/>
                <w:sz w:val="22"/>
                <w:szCs w:val="22"/>
              </w:rPr>
            </w:pPr>
            <w:r>
              <w:rPr>
                <w:rFonts w:eastAsia="等线"/>
                <w:color w:val="000000"/>
                <w:kern w:val="0"/>
                <w:sz w:val="22"/>
                <w:szCs w:val="22"/>
              </w:rPr>
              <w:t>Butyl acetate</w:t>
            </w:r>
          </w:p>
        </w:tc>
        <w:tc>
          <w:tcPr>
            <w:tcW w:w="3566" w:type="dxa"/>
            <w:tcBorders>
              <w:top w:val="nil"/>
              <w:left w:val="nil"/>
              <w:bottom w:val="nil"/>
              <w:right w:val="single" w:color="auto" w:sz="8" w:space="0"/>
            </w:tcBorders>
            <w:shd w:val="clear" w:color="auto" w:fill="auto"/>
            <w:vAlign w:val="center"/>
          </w:tcPr>
          <w:p>
            <w:pPr>
              <w:widowControl/>
              <w:jc w:val="left"/>
              <w:rPr>
                <w:rFonts w:eastAsia="等线"/>
                <w:color w:val="000000"/>
                <w:kern w:val="0"/>
                <w:sz w:val="22"/>
                <w:szCs w:val="22"/>
              </w:rPr>
            </w:pPr>
            <w:r>
              <w:rPr>
                <w:rFonts w:eastAsia="等线"/>
                <w:color w:val="000000"/>
                <w:kern w:val="0"/>
                <w:sz w:val="22"/>
                <w:szCs w:val="22"/>
              </w:rPr>
              <w:t>Acute LC50 32000μg/L seawater</w:t>
            </w:r>
          </w:p>
        </w:tc>
        <w:tc>
          <w:tcPr>
            <w:tcW w:w="3389" w:type="dxa"/>
            <w:tcBorders>
              <w:top w:val="nil"/>
              <w:left w:val="nil"/>
              <w:bottom w:val="nil"/>
              <w:right w:val="single" w:color="auto" w:sz="8" w:space="0"/>
            </w:tcBorders>
            <w:shd w:val="clear" w:color="auto" w:fill="auto"/>
            <w:vAlign w:val="center"/>
          </w:tcPr>
          <w:p>
            <w:pPr>
              <w:widowControl/>
              <w:jc w:val="left"/>
              <w:rPr>
                <w:rFonts w:eastAsia="等线"/>
                <w:color w:val="000000"/>
                <w:kern w:val="0"/>
                <w:sz w:val="22"/>
                <w:szCs w:val="22"/>
              </w:rPr>
            </w:pPr>
            <w:r>
              <w:rPr>
                <w:rFonts w:eastAsia="等线"/>
                <w:color w:val="000000"/>
                <w:kern w:val="0"/>
                <w:sz w:val="22"/>
                <w:szCs w:val="22"/>
              </w:rPr>
              <w:t>Crustacean-</w:t>
            </w:r>
            <w:r>
              <w:rPr>
                <w:rFonts w:hint="eastAsia" w:eastAsia="等线"/>
                <w:color w:val="000000"/>
                <w:kern w:val="0"/>
                <w:sz w:val="22"/>
                <w:szCs w:val="22"/>
              </w:rPr>
              <w:t xml:space="preserve"> Artemiasalina</w:t>
            </w:r>
          </w:p>
        </w:tc>
        <w:tc>
          <w:tcPr>
            <w:tcW w:w="1208" w:type="dxa"/>
            <w:tcBorders>
              <w:top w:val="nil"/>
              <w:left w:val="nil"/>
              <w:bottom w:val="nil"/>
              <w:right w:val="single" w:color="auto" w:sz="8" w:space="0"/>
            </w:tcBorders>
            <w:shd w:val="clear" w:color="auto" w:fill="auto"/>
            <w:vAlign w:val="center"/>
          </w:tcPr>
          <w:p>
            <w:pPr>
              <w:widowControl/>
              <w:rPr>
                <w:rFonts w:eastAsia="等线"/>
                <w:color w:val="000000"/>
                <w:kern w:val="0"/>
                <w:sz w:val="22"/>
                <w:szCs w:val="22"/>
              </w:rPr>
            </w:pPr>
            <w:r>
              <w:rPr>
                <w:rFonts w:eastAsia="等线"/>
                <w:color w:val="000000"/>
                <w:kern w:val="0"/>
                <w:sz w:val="22"/>
                <w:szCs w:val="22"/>
              </w:rPr>
              <w:t>48hours</w:t>
            </w:r>
          </w:p>
        </w:tc>
      </w:tr>
      <w:tr>
        <w:tblPrEx>
          <w:tblCellMar>
            <w:top w:w="0" w:type="dxa"/>
            <w:left w:w="108" w:type="dxa"/>
            <w:bottom w:w="0" w:type="dxa"/>
            <w:right w:w="108" w:type="dxa"/>
          </w:tblCellMar>
        </w:tblPrEx>
        <w:trPr>
          <w:trHeight w:val="315" w:hRule="atLeast"/>
        </w:trPr>
        <w:tc>
          <w:tcPr>
            <w:tcW w:w="1817" w:type="dxa"/>
            <w:vMerge w:val="continue"/>
            <w:tcBorders>
              <w:top w:val="nil"/>
              <w:left w:val="single" w:color="auto" w:sz="8" w:space="0"/>
              <w:bottom w:val="single" w:color="000000" w:sz="8" w:space="0"/>
              <w:right w:val="single" w:color="auto" w:sz="8" w:space="0"/>
            </w:tcBorders>
            <w:vAlign w:val="center"/>
          </w:tcPr>
          <w:p>
            <w:pPr>
              <w:widowControl/>
              <w:jc w:val="left"/>
              <w:rPr>
                <w:rFonts w:eastAsia="等线"/>
                <w:color w:val="000000"/>
                <w:kern w:val="0"/>
                <w:sz w:val="22"/>
                <w:szCs w:val="22"/>
              </w:rPr>
            </w:pPr>
          </w:p>
        </w:tc>
        <w:tc>
          <w:tcPr>
            <w:tcW w:w="3566" w:type="dxa"/>
            <w:tcBorders>
              <w:top w:val="nil"/>
              <w:left w:val="nil"/>
              <w:bottom w:val="single" w:color="auto" w:sz="8" w:space="0"/>
              <w:right w:val="single" w:color="auto" w:sz="8" w:space="0"/>
            </w:tcBorders>
            <w:shd w:val="clear" w:color="auto" w:fill="auto"/>
            <w:vAlign w:val="center"/>
          </w:tcPr>
          <w:p>
            <w:pPr>
              <w:widowControl/>
              <w:jc w:val="left"/>
              <w:rPr>
                <w:rFonts w:eastAsia="等线"/>
                <w:color w:val="000000"/>
                <w:kern w:val="0"/>
                <w:sz w:val="22"/>
                <w:szCs w:val="22"/>
              </w:rPr>
            </w:pPr>
            <w:r>
              <w:rPr>
                <w:rFonts w:eastAsia="等线"/>
                <w:color w:val="000000"/>
                <w:kern w:val="0"/>
                <w:sz w:val="22"/>
                <w:szCs w:val="22"/>
              </w:rPr>
              <w:t>Acute LC50 62000μg/L</w:t>
            </w:r>
          </w:p>
        </w:tc>
        <w:tc>
          <w:tcPr>
            <w:tcW w:w="3389" w:type="dxa"/>
            <w:tcBorders>
              <w:top w:val="nil"/>
              <w:left w:val="nil"/>
              <w:bottom w:val="single" w:color="auto" w:sz="8" w:space="0"/>
              <w:right w:val="single" w:color="auto" w:sz="8" w:space="0"/>
            </w:tcBorders>
            <w:shd w:val="clear" w:color="auto" w:fill="auto"/>
            <w:vAlign w:val="center"/>
          </w:tcPr>
          <w:p>
            <w:pPr>
              <w:widowControl/>
              <w:jc w:val="left"/>
              <w:rPr>
                <w:rFonts w:eastAsia="等线"/>
                <w:color w:val="000000"/>
                <w:kern w:val="0"/>
                <w:sz w:val="22"/>
                <w:szCs w:val="22"/>
              </w:rPr>
            </w:pPr>
            <w:r>
              <w:rPr>
                <w:rFonts w:eastAsia="等线"/>
                <w:color w:val="000000"/>
                <w:kern w:val="0"/>
                <w:sz w:val="22"/>
                <w:szCs w:val="22"/>
              </w:rPr>
              <w:t>Fish-</w:t>
            </w:r>
            <w:r>
              <w:rPr>
                <w:rFonts w:hint="eastAsia" w:eastAsia="等线"/>
                <w:color w:val="000000"/>
                <w:kern w:val="0"/>
                <w:sz w:val="22"/>
                <w:szCs w:val="22"/>
              </w:rPr>
              <w:t xml:space="preserve"> Daniorerio</w:t>
            </w:r>
          </w:p>
        </w:tc>
        <w:tc>
          <w:tcPr>
            <w:tcW w:w="1208" w:type="dxa"/>
            <w:tcBorders>
              <w:top w:val="nil"/>
              <w:left w:val="nil"/>
              <w:bottom w:val="single" w:color="auto" w:sz="8" w:space="0"/>
              <w:right w:val="single" w:color="auto" w:sz="8" w:space="0"/>
            </w:tcBorders>
            <w:shd w:val="clear" w:color="auto" w:fill="auto"/>
            <w:vAlign w:val="center"/>
          </w:tcPr>
          <w:p>
            <w:pPr>
              <w:widowControl/>
              <w:jc w:val="left"/>
              <w:rPr>
                <w:rFonts w:eastAsia="等线"/>
                <w:color w:val="000000"/>
                <w:kern w:val="0"/>
                <w:sz w:val="22"/>
                <w:szCs w:val="22"/>
              </w:rPr>
            </w:pPr>
            <w:r>
              <w:rPr>
                <w:rFonts w:eastAsia="等线"/>
                <w:color w:val="000000"/>
                <w:kern w:val="0"/>
                <w:sz w:val="22"/>
                <w:szCs w:val="22"/>
              </w:rPr>
              <w:t>96hours</w:t>
            </w:r>
          </w:p>
        </w:tc>
      </w:tr>
      <w:tr>
        <w:tblPrEx>
          <w:tblCellMar>
            <w:top w:w="0" w:type="dxa"/>
            <w:left w:w="108" w:type="dxa"/>
            <w:bottom w:w="0" w:type="dxa"/>
            <w:right w:w="108" w:type="dxa"/>
          </w:tblCellMar>
        </w:tblPrEx>
        <w:trPr>
          <w:trHeight w:val="300" w:hRule="atLeast"/>
        </w:trPr>
        <w:tc>
          <w:tcPr>
            <w:tcW w:w="1817" w:type="dxa"/>
            <w:vMerge w:val="restart"/>
            <w:tcBorders>
              <w:top w:val="nil"/>
              <w:left w:val="single" w:color="auto" w:sz="8" w:space="0"/>
              <w:bottom w:val="single" w:color="000000" w:sz="8" w:space="0"/>
              <w:right w:val="single" w:color="auto" w:sz="8" w:space="0"/>
            </w:tcBorders>
            <w:shd w:val="clear" w:color="auto" w:fill="auto"/>
            <w:vAlign w:val="center"/>
          </w:tcPr>
          <w:p>
            <w:pPr>
              <w:widowControl/>
              <w:rPr>
                <w:rFonts w:eastAsia="等线"/>
                <w:color w:val="000000"/>
                <w:kern w:val="0"/>
                <w:sz w:val="22"/>
                <w:szCs w:val="22"/>
              </w:rPr>
            </w:pPr>
            <w:r>
              <w:rPr>
                <w:rFonts w:eastAsia="等线"/>
                <w:color w:val="000000"/>
                <w:kern w:val="0"/>
                <w:sz w:val="22"/>
                <w:szCs w:val="22"/>
              </w:rPr>
              <w:t>Xylene</w:t>
            </w:r>
          </w:p>
        </w:tc>
        <w:tc>
          <w:tcPr>
            <w:tcW w:w="3566" w:type="dxa"/>
            <w:tcBorders>
              <w:top w:val="nil"/>
              <w:left w:val="nil"/>
              <w:bottom w:val="nil"/>
              <w:right w:val="single" w:color="auto" w:sz="8" w:space="0"/>
            </w:tcBorders>
            <w:shd w:val="clear" w:color="auto" w:fill="auto"/>
            <w:vAlign w:val="center"/>
          </w:tcPr>
          <w:p>
            <w:pPr>
              <w:widowControl/>
              <w:jc w:val="left"/>
              <w:rPr>
                <w:rFonts w:eastAsia="等线"/>
                <w:color w:val="000000"/>
                <w:kern w:val="0"/>
                <w:sz w:val="22"/>
                <w:szCs w:val="22"/>
              </w:rPr>
            </w:pPr>
            <w:r>
              <w:rPr>
                <w:rFonts w:eastAsia="等线"/>
                <w:color w:val="000000"/>
                <w:kern w:val="0"/>
                <w:sz w:val="22"/>
                <w:szCs w:val="22"/>
              </w:rPr>
              <w:t>Acute LC50 8500μg/L seawater</w:t>
            </w:r>
          </w:p>
        </w:tc>
        <w:tc>
          <w:tcPr>
            <w:tcW w:w="3389" w:type="dxa"/>
            <w:tcBorders>
              <w:top w:val="nil"/>
              <w:left w:val="nil"/>
              <w:bottom w:val="nil"/>
              <w:right w:val="single" w:color="auto" w:sz="8" w:space="0"/>
            </w:tcBorders>
            <w:shd w:val="clear" w:color="auto" w:fill="auto"/>
            <w:vAlign w:val="center"/>
          </w:tcPr>
          <w:p>
            <w:pPr>
              <w:widowControl/>
              <w:jc w:val="left"/>
              <w:rPr>
                <w:rFonts w:eastAsia="等线"/>
                <w:color w:val="000000"/>
                <w:kern w:val="0"/>
                <w:sz w:val="22"/>
                <w:szCs w:val="22"/>
              </w:rPr>
            </w:pPr>
            <w:r>
              <w:rPr>
                <w:rFonts w:eastAsia="等线"/>
                <w:color w:val="000000"/>
                <w:kern w:val="0"/>
                <w:sz w:val="22"/>
                <w:szCs w:val="22"/>
              </w:rPr>
              <w:t>Crustacean-</w:t>
            </w:r>
            <w:r>
              <w:rPr>
                <w:rFonts w:hint="eastAsia" w:eastAsia="等线"/>
                <w:color w:val="000000"/>
                <w:kern w:val="0"/>
                <w:sz w:val="22"/>
                <w:szCs w:val="22"/>
              </w:rPr>
              <w:t xml:space="preserve"> Palaemonetespugio</w:t>
            </w:r>
          </w:p>
        </w:tc>
        <w:tc>
          <w:tcPr>
            <w:tcW w:w="1208" w:type="dxa"/>
            <w:tcBorders>
              <w:top w:val="nil"/>
              <w:left w:val="nil"/>
              <w:bottom w:val="nil"/>
              <w:right w:val="single" w:color="auto" w:sz="8" w:space="0"/>
            </w:tcBorders>
            <w:shd w:val="clear" w:color="auto" w:fill="auto"/>
            <w:vAlign w:val="center"/>
          </w:tcPr>
          <w:p>
            <w:pPr>
              <w:widowControl/>
              <w:rPr>
                <w:rFonts w:eastAsia="等线"/>
                <w:color w:val="000000"/>
                <w:kern w:val="0"/>
                <w:sz w:val="22"/>
                <w:szCs w:val="22"/>
              </w:rPr>
            </w:pPr>
            <w:r>
              <w:rPr>
                <w:rFonts w:eastAsia="等线"/>
                <w:color w:val="000000"/>
                <w:kern w:val="0"/>
                <w:sz w:val="22"/>
                <w:szCs w:val="22"/>
              </w:rPr>
              <w:t>48hours</w:t>
            </w:r>
          </w:p>
        </w:tc>
      </w:tr>
      <w:tr>
        <w:tblPrEx>
          <w:tblCellMar>
            <w:top w:w="0" w:type="dxa"/>
            <w:left w:w="108" w:type="dxa"/>
            <w:bottom w:w="0" w:type="dxa"/>
            <w:right w:w="108" w:type="dxa"/>
          </w:tblCellMar>
        </w:tblPrEx>
        <w:trPr>
          <w:trHeight w:val="315" w:hRule="atLeast"/>
        </w:trPr>
        <w:tc>
          <w:tcPr>
            <w:tcW w:w="1817" w:type="dxa"/>
            <w:vMerge w:val="continue"/>
            <w:tcBorders>
              <w:top w:val="nil"/>
              <w:left w:val="single" w:color="auto" w:sz="8" w:space="0"/>
              <w:bottom w:val="single" w:color="000000" w:sz="8" w:space="0"/>
              <w:right w:val="single" w:color="auto" w:sz="8" w:space="0"/>
            </w:tcBorders>
            <w:vAlign w:val="center"/>
          </w:tcPr>
          <w:p>
            <w:pPr>
              <w:widowControl/>
              <w:jc w:val="left"/>
              <w:rPr>
                <w:rFonts w:eastAsia="等线"/>
                <w:color w:val="000000"/>
                <w:kern w:val="0"/>
                <w:sz w:val="22"/>
                <w:szCs w:val="22"/>
              </w:rPr>
            </w:pPr>
          </w:p>
        </w:tc>
        <w:tc>
          <w:tcPr>
            <w:tcW w:w="3566" w:type="dxa"/>
            <w:tcBorders>
              <w:top w:val="nil"/>
              <w:left w:val="nil"/>
              <w:bottom w:val="single" w:color="auto" w:sz="8" w:space="0"/>
              <w:right w:val="single" w:color="auto" w:sz="8" w:space="0"/>
            </w:tcBorders>
            <w:shd w:val="clear" w:color="auto" w:fill="auto"/>
            <w:vAlign w:val="center"/>
          </w:tcPr>
          <w:p>
            <w:pPr>
              <w:widowControl/>
              <w:jc w:val="left"/>
              <w:rPr>
                <w:rFonts w:eastAsia="等线"/>
                <w:color w:val="000000"/>
                <w:kern w:val="0"/>
                <w:sz w:val="22"/>
                <w:szCs w:val="22"/>
              </w:rPr>
            </w:pPr>
            <w:r>
              <w:rPr>
                <w:rFonts w:eastAsia="等线"/>
                <w:color w:val="000000"/>
                <w:kern w:val="0"/>
                <w:sz w:val="22"/>
                <w:szCs w:val="22"/>
              </w:rPr>
              <w:t>Acute LC50 13400μg/L freshwater</w:t>
            </w:r>
          </w:p>
        </w:tc>
        <w:tc>
          <w:tcPr>
            <w:tcW w:w="3389" w:type="dxa"/>
            <w:tcBorders>
              <w:top w:val="nil"/>
              <w:left w:val="nil"/>
              <w:bottom w:val="single" w:color="auto" w:sz="8" w:space="0"/>
              <w:right w:val="single" w:color="auto" w:sz="8" w:space="0"/>
            </w:tcBorders>
            <w:shd w:val="clear" w:color="auto" w:fill="auto"/>
            <w:vAlign w:val="center"/>
          </w:tcPr>
          <w:p>
            <w:pPr>
              <w:widowControl/>
              <w:jc w:val="left"/>
              <w:rPr>
                <w:rFonts w:eastAsia="等线"/>
                <w:color w:val="000000"/>
                <w:kern w:val="0"/>
                <w:sz w:val="22"/>
                <w:szCs w:val="22"/>
              </w:rPr>
            </w:pPr>
            <w:r>
              <w:rPr>
                <w:rFonts w:eastAsia="等线"/>
                <w:color w:val="000000"/>
                <w:kern w:val="0"/>
                <w:sz w:val="22"/>
                <w:szCs w:val="22"/>
              </w:rPr>
              <w:t>Fish-</w:t>
            </w:r>
            <w:r>
              <w:rPr>
                <w:rFonts w:hint="eastAsia" w:eastAsia="等线"/>
                <w:color w:val="000000"/>
                <w:kern w:val="0"/>
                <w:sz w:val="22"/>
                <w:szCs w:val="22"/>
              </w:rPr>
              <w:t xml:space="preserve"> Pimephalespromelas</w:t>
            </w:r>
          </w:p>
        </w:tc>
        <w:tc>
          <w:tcPr>
            <w:tcW w:w="1208" w:type="dxa"/>
            <w:tcBorders>
              <w:top w:val="nil"/>
              <w:left w:val="nil"/>
              <w:bottom w:val="single" w:color="auto" w:sz="8" w:space="0"/>
              <w:right w:val="single" w:color="auto" w:sz="8" w:space="0"/>
            </w:tcBorders>
            <w:shd w:val="clear" w:color="auto" w:fill="auto"/>
            <w:vAlign w:val="center"/>
          </w:tcPr>
          <w:p>
            <w:pPr>
              <w:widowControl/>
              <w:rPr>
                <w:rFonts w:eastAsia="等线"/>
                <w:color w:val="000000"/>
                <w:kern w:val="0"/>
                <w:sz w:val="22"/>
                <w:szCs w:val="22"/>
              </w:rPr>
            </w:pPr>
            <w:r>
              <w:rPr>
                <w:rFonts w:eastAsia="等线"/>
                <w:color w:val="000000"/>
                <w:kern w:val="0"/>
                <w:sz w:val="22"/>
                <w:szCs w:val="22"/>
              </w:rPr>
              <w:t>96hours</w:t>
            </w:r>
          </w:p>
        </w:tc>
      </w:tr>
      <w:tr>
        <w:tblPrEx>
          <w:tblCellMar>
            <w:top w:w="0" w:type="dxa"/>
            <w:left w:w="108" w:type="dxa"/>
            <w:bottom w:w="0" w:type="dxa"/>
            <w:right w:w="108" w:type="dxa"/>
          </w:tblCellMar>
        </w:tblPrEx>
        <w:trPr>
          <w:trHeight w:val="300" w:hRule="atLeast"/>
        </w:trPr>
        <w:tc>
          <w:tcPr>
            <w:tcW w:w="1817"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left"/>
              <w:rPr>
                <w:rFonts w:eastAsia="等线"/>
                <w:color w:val="000000"/>
                <w:kern w:val="0"/>
                <w:sz w:val="22"/>
                <w:szCs w:val="22"/>
              </w:rPr>
            </w:pPr>
            <w:r>
              <w:rPr>
                <w:rFonts w:eastAsia="等线"/>
                <w:color w:val="000000"/>
                <w:kern w:val="0"/>
                <w:sz w:val="22"/>
                <w:szCs w:val="22"/>
              </w:rPr>
              <w:t>n-Butyl alcohol</w:t>
            </w:r>
          </w:p>
        </w:tc>
        <w:tc>
          <w:tcPr>
            <w:tcW w:w="3566" w:type="dxa"/>
            <w:tcBorders>
              <w:top w:val="nil"/>
              <w:left w:val="nil"/>
              <w:bottom w:val="nil"/>
              <w:right w:val="single" w:color="auto" w:sz="8" w:space="0"/>
            </w:tcBorders>
            <w:shd w:val="clear" w:color="auto" w:fill="auto"/>
            <w:vAlign w:val="center"/>
          </w:tcPr>
          <w:p>
            <w:pPr>
              <w:widowControl/>
              <w:jc w:val="left"/>
              <w:rPr>
                <w:rFonts w:eastAsia="等线"/>
                <w:color w:val="000000"/>
                <w:kern w:val="0"/>
                <w:sz w:val="22"/>
                <w:szCs w:val="22"/>
              </w:rPr>
            </w:pPr>
            <w:r>
              <w:rPr>
                <w:rFonts w:eastAsia="等线"/>
                <w:color w:val="000000"/>
                <w:kern w:val="0"/>
                <w:sz w:val="22"/>
                <w:szCs w:val="22"/>
              </w:rPr>
              <w:t>Acute EC50 1328mg/L</w:t>
            </w:r>
          </w:p>
        </w:tc>
        <w:tc>
          <w:tcPr>
            <w:tcW w:w="3389" w:type="dxa"/>
            <w:tcBorders>
              <w:top w:val="nil"/>
              <w:left w:val="nil"/>
              <w:bottom w:val="nil"/>
              <w:right w:val="single" w:color="auto" w:sz="8" w:space="0"/>
            </w:tcBorders>
            <w:shd w:val="clear" w:color="auto" w:fill="auto"/>
            <w:vAlign w:val="center"/>
          </w:tcPr>
          <w:p>
            <w:pPr>
              <w:widowControl/>
              <w:jc w:val="left"/>
              <w:rPr>
                <w:rFonts w:eastAsia="等线"/>
                <w:color w:val="000000"/>
                <w:kern w:val="0"/>
                <w:sz w:val="22"/>
                <w:szCs w:val="22"/>
              </w:rPr>
            </w:pPr>
            <w:r>
              <w:rPr>
                <w:rFonts w:eastAsia="等线"/>
                <w:color w:val="000000"/>
                <w:kern w:val="0"/>
                <w:sz w:val="22"/>
                <w:szCs w:val="22"/>
              </w:rPr>
              <w:t>Daphnia -Daphnia magna</w:t>
            </w:r>
          </w:p>
        </w:tc>
        <w:tc>
          <w:tcPr>
            <w:tcW w:w="1208" w:type="dxa"/>
            <w:tcBorders>
              <w:top w:val="nil"/>
              <w:left w:val="nil"/>
              <w:bottom w:val="nil"/>
              <w:right w:val="single" w:color="auto" w:sz="8" w:space="0"/>
            </w:tcBorders>
            <w:shd w:val="clear" w:color="auto" w:fill="auto"/>
            <w:vAlign w:val="center"/>
          </w:tcPr>
          <w:p>
            <w:pPr>
              <w:widowControl/>
              <w:rPr>
                <w:rFonts w:eastAsia="等线"/>
                <w:color w:val="000000"/>
                <w:kern w:val="0"/>
                <w:sz w:val="22"/>
                <w:szCs w:val="22"/>
              </w:rPr>
            </w:pPr>
            <w:r>
              <w:rPr>
                <w:rFonts w:eastAsia="等线"/>
                <w:color w:val="000000"/>
                <w:kern w:val="0"/>
                <w:sz w:val="22"/>
                <w:szCs w:val="22"/>
              </w:rPr>
              <w:t>48hours</w:t>
            </w:r>
          </w:p>
        </w:tc>
      </w:tr>
      <w:tr>
        <w:tblPrEx>
          <w:tblCellMar>
            <w:top w:w="0" w:type="dxa"/>
            <w:left w:w="108" w:type="dxa"/>
            <w:bottom w:w="0" w:type="dxa"/>
            <w:right w:w="108" w:type="dxa"/>
          </w:tblCellMar>
        </w:tblPrEx>
        <w:trPr>
          <w:trHeight w:val="300" w:hRule="atLeast"/>
        </w:trPr>
        <w:tc>
          <w:tcPr>
            <w:tcW w:w="1817" w:type="dxa"/>
            <w:vMerge w:val="continue"/>
            <w:tcBorders>
              <w:top w:val="nil"/>
              <w:left w:val="single" w:color="auto" w:sz="8" w:space="0"/>
              <w:bottom w:val="single" w:color="000000" w:sz="8" w:space="0"/>
              <w:right w:val="single" w:color="auto" w:sz="8" w:space="0"/>
            </w:tcBorders>
            <w:vAlign w:val="center"/>
          </w:tcPr>
          <w:p>
            <w:pPr>
              <w:widowControl/>
              <w:jc w:val="left"/>
              <w:rPr>
                <w:rFonts w:eastAsia="等线"/>
                <w:color w:val="000000"/>
                <w:kern w:val="0"/>
                <w:sz w:val="22"/>
                <w:szCs w:val="22"/>
              </w:rPr>
            </w:pPr>
          </w:p>
        </w:tc>
        <w:tc>
          <w:tcPr>
            <w:tcW w:w="3566" w:type="dxa"/>
            <w:tcBorders>
              <w:top w:val="nil"/>
              <w:left w:val="nil"/>
              <w:bottom w:val="nil"/>
              <w:right w:val="single" w:color="auto" w:sz="8" w:space="0"/>
            </w:tcBorders>
            <w:shd w:val="clear" w:color="auto" w:fill="auto"/>
            <w:vAlign w:val="center"/>
          </w:tcPr>
          <w:p>
            <w:pPr>
              <w:widowControl/>
              <w:jc w:val="left"/>
              <w:rPr>
                <w:rFonts w:eastAsia="等线"/>
                <w:color w:val="000000"/>
                <w:kern w:val="0"/>
                <w:sz w:val="22"/>
                <w:szCs w:val="22"/>
              </w:rPr>
            </w:pPr>
            <w:r>
              <w:rPr>
                <w:rFonts w:eastAsia="等线"/>
                <w:color w:val="000000"/>
                <w:kern w:val="0"/>
                <w:sz w:val="22"/>
                <w:szCs w:val="22"/>
              </w:rPr>
              <w:t>Acute LC50 1376mg/L freshwater</w:t>
            </w:r>
          </w:p>
        </w:tc>
        <w:tc>
          <w:tcPr>
            <w:tcW w:w="3389" w:type="dxa"/>
            <w:tcBorders>
              <w:top w:val="nil"/>
              <w:left w:val="nil"/>
              <w:bottom w:val="nil"/>
              <w:right w:val="single" w:color="auto" w:sz="8" w:space="0"/>
            </w:tcBorders>
            <w:shd w:val="clear" w:color="auto" w:fill="auto"/>
            <w:vAlign w:val="center"/>
          </w:tcPr>
          <w:p>
            <w:pPr>
              <w:widowControl/>
              <w:jc w:val="left"/>
              <w:rPr>
                <w:rFonts w:eastAsia="等线"/>
                <w:color w:val="000000"/>
                <w:kern w:val="0"/>
                <w:sz w:val="22"/>
                <w:szCs w:val="22"/>
              </w:rPr>
            </w:pPr>
            <w:r>
              <w:rPr>
                <w:rFonts w:eastAsia="等线"/>
                <w:color w:val="000000"/>
                <w:kern w:val="0"/>
                <w:sz w:val="22"/>
                <w:szCs w:val="22"/>
              </w:rPr>
              <w:t>Fish-Pimephalespromelas</w:t>
            </w:r>
          </w:p>
        </w:tc>
        <w:tc>
          <w:tcPr>
            <w:tcW w:w="1208" w:type="dxa"/>
            <w:tcBorders>
              <w:top w:val="nil"/>
              <w:left w:val="nil"/>
              <w:bottom w:val="nil"/>
              <w:right w:val="single" w:color="auto" w:sz="8" w:space="0"/>
            </w:tcBorders>
            <w:shd w:val="clear" w:color="auto" w:fill="auto"/>
            <w:vAlign w:val="center"/>
          </w:tcPr>
          <w:p>
            <w:pPr>
              <w:widowControl/>
              <w:rPr>
                <w:rFonts w:eastAsia="等线"/>
                <w:color w:val="000000"/>
                <w:kern w:val="0"/>
                <w:sz w:val="22"/>
                <w:szCs w:val="22"/>
              </w:rPr>
            </w:pPr>
            <w:r>
              <w:rPr>
                <w:rFonts w:eastAsia="等线"/>
                <w:color w:val="000000"/>
                <w:kern w:val="0"/>
                <w:sz w:val="22"/>
                <w:szCs w:val="22"/>
              </w:rPr>
              <w:t>96hours</w:t>
            </w:r>
          </w:p>
        </w:tc>
      </w:tr>
      <w:tr>
        <w:tblPrEx>
          <w:tblCellMar>
            <w:top w:w="0" w:type="dxa"/>
            <w:left w:w="108" w:type="dxa"/>
            <w:bottom w:w="0" w:type="dxa"/>
            <w:right w:w="108" w:type="dxa"/>
          </w:tblCellMar>
        </w:tblPrEx>
        <w:trPr>
          <w:trHeight w:val="315" w:hRule="atLeast"/>
        </w:trPr>
        <w:tc>
          <w:tcPr>
            <w:tcW w:w="1817" w:type="dxa"/>
            <w:vMerge w:val="continue"/>
            <w:tcBorders>
              <w:top w:val="nil"/>
              <w:left w:val="single" w:color="auto" w:sz="8" w:space="0"/>
              <w:bottom w:val="single" w:color="000000" w:sz="8" w:space="0"/>
              <w:right w:val="single" w:color="auto" w:sz="8" w:space="0"/>
            </w:tcBorders>
            <w:vAlign w:val="center"/>
          </w:tcPr>
          <w:p>
            <w:pPr>
              <w:widowControl/>
              <w:jc w:val="left"/>
              <w:rPr>
                <w:rFonts w:eastAsia="等线"/>
                <w:color w:val="000000"/>
                <w:kern w:val="0"/>
                <w:sz w:val="22"/>
                <w:szCs w:val="22"/>
              </w:rPr>
            </w:pPr>
          </w:p>
        </w:tc>
        <w:tc>
          <w:tcPr>
            <w:tcW w:w="3566" w:type="dxa"/>
            <w:tcBorders>
              <w:top w:val="nil"/>
              <w:left w:val="nil"/>
              <w:bottom w:val="single" w:color="auto" w:sz="8" w:space="0"/>
              <w:right w:val="single" w:color="auto" w:sz="8" w:space="0"/>
            </w:tcBorders>
            <w:shd w:val="clear" w:color="auto" w:fill="auto"/>
            <w:vAlign w:val="center"/>
          </w:tcPr>
          <w:p>
            <w:pPr>
              <w:widowControl/>
              <w:jc w:val="left"/>
              <w:rPr>
                <w:rFonts w:eastAsia="等线"/>
                <w:color w:val="000000"/>
                <w:kern w:val="0"/>
                <w:sz w:val="22"/>
                <w:szCs w:val="22"/>
              </w:rPr>
            </w:pPr>
            <w:r>
              <w:rPr>
                <w:rFonts w:eastAsia="等线"/>
                <w:color w:val="000000"/>
                <w:kern w:val="0"/>
                <w:sz w:val="22"/>
                <w:szCs w:val="22"/>
              </w:rPr>
              <w:t>Chronic NOEC 4100μg/L freshwater</w:t>
            </w:r>
          </w:p>
        </w:tc>
        <w:tc>
          <w:tcPr>
            <w:tcW w:w="3389" w:type="dxa"/>
            <w:tcBorders>
              <w:top w:val="nil"/>
              <w:left w:val="nil"/>
              <w:bottom w:val="single" w:color="auto" w:sz="8" w:space="0"/>
              <w:right w:val="single" w:color="auto" w:sz="8" w:space="0"/>
            </w:tcBorders>
            <w:shd w:val="clear" w:color="auto" w:fill="auto"/>
            <w:vAlign w:val="center"/>
          </w:tcPr>
          <w:p>
            <w:pPr>
              <w:widowControl/>
              <w:jc w:val="left"/>
              <w:rPr>
                <w:rFonts w:eastAsia="等线"/>
                <w:color w:val="000000"/>
                <w:kern w:val="0"/>
                <w:sz w:val="22"/>
                <w:szCs w:val="22"/>
              </w:rPr>
            </w:pPr>
            <w:r>
              <w:rPr>
                <w:rFonts w:eastAsia="等线"/>
                <w:color w:val="000000"/>
                <w:kern w:val="0"/>
                <w:sz w:val="22"/>
                <w:szCs w:val="22"/>
              </w:rPr>
              <w:t>Daphnia -Daphnia magna</w:t>
            </w:r>
          </w:p>
        </w:tc>
        <w:tc>
          <w:tcPr>
            <w:tcW w:w="1208" w:type="dxa"/>
            <w:tcBorders>
              <w:top w:val="nil"/>
              <w:left w:val="nil"/>
              <w:bottom w:val="single" w:color="auto" w:sz="8" w:space="0"/>
              <w:right w:val="single" w:color="auto" w:sz="8" w:space="0"/>
            </w:tcBorders>
            <w:shd w:val="clear" w:color="auto" w:fill="auto"/>
            <w:vAlign w:val="center"/>
          </w:tcPr>
          <w:p>
            <w:pPr>
              <w:widowControl/>
              <w:rPr>
                <w:rFonts w:eastAsia="等线"/>
                <w:color w:val="000000"/>
                <w:kern w:val="0"/>
                <w:sz w:val="22"/>
                <w:szCs w:val="22"/>
              </w:rPr>
            </w:pPr>
            <w:r>
              <w:rPr>
                <w:rFonts w:eastAsia="等线"/>
                <w:color w:val="000000"/>
                <w:kern w:val="0"/>
                <w:sz w:val="22"/>
                <w:szCs w:val="22"/>
              </w:rPr>
              <w:t>21days</w:t>
            </w:r>
          </w:p>
        </w:tc>
      </w:tr>
      <w:tr>
        <w:tblPrEx>
          <w:tblCellMar>
            <w:top w:w="0" w:type="dxa"/>
            <w:left w:w="108" w:type="dxa"/>
            <w:bottom w:w="0" w:type="dxa"/>
            <w:right w:w="108" w:type="dxa"/>
          </w:tblCellMar>
        </w:tblPrEx>
        <w:trPr>
          <w:trHeight w:val="300" w:hRule="atLeast"/>
        </w:trPr>
        <w:tc>
          <w:tcPr>
            <w:tcW w:w="1817"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left"/>
              <w:rPr>
                <w:rFonts w:eastAsia="等线"/>
                <w:color w:val="000000"/>
                <w:kern w:val="0"/>
                <w:sz w:val="22"/>
                <w:szCs w:val="22"/>
              </w:rPr>
            </w:pPr>
            <w:r>
              <w:rPr>
                <w:rFonts w:eastAsia="等线"/>
                <w:color w:val="000000"/>
                <w:kern w:val="0"/>
                <w:sz w:val="22"/>
                <w:szCs w:val="22"/>
              </w:rPr>
              <w:t>Ethyl acetate</w:t>
            </w:r>
          </w:p>
        </w:tc>
        <w:tc>
          <w:tcPr>
            <w:tcW w:w="3566" w:type="dxa"/>
            <w:tcBorders>
              <w:top w:val="nil"/>
              <w:left w:val="nil"/>
              <w:bottom w:val="nil"/>
              <w:right w:val="single" w:color="auto" w:sz="8" w:space="0"/>
            </w:tcBorders>
            <w:shd w:val="clear" w:color="auto" w:fill="auto"/>
            <w:vAlign w:val="center"/>
          </w:tcPr>
          <w:p>
            <w:pPr>
              <w:widowControl/>
              <w:jc w:val="left"/>
              <w:rPr>
                <w:rFonts w:eastAsia="等线"/>
                <w:color w:val="000000"/>
                <w:kern w:val="0"/>
                <w:sz w:val="22"/>
                <w:szCs w:val="22"/>
              </w:rPr>
            </w:pPr>
            <w:r>
              <w:rPr>
                <w:rFonts w:eastAsia="等线"/>
                <w:color w:val="000000"/>
                <w:kern w:val="0"/>
                <w:sz w:val="22"/>
                <w:szCs w:val="22"/>
              </w:rPr>
              <w:t>Acute LC50 230mg/L freshwater</w:t>
            </w:r>
          </w:p>
        </w:tc>
        <w:tc>
          <w:tcPr>
            <w:tcW w:w="3389" w:type="dxa"/>
            <w:tcBorders>
              <w:top w:val="nil"/>
              <w:left w:val="nil"/>
              <w:bottom w:val="nil"/>
              <w:right w:val="single" w:color="auto" w:sz="8" w:space="0"/>
            </w:tcBorders>
            <w:shd w:val="clear" w:color="auto" w:fill="auto"/>
            <w:vAlign w:val="center"/>
          </w:tcPr>
          <w:p>
            <w:pPr>
              <w:widowControl/>
              <w:jc w:val="left"/>
              <w:rPr>
                <w:rFonts w:eastAsia="等线"/>
                <w:color w:val="000000"/>
                <w:kern w:val="0"/>
                <w:sz w:val="22"/>
                <w:szCs w:val="22"/>
              </w:rPr>
            </w:pPr>
            <w:r>
              <w:rPr>
                <w:rFonts w:eastAsia="等线"/>
                <w:color w:val="000000"/>
                <w:kern w:val="0"/>
                <w:sz w:val="22"/>
                <w:szCs w:val="22"/>
              </w:rPr>
              <w:t>Fish-Pimephalespromelas</w:t>
            </w:r>
          </w:p>
        </w:tc>
        <w:tc>
          <w:tcPr>
            <w:tcW w:w="1208" w:type="dxa"/>
            <w:tcBorders>
              <w:top w:val="nil"/>
              <w:left w:val="nil"/>
              <w:bottom w:val="nil"/>
              <w:right w:val="single" w:color="auto" w:sz="8" w:space="0"/>
            </w:tcBorders>
            <w:shd w:val="clear" w:color="auto" w:fill="auto"/>
            <w:vAlign w:val="center"/>
          </w:tcPr>
          <w:p>
            <w:pPr>
              <w:widowControl/>
              <w:rPr>
                <w:rFonts w:eastAsia="等线"/>
                <w:color w:val="000000"/>
                <w:kern w:val="0"/>
                <w:sz w:val="22"/>
                <w:szCs w:val="22"/>
              </w:rPr>
            </w:pPr>
            <w:r>
              <w:rPr>
                <w:rFonts w:eastAsia="等线"/>
                <w:color w:val="000000"/>
                <w:kern w:val="0"/>
                <w:sz w:val="22"/>
                <w:szCs w:val="22"/>
              </w:rPr>
              <w:t>96hours</w:t>
            </w:r>
          </w:p>
        </w:tc>
      </w:tr>
      <w:tr>
        <w:tblPrEx>
          <w:tblCellMar>
            <w:top w:w="0" w:type="dxa"/>
            <w:left w:w="108" w:type="dxa"/>
            <w:bottom w:w="0" w:type="dxa"/>
            <w:right w:w="108" w:type="dxa"/>
          </w:tblCellMar>
        </w:tblPrEx>
        <w:trPr>
          <w:trHeight w:val="315" w:hRule="atLeast"/>
        </w:trPr>
        <w:tc>
          <w:tcPr>
            <w:tcW w:w="1817" w:type="dxa"/>
            <w:vMerge w:val="continue"/>
            <w:tcBorders>
              <w:top w:val="nil"/>
              <w:left w:val="single" w:color="auto" w:sz="8" w:space="0"/>
              <w:bottom w:val="single" w:color="000000" w:sz="8" w:space="0"/>
              <w:right w:val="single" w:color="auto" w:sz="8" w:space="0"/>
            </w:tcBorders>
            <w:vAlign w:val="center"/>
          </w:tcPr>
          <w:p>
            <w:pPr>
              <w:widowControl/>
              <w:jc w:val="left"/>
              <w:rPr>
                <w:rFonts w:eastAsia="等线"/>
                <w:color w:val="000000"/>
                <w:kern w:val="0"/>
                <w:sz w:val="22"/>
                <w:szCs w:val="22"/>
              </w:rPr>
            </w:pPr>
          </w:p>
        </w:tc>
        <w:tc>
          <w:tcPr>
            <w:tcW w:w="3566" w:type="dxa"/>
            <w:tcBorders>
              <w:top w:val="nil"/>
              <w:left w:val="nil"/>
              <w:bottom w:val="single" w:color="auto" w:sz="8" w:space="0"/>
              <w:right w:val="single" w:color="auto" w:sz="8" w:space="0"/>
            </w:tcBorders>
            <w:shd w:val="clear" w:color="auto" w:fill="auto"/>
            <w:vAlign w:val="center"/>
          </w:tcPr>
          <w:p>
            <w:pPr>
              <w:widowControl/>
              <w:jc w:val="left"/>
              <w:rPr>
                <w:rFonts w:eastAsia="等线"/>
                <w:color w:val="000000"/>
                <w:kern w:val="0"/>
                <w:sz w:val="22"/>
                <w:szCs w:val="22"/>
              </w:rPr>
            </w:pPr>
            <w:r>
              <w:rPr>
                <w:rFonts w:eastAsia="等线"/>
                <w:color w:val="000000"/>
                <w:kern w:val="0"/>
                <w:sz w:val="22"/>
                <w:szCs w:val="22"/>
              </w:rPr>
              <w:t>Acute EC50 717mg/L freshwater</w:t>
            </w:r>
          </w:p>
        </w:tc>
        <w:tc>
          <w:tcPr>
            <w:tcW w:w="3389" w:type="dxa"/>
            <w:tcBorders>
              <w:top w:val="nil"/>
              <w:left w:val="nil"/>
              <w:bottom w:val="single" w:color="auto" w:sz="8" w:space="0"/>
              <w:right w:val="single" w:color="auto" w:sz="8" w:space="0"/>
            </w:tcBorders>
            <w:shd w:val="clear" w:color="auto" w:fill="auto"/>
            <w:vAlign w:val="center"/>
          </w:tcPr>
          <w:p>
            <w:pPr>
              <w:widowControl/>
              <w:jc w:val="left"/>
              <w:rPr>
                <w:rFonts w:eastAsia="等线"/>
                <w:color w:val="000000"/>
                <w:kern w:val="0"/>
                <w:sz w:val="22"/>
                <w:szCs w:val="22"/>
              </w:rPr>
            </w:pPr>
            <w:r>
              <w:rPr>
                <w:rFonts w:eastAsia="等线"/>
                <w:color w:val="000000"/>
                <w:kern w:val="0"/>
                <w:sz w:val="22"/>
                <w:szCs w:val="22"/>
              </w:rPr>
              <w:t>Daphnia -Daphnia magna</w:t>
            </w:r>
          </w:p>
        </w:tc>
        <w:tc>
          <w:tcPr>
            <w:tcW w:w="1208" w:type="dxa"/>
            <w:tcBorders>
              <w:top w:val="nil"/>
              <w:left w:val="nil"/>
              <w:bottom w:val="single" w:color="auto" w:sz="8" w:space="0"/>
              <w:right w:val="single" w:color="auto" w:sz="8" w:space="0"/>
            </w:tcBorders>
            <w:shd w:val="clear" w:color="auto" w:fill="auto"/>
            <w:vAlign w:val="center"/>
          </w:tcPr>
          <w:p>
            <w:pPr>
              <w:widowControl/>
              <w:rPr>
                <w:rFonts w:eastAsia="等线"/>
                <w:color w:val="000000"/>
                <w:kern w:val="0"/>
                <w:sz w:val="22"/>
                <w:szCs w:val="22"/>
              </w:rPr>
            </w:pPr>
            <w:r>
              <w:rPr>
                <w:rFonts w:eastAsia="等线"/>
                <w:color w:val="000000"/>
                <w:kern w:val="0"/>
                <w:sz w:val="22"/>
                <w:szCs w:val="22"/>
              </w:rPr>
              <w:t>48hours</w:t>
            </w:r>
          </w:p>
        </w:tc>
      </w:tr>
      <w:tr>
        <w:tblPrEx>
          <w:tblCellMar>
            <w:top w:w="0" w:type="dxa"/>
            <w:left w:w="108" w:type="dxa"/>
            <w:bottom w:w="0" w:type="dxa"/>
            <w:right w:w="108" w:type="dxa"/>
          </w:tblCellMar>
        </w:tblPrEx>
        <w:trPr>
          <w:trHeight w:val="300" w:hRule="atLeast"/>
        </w:trPr>
        <w:tc>
          <w:tcPr>
            <w:tcW w:w="1817"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eastAsia="等线"/>
                <w:color w:val="000000"/>
                <w:kern w:val="0"/>
                <w:sz w:val="22"/>
                <w:szCs w:val="22"/>
              </w:rPr>
            </w:pPr>
            <w:r>
              <w:rPr>
                <w:rFonts w:eastAsia="等线"/>
                <w:color w:val="000000"/>
                <w:kern w:val="0"/>
                <w:sz w:val="22"/>
                <w:szCs w:val="22"/>
              </w:rPr>
              <w:t>Trimethylbenzene</w:t>
            </w:r>
          </w:p>
        </w:tc>
        <w:tc>
          <w:tcPr>
            <w:tcW w:w="3566" w:type="dxa"/>
            <w:tcBorders>
              <w:top w:val="nil"/>
              <w:left w:val="nil"/>
              <w:bottom w:val="nil"/>
              <w:right w:val="single" w:color="auto" w:sz="8" w:space="0"/>
            </w:tcBorders>
            <w:shd w:val="clear" w:color="auto" w:fill="auto"/>
            <w:vAlign w:val="center"/>
          </w:tcPr>
          <w:p>
            <w:pPr>
              <w:widowControl/>
              <w:jc w:val="left"/>
              <w:rPr>
                <w:rFonts w:eastAsia="等线"/>
                <w:color w:val="000000"/>
                <w:kern w:val="0"/>
                <w:sz w:val="22"/>
                <w:szCs w:val="22"/>
              </w:rPr>
            </w:pPr>
            <w:r>
              <w:rPr>
                <w:rFonts w:eastAsia="等线"/>
                <w:color w:val="000000"/>
                <w:kern w:val="0"/>
                <w:sz w:val="22"/>
                <w:szCs w:val="22"/>
              </w:rPr>
              <w:t xml:space="preserve">Acute LC50 13000μg/L </w:t>
            </w:r>
            <w:r>
              <w:rPr>
                <w:rFonts w:hint="eastAsia" w:eastAsia="等线"/>
                <w:color w:val="000000"/>
                <w:kern w:val="0"/>
                <w:sz w:val="22"/>
                <w:szCs w:val="22"/>
              </w:rPr>
              <w:t>sea</w:t>
            </w:r>
            <w:r>
              <w:rPr>
                <w:rFonts w:eastAsia="等线"/>
                <w:color w:val="000000"/>
                <w:kern w:val="0"/>
                <w:sz w:val="22"/>
                <w:szCs w:val="22"/>
              </w:rPr>
              <w:t>water</w:t>
            </w:r>
          </w:p>
        </w:tc>
        <w:tc>
          <w:tcPr>
            <w:tcW w:w="3389" w:type="dxa"/>
            <w:tcBorders>
              <w:top w:val="nil"/>
              <w:left w:val="nil"/>
              <w:bottom w:val="nil"/>
              <w:right w:val="single" w:color="auto" w:sz="8" w:space="0"/>
            </w:tcBorders>
            <w:shd w:val="clear" w:color="auto" w:fill="auto"/>
            <w:vAlign w:val="center"/>
          </w:tcPr>
          <w:p>
            <w:pPr>
              <w:widowControl/>
              <w:jc w:val="left"/>
              <w:rPr>
                <w:rFonts w:eastAsia="等线"/>
                <w:color w:val="000000"/>
                <w:kern w:val="0"/>
                <w:sz w:val="22"/>
                <w:szCs w:val="22"/>
              </w:rPr>
            </w:pPr>
            <w:r>
              <w:rPr>
                <w:rFonts w:eastAsia="等线"/>
                <w:color w:val="000000"/>
                <w:kern w:val="0"/>
                <w:sz w:val="22"/>
                <w:szCs w:val="22"/>
              </w:rPr>
              <w:t>Crustacean-</w:t>
            </w:r>
            <w:r>
              <w:rPr>
                <w:rFonts w:hint="eastAsia" w:eastAsia="等线"/>
                <w:color w:val="000000"/>
                <w:kern w:val="0"/>
                <w:sz w:val="22"/>
                <w:szCs w:val="22"/>
              </w:rPr>
              <w:t xml:space="preserve"> Cancer magister</w:t>
            </w:r>
          </w:p>
        </w:tc>
        <w:tc>
          <w:tcPr>
            <w:tcW w:w="1208" w:type="dxa"/>
            <w:tcBorders>
              <w:top w:val="nil"/>
              <w:left w:val="nil"/>
              <w:bottom w:val="nil"/>
              <w:right w:val="single" w:color="auto" w:sz="8" w:space="0"/>
            </w:tcBorders>
            <w:shd w:val="clear" w:color="auto" w:fill="auto"/>
            <w:vAlign w:val="center"/>
          </w:tcPr>
          <w:p>
            <w:pPr>
              <w:widowControl/>
              <w:jc w:val="left"/>
              <w:rPr>
                <w:rFonts w:eastAsia="等线"/>
                <w:color w:val="000000"/>
                <w:kern w:val="0"/>
                <w:sz w:val="22"/>
                <w:szCs w:val="22"/>
              </w:rPr>
            </w:pPr>
            <w:r>
              <w:rPr>
                <w:rFonts w:eastAsia="等线"/>
                <w:color w:val="000000"/>
                <w:kern w:val="0"/>
                <w:sz w:val="22"/>
                <w:szCs w:val="22"/>
              </w:rPr>
              <w:t>48hours</w:t>
            </w:r>
          </w:p>
        </w:tc>
      </w:tr>
      <w:tr>
        <w:tblPrEx>
          <w:tblCellMar>
            <w:top w:w="0" w:type="dxa"/>
            <w:left w:w="108" w:type="dxa"/>
            <w:bottom w:w="0" w:type="dxa"/>
            <w:right w:w="108" w:type="dxa"/>
          </w:tblCellMar>
        </w:tblPrEx>
        <w:trPr>
          <w:trHeight w:val="375" w:hRule="atLeast"/>
        </w:trPr>
        <w:tc>
          <w:tcPr>
            <w:tcW w:w="1817" w:type="dxa"/>
            <w:vMerge w:val="continue"/>
            <w:tcBorders>
              <w:top w:val="nil"/>
              <w:left w:val="single" w:color="auto" w:sz="8" w:space="0"/>
              <w:bottom w:val="single" w:color="000000" w:sz="8" w:space="0"/>
              <w:right w:val="single" w:color="auto" w:sz="8" w:space="0"/>
            </w:tcBorders>
            <w:vAlign w:val="center"/>
          </w:tcPr>
          <w:p>
            <w:pPr>
              <w:widowControl/>
              <w:jc w:val="left"/>
              <w:rPr>
                <w:rFonts w:eastAsia="等线"/>
                <w:color w:val="000000"/>
                <w:kern w:val="0"/>
                <w:sz w:val="22"/>
                <w:szCs w:val="22"/>
              </w:rPr>
            </w:pPr>
          </w:p>
        </w:tc>
        <w:tc>
          <w:tcPr>
            <w:tcW w:w="3566" w:type="dxa"/>
            <w:tcBorders>
              <w:top w:val="nil"/>
              <w:left w:val="nil"/>
              <w:bottom w:val="nil"/>
              <w:right w:val="single" w:color="auto" w:sz="8" w:space="0"/>
            </w:tcBorders>
            <w:shd w:val="clear" w:color="auto" w:fill="auto"/>
            <w:vAlign w:val="center"/>
          </w:tcPr>
          <w:p>
            <w:pPr>
              <w:widowControl/>
              <w:jc w:val="left"/>
              <w:rPr>
                <w:rFonts w:eastAsia="等线"/>
                <w:color w:val="000000"/>
                <w:kern w:val="0"/>
                <w:sz w:val="22"/>
                <w:szCs w:val="22"/>
              </w:rPr>
            </w:pPr>
            <w:r>
              <w:rPr>
                <w:rFonts w:eastAsia="等线"/>
                <w:color w:val="000000"/>
                <w:kern w:val="0"/>
                <w:sz w:val="22"/>
                <w:szCs w:val="22"/>
              </w:rPr>
              <w:t>Acute LC50 12520-15050μg/L freshwater</w:t>
            </w:r>
          </w:p>
        </w:tc>
        <w:tc>
          <w:tcPr>
            <w:tcW w:w="3389" w:type="dxa"/>
            <w:tcBorders>
              <w:top w:val="nil"/>
              <w:left w:val="nil"/>
              <w:bottom w:val="nil"/>
              <w:right w:val="single" w:color="auto" w:sz="8" w:space="0"/>
            </w:tcBorders>
            <w:shd w:val="clear" w:color="auto" w:fill="auto"/>
            <w:vAlign w:val="center"/>
          </w:tcPr>
          <w:p>
            <w:pPr>
              <w:widowControl/>
              <w:jc w:val="left"/>
              <w:rPr>
                <w:rFonts w:eastAsia="等线"/>
                <w:color w:val="000000"/>
                <w:kern w:val="0"/>
                <w:sz w:val="22"/>
                <w:szCs w:val="22"/>
              </w:rPr>
            </w:pPr>
            <w:r>
              <w:rPr>
                <w:rFonts w:eastAsia="等线"/>
                <w:color w:val="000000"/>
                <w:kern w:val="0"/>
                <w:sz w:val="22"/>
                <w:szCs w:val="22"/>
              </w:rPr>
              <w:t>Fish-</w:t>
            </w:r>
            <w:r>
              <w:rPr>
                <w:rFonts w:hint="eastAsia" w:eastAsia="等线"/>
                <w:color w:val="000000"/>
                <w:kern w:val="0"/>
                <w:sz w:val="22"/>
                <w:szCs w:val="22"/>
              </w:rPr>
              <w:t xml:space="preserve"> Carassiusauratus</w:t>
            </w:r>
          </w:p>
        </w:tc>
        <w:tc>
          <w:tcPr>
            <w:tcW w:w="1208" w:type="dxa"/>
            <w:tcBorders>
              <w:top w:val="nil"/>
              <w:left w:val="nil"/>
              <w:bottom w:val="nil"/>
              <w:right w:val="single" w:color="auto" w:sz="8" w:space="0"/>
            </w:tcBorders>
            <w:shd w:val="clear" w:color="auto" w:fill="auto"/>
            <w:vAlign w:val="center"/>
          </w:tcPr>
          <w:p>
            <w:pPr>
              <w:widowControl/>
              <w:jc w:val="left"/>
              <w:rPr>
                <w:rFonts w:eastAsia="等线"/>
                <w:color w:val="000000"/>
                <w:kern w:val="0"/>
                <w:sz w:val="22"/>
                <w:szCs w:val="22"/>
              </w:rPr>
            </w:pPr>
            <w:r>
              <w:rPr>
                <w:rFonts w:eastAsia="等线"/>
                <w:color w:val="000000"/>
                <w:kern w:val="0"/>
                <w:sz w:val="22"/>
                <w:szCs w:val="22"/>
              </w:rPr>
              <w:t>96hours</w:t>
            </w:r>
          </w:p>
        </w:tc>
      </w:tr>
      <w:tr>
        <w:tblPrEx>
          <w:tblCellMar>
            <w:top w:w="0" w:type="dxa"/>
            <w:left w:w="108" w:type="dxa"/>
            <w:bottom w:w="0" w:type="dxa"/>
            <w:right w:w="108" w:type="dxa"/>
          </w:tblCellMar>
        </w:tblPrEx>
        <w:trPr>
          <w:trHeight w:val="315" w:hRule="atLeast"/>
        </w:trPr>
        <w:tc>
          <w:tcPr>
            <w:tcW w:w="1817" w:type="dxa"/>
            <w:vMerge w:val="continue"/>
            <w:tcBorders>
              <w:top w:val="nil"/>
              <w:left w:val="single" w:color="auto" w:sz="8" w:space="0"/>
              <w:bottom w:val="single" w:color="000000" w:sz="8" w:space="0"/>
              <w:right w:val="single" w:color="auto" w:sz="8" w:space="0"/>
            </w:tcBorders>
            <w:vAlign w:val="center"/>
          </w:tcPr>
          <w:p>
            <w:pPr>
              <w:widowControl/>
              <w:jc w:val="left"/>
              <w:rPr>
                <w:rFonts w:eastAsia="等线"/>
                <w:color w:val="000000"/>
                <w:kern w:val="0"/>
                <w:sz w:val="22"/>
                <w:szCs w:val="22"/>
              </w:rPr>
            </w:pPr>
          </w:p>
        </w:tc>
        <w:tc>
          <w:tcPr>
            <w:tcW w:w="3566" w:type="dxa"/>
            <w:tcBorders>
              <w:top w:val="nil"/>
              <w:left w:val="nil"/>
              <w:bottom w:val="single" w:color="auto" w:sz="8" w:space="0"/>
              <w:right w:val="single" w:color="auto" w:sz="8" w:space="0"/>
            </w:tcBorders>
            <w:shd w:val="clear" w:color="auto" w:fill="auto"/>
            <w:vAlign w:val="center"/>
          </w:tcPr>
          <w:p>
            <w:pPr>
              <w:widowControl/>
              <w:jc w:val="left"/>
              <w:rPr>
                <w:rFonts w:eastAsia="等线"/>
                <w:color w:val="000000"/>
                <w:kern w:val="0"/>
                <w:sz w:val="22"/>
                <w:szCs w:val="22"/>
              </w:rPr>
            </w:pPr>
            <w:r>
              <w:rPr>
                <w:rFonts w:eastAsia="等线"/>
                <w:color w:val="000000"/>
                <w:kern w:val="0"/>
                <w:sz w:val="22"/>
                <w:szCs w:val="22"/>
              </w:rPr>
              <w:t>Chronic NOEC 400μg/L freshwater</w:t>
            </w:r>
          </w:p>
        </w:tc>
        <w:tc>
          <w:tcPr>
            <w:tcW w:w="3389" w:type="dxa"/>
            <w:tcBorders>
              <w:top w:val="nil"/>
              <w:left w:val="nil"/>
              <w:bottom w:val="single" w:color="auto" w:sz="8" w:space="0"/>
              <w:right w:val="single" w:color="auto" w:sz="8" w:space="0"/>
            </w:tcBorders>
            <w:shd w:val="clear" w:color="auto" w:fill="auto"/>
            <w:vAlign w:val="center"/>
          </w:tcPr>
          <w:p>
            <w:pPr>
              <w:widowControl/>
              <w:jc w:val="left"/>
              <w:rPr>
                <w:rFonts w:eastAsia="等线"/>
                <w:color w:val="000000"/>
                <w:kern w:val="0"/>
                <w:sz w:val="22"/>
                <w:szCs w:val="22"/>
              </w:rPr>
            </w:pPr>
            <w:r>
              <w:rPr>
                <w:rFonts w:eastAsia="等线"/>
                <w:color w:val="000000"/>
                <w:kern w:val="0"/>
                <w:sz w:val="22"/>
                <w:szCs w:val="22"/>
              </w:rPr>
              <w:t>Daphnia -Daphnia magna</w:t>
            </w:r>
          </w:p>
        </w:tc>
        <w:tc>
          <w:tcPr>
            <w:tcW w:w="1208" w:type="dxa"/>
            <w:tcBorders>
              <w:top w:val="nil"/>
              <w:left w:val="nil"/>
              <w:bottom w:val="single" w:color="auto" w:sz="8" w:space="0"/>
              <w:right w:val="single" w:color="auto" w:sz="8" w:space="0"/>
            </w:tcBorders>
            <w:shd w:val="clear" w:color="auto" w:fill="auto"/>
            <w:vAlign w:val="center"/>
          </w:tcPr>
          <w:p>
            <w:pPr>
              <w:widowControl/>
              <w:jc w:val="left"/>
              <w:rPr>
                <w:rFonts w:eastAsia="等线"/>
                <w:color w:val="000000"/>
                <w:kern w:val="0"/>
                <w:sz w:val="22"/>
                <w:szCs w:val="22"/>
              </w:rPr>
            </w:pPr>
            <w:r>
              <w:rPr>
                <w:rFonts w:eastAsia="等线"/>
                <w:color w:val="000000"/>
                <w:kern w:val="0"/>
                <w:sz w:val="22"/>
                <w:szCs w:val="22"/>
              </w:rPr>
              <w:t>21days</w:t>
            </w:r>
          </w:p>
        </w:tc>
      </w:tr>
    </w:tbl>
    <w:p>
      <w:pPr>
        <w:rPr>
          <w:color w:val="333333"/>
          <w:sz w:val="22"/>
          <w:szCs w:val="22"/>
        </w:rPr>
      </w:pPr>
      <w:r>
        <w:rPr>
          <w:b/>
          <w:color w:val="333333"/>
          <w:sz w:val="22"/>
          <w:szCs w:val="22"/>
        </w:rPr>
        <w:t>Persistence and degradability:</w:t>
      </w:r>
      <w:r>
        <w:rPr>
          <w:color w:val="333333"/>
          <w:sz w:val="22"/>
          <w:szCs w:val="22"/>
        </w:rPr>
        <w:t xml:space="preserve"> Not available</w:t>
      </w:r>
    </w:p>
    <w:p>
      <w:pPr>
        <w:rPr>
          <w:color w:val="333333"/>
          <w:sz w:val="22"/>
          <w:szCs w:val="22"/>
        </w:rPr>
      </w:pPr>
      <w:r>
        <w:rPr>
          <w:b/>
          <w:color w:val="333333"/>
          <w:sz w:val="22"/>
          <w:szCs w:val="22"/>
        </w:rPr>
        <w:t xml:space="preserve">Bioaccumulative potential: </w:t>
      </w:r>
      <w:r>
        <w:rPr>
          <w:color w:val="333333"/>
          <w:sz w:val="22"/>
          <w:szCs w:val="22"/>
        </w:rPr>
        <w:t>Not available</w:t>
      </w:r>
    </w:p>
    <w:p>
      <w:pPr>
        <w:rPr>
          <w:color w:val="333333"/>
          <w:sz w:val="22"/>
          <w:szCs w:val="22"/>
        </w:rPr>
      </w:pPr>
      <w:r>
        <w:rPr>
          <w:b/>
          <w:color w:val="333333"/>
          <w:sz w:val="22"/>
          <w:szCs w:val="22"/>
        </w:rPr>
        <w:t xml:space="preserve">Mobility in soil: </w:t>
      </w:r>
      <w:r>
        <w:rPr>
          <w:color w:val="333333"/>
          <w:sz w:val="22"/>
          <w:szCs w:val="22"/>
        </w:rPr>
        <w:t>Not available</w:t>
      </w:r>
    </w:p>
    <w:p>
      <w:pPr>
        <w:rPr>
          <w:b/>
          <w:color w:val="333333"/>
          <w:sz w:val="22"/>
          <w:szCs w:val="22"/>
        </w:rPr>
      </w:pPr>
    </w:p>
    <w:p>
      <w:pPr>
        <w:rPr>
          <w:color w:val="333333"/>
          <w:sz w:val="22"/>
          <w:szCs w:val="22"/>
        </w:rPr>
      </w:pPr>
      <w:r>
        <w:rPr>
          <w:b/>
          <w:color w:val="333333"/>
          <w:sz w:val="22"/>
          <w:szCs w:val="22"/>
        </w:rPr>
        <w:t>SECTION 13 Disposal considerations</w:t>
      </w:r>
    </w:p>
    <w:p>
      <w:pPr>
        <w:jc w:val="center"/>
        <w:rPr>
          <w:b/>
          <w:color w:val="333333"/>
          <w:sz w:val="22"/>
          <w:szCs w:val="22"/>
        </w:rPr>
      </w:pPr>
    </w:p>
    <w:p>
      <w:pPr>
        <w:rPr>
          <w:b/>
          <w:color w:val="333333"/>
          <w:sz w:val="22"/>
          <w:szCs w:val="22"/>
        </w:rPr>
      </w:pPr>
      <w:r>
        <w:rPr>
          <w:b/>
          <w:color w:val="333333"/>
          <w:sz w:val="22"/>
          <w:szCs w:val="22"/>
        </w:rPr>
        <w:t xml:space="preserve">Chemical waste treatment methods: </w:t>
      </w:r>
    </w:p>
    <w:p>
      <w:pPr>
        <w:rPr>
          <w:color w:val="333333"/>
          <w:sz w:val="22"/>
          <w:szCs w:val="22"/>
        </w:rPr>
      </w:pPr>
      <w:r>
        <w:rPr>
          <w:color w:val="333333"/>
          <w:sz w:val="22"/>
          <w:szCs w:val="22"/>
        </w:rPr>
        <w:t xml:space="preserve">Recommend the treatment method of transferring waste into energy if possible. </w:t>
      </w:r>
      <w:r>
        <w:rPr>
          <w:sz w:val="22"/>
          <w:szCs w:val="22"/>
        </w:rPr>
        <w:t>Incineration or landfill should only be considered when recycling is not feasible.</w:t>
      </w:r>
      <w:r>
        <w:rPr>
          <w:color w:val="333333"/>
          <w:sz w:val="22"/>
          <w:szCs w:val="22"/>
        </w:rPr>
        <w:t xml:space="preserve"> Discharging the product into the sewage is prohibited. </w:t>
      </w:r>
    </w:p>
    <w:p>
      <w:pPr>
        <w:rPr>
          <w:sz w:val="22"/>
          <w:szCs w:val="22"/>
        </w:rPr>
      </w:pPr>
    </w:p>
    <w:p>
      <w:pPr>
        <w:rPr>
          <w:b/>
          <w:color w:val="333333"/>
          <w:sz w:val="22"/>
          <w:szCs w:val="22"/>
        </w:rPr>
      </w:pPr>
      <w:r>
        <w:rPr>
          <w:b/>
          <w:color w:val="333333"/>
          <w:sz w:val="22"/>
          <w:szCs w:val="22"/>
        </w:rPr>
        <w:t>Contaminated package treatment methods:</w:t>
      </w:r>
    </w:p>
    <w:p>
      <w:pPr>
        <w:rPr>
          <w:sz w:val="22"/>
          <w:szCs w:val="22"/>
        </w:rPr>
      </w:pPr>
      <w:r>
        <w:rPr>
          <w:color w:val="333333"/>
          <w:sz w:val="22"/>
          <w:szCs w:val="22"/>
        </w:rPr>
        <w:t xml:space="preserve">Empty containers should be taken to an approved waste handling site for recycling or disposal. If not, </w:t>
      </w:r>
      <w:r>
        <w:rPr>
          <w:sz w:val="22"/>
          <w:szCs w:val="22"/>
        </w:rPr>
        <w:t>disposal should be in accordance with applicable regional laws and regulations.</w:t>
      </w:r>
    </w:p>
    <w:p>
      <w:pPr>
        <w:rPr>
          <w:b/>
          <w:sz w:val="22"/>
          <w:szCs w:val="22"/>
        </w:rPr>
      </w:pPr>
      <w:r>
        <w:rPr>
          <w:b/>
          <w:sz w:val="22"/>
          <w:szCs w:val="22"/>
        </w:rPr>
        <w:t>Notes for disposal:</w:t>
      </w:r>
    </w:p>
    <w:p>
      <w:pPr>
        <w:rPr>
          <w:sz w:val="22"/>
          <w:szCs w:val="22"/>
        </w:rPr>
      </w:pPr>
      <w:r>
        <w:rPr>
          <w:sz w:val="22"/>
          <w:szCs w:val="22"/>
        </w:rPr>
        <w:t>The applicable regional, national regulations should be read before disposal.</w:t>
      </w:r>
    </w:p>
    <w:p>
      <w:pPr>
        <w:rPr>
          <w:b/>
          <w:sz w:val="22"/>
          <w:szCs w:val="22"/>
        </w:rPr>
      </w:pPr>
    </w:p>
    <w:p>
      <w:pPr>
        <w:rPr>
          <w:b/>
          <w:sz w:val="22"/>
          <w:szCs w:val="22"/>
        </w:rPr>
      </w:pPr>
      <w:r>
        <w:rPr>
          <w:b/>
          <w:sz w:val="22"/>
          <w:szCs w:val="22"/>
        </w:rPr>
        <w:t>SECTION 14 Transport information</w:t>
      </w:r>
    </w:p>
    <w:p>
      <w:pPr>
        <w:jc w:val="center"/>
        <w:rPr>
          <w:b/>
          <w:sz w:val="22"/>
          <w:szCs w:val="22"/>
        </w:rPr>
      </w:pPr>
    </w:p>
    <w:p>
      <w:pPr>
        <w:rPr>
          <w:color w:val="333333"/>
          <w:sz w:val="22"/>
          <w:szCs w:val="22"/>
        </w:rPr>
      </w:pPr>
      <w:r>
        <w:rPr>
          <w:b/>
          <w:color w:val="333333"/>
          <w:sz w:val="22"/>
          <w:szCs w:val="22"/>
        </w:rPr>
        <w:t xml:space="preserve">UN number: </w:t>
      </w:r>
      <w:r>
        <w:rPr>
          <w:color w:val="333333"/>
          <w:sz w:val="22"/>
          <w:szCs w:val="22"/>
        </w:rPr>
        <w:t>UN 1263</w:t>
      </w:r>
    </w:p>
    <w:p>
      <w:pPr>
        <w:rPr>
          <w:color w:val="333333"/>
          <w:sz w:val="22"/>
          <w:szCs w:val="22"/>
        </w:rPr>
      </w:pPr>
      <w:r>
        <w:rPr>
          <w:b/>
          <w:color w:val="333333"/>
          <w:sz w:val="22"/>
          <w:szCs w:val="22"/>
        </w:rPr>
        <w:t xml:space="preserve">UN proper shipping name: </w:t>
      </w:r>
      <w:r>
        <w:rPr>
          <w:color w:val="333333"/>
          <w:sz w:val="22"/>
          <w:szCs w:val="22"/>
        </w:rPr>
        <w:t>Paint related material</w:t>
      </w:r>
    </w:p>
    <w:p>
      <w:pPr>
        <w:rPr>
          <w:color w:val="333333"/>
          <w:sz w:val="22"/>
          <w:szCs w:val="22"/>
        </w:rPr>
      </w:pPr>
      <w:r>
        <w:rPr>
          <w:b/>
          <w:color w:val="333333"/>
          <w:sz w:val="22"/>
          <w:szCs w:val="22"/>
        </w:rPr>
        <w:t>Transport hazard class (es):</w:t>
      </w:r>
      <w:r>
        <w:rPr>
          <w:color w:val="333333"/>
          <w:sz w:val="22"/>
          <w:szCs w:val="22"/>
        </w:rPr>
        <w:t xml:space="preserve"> 3</w:t>
      </w:r>
    </w:p>
    <w:p>
      <w:pPr>
        <w:rPr>
          <w:color w:val="333333"/>
          <w:sz w:val="22"/>
          <w:szCs w:val="22"/>
        </w:rPr>
      </w:pPr>
      <w:r>
        <w:rPr>
          <w:rFonts w:ascii="黑体" w:hAnsi="黑体" w:eastAsia="黑体" w:cs="Arial"/>
          <w:bCs/>
          <w:szCs w:val="21"/>
        </w:rPr>
        <w:drawing>
          <wp:anchor distT="0" distB="0" distL="114300" distR="114300" simplePos="0" relativeHeight="251661312" behindDoc="0" locked="0" layoutInCell="1" allowOverlap="1">
            <wp:simplePos x="0" y="0"/>
            <wp:positionH relativeFrom="column">
              <wp:posOffset>1333500</wp:posOffset>
            </wp:positionH>
            <wp:positionV relativeFrom="paragraph">
              <wp:posOffset>25400</wp:posOffset>
            </wp:positionV>
            <wp:extent cx="655320" cy="655320"/>
            <wp:effectExtent l="0" t="0" r="0" b="0"/>
            <wp:wrapNone/>
            <wp:docPr id="7" name="图片 7" descr="C:\Users\Administrator\Desktop\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Users\Administrator\Desktop\3.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655320" cy="655320"/>
                    </a:xfrm>
                    <a:prstGeom prst="rect">
                      <a:avLst/>
                    </a:prstGeom>
                    <a:noFill/>
                    <a:ln>
                      <a:noFill/>
                    </a:ln>
                  </pic:spPr>
                </pic:pic>
              </a:graphicData>
            </a:graphic>
          </wp:anchor>
        </w:drawing>
      </w:r>
    </w:p>
    <w:p>
      <w:pPr>
        <w:rPr>
          <w:rFonts w:ascii="黑体" w:hAnsi="黑体" w:eastAsia="黑体" w:cs="Arial"/>
          <w:bCs/>
          <w:szCs w:val="21"/>
        </w:rPr>
      </w:pPr>
      <w:r>
        <w:rPr>
          <w:b/>
          <w:color w:val="333333"/>
          <w:sz w:val="22"/>
          <w:szCs w:val="22"/>
        </w:rPr>
        <w:t xml:space="preserve">Danger Pictograms: </w:t>
      </w:r>
    </w:p>
    <w:p>
      <w:pPr>
        <w:rPr>
          <w:b/>
          <w:color w:val="333333"/>
          <w:sz w:val="22"/>
          <w:szCs w:val="22"/>
        </w:rPr>
      </w:pPr>
    </w:p>
    <w:p>
      <w:pPr>
        <w:rPr>
          <w:b/>
          <w:color w:val="333333"/>
          <w:sz w:val="22"/>
          <w:szCs w:val="22"/>
        </w:rPr>
      </w:pPr>
    </w:p>
    <w:p>
      <w:pPr>
        <w:rPr>
          <w:sz w:val="22"/>
          <w:szCs w:val="22"/>
        </w:rPr>
      </w:pPr>
      <w:r>
        <w:rPr>
          <w:b/>
          <w:color w:val="333333"/>
          <w:sz w:val="22"/>
          <w:szCs w:val="22"/>
        </w:rPr>
        <w:t>Packing group:</w:t>
      </w:r>
      <w:r>
        <w:rPr>
          <w:sz w:val="22"/>
          <w:szCs w:val="22"/>
        </w:rPr>
        <w:t xml:space="preserve"> Ⅲ</w:t>
      </w:r>
    </w:p>
    <w:p>
      <w:pPr>
        <w:rPr>
          <w:color w:val="333333"/>
          <w:sz w:val="22"/>
          <w:szCs w:val="22"/>
        </w:rPr>
      </w:pPr>
      <w:r>
        <w:rPr>
          <w:b/>
          <w:color w:val="333333"/>
          <w:sz w:val="22"/>
          <w:szCs w:val="22"/>
        </w:rPr>
        <w:t>Package label:</w:t>
      </w:r>
      <w:r>
        <w:rPr>
          <w:color w:val="333333"/>
          <w:sz w:val="22"/>
          <w:szCs w:val="22"/>
        </w:rPr>
        <w:t xml:space="preserve"> Flammable liquid</w:t>
      </w:r>
    </w:p>
    <w:p>
      <w:pPr>
        <w:rPr>
          <w:color w:val="333333"/>
          <w:sz w:val="22"/>
          <w:szCs w:val="22"/>
        </w:rPr>
      </w:pPr>
      <w:r>
        <w:rPr>
          <w:b/>
          <w:color w:val="333333"/>
          <w:sz w:val="22"/>
          <w:szCs w:val="22"/>
        </w:rPr>
        <w:t>Marine pollutant substances:</w:t>
      </w:r>
      <w:r>
        <w:rPr>
          <w:color w:val="333333"/>
          <w:sz w:val="22"/>
          <w:szCs w:val="22"/>
        </w:rPr>
        <w:t xml:space="preserve"> Not applicable</w:t>
      </w:r>
    </w:p>
    <w:p>
      <w:pPr>
        <w:rPr>
          <w:color w:val="333333"/>
          <w:sz w:val="22"/>
          <w:szCs w:val="22"/>
        </w:rPr>
      </w:pPr>
    </w:p>
    <w:p>
      <w:pPr>
        <w:rPr>
          <w:b/>
          <w:color w:val="333333"/>
          <w:sz w:val="22"/>
          <w:szCs w:val="22"/>
        </w:rPr>
      </w:pPr>
      <w:r>
        <w:rPr>
          <w:b/>
          <w:color w:val="333333"/>
          <w:sz w:val="22"/>
          <w:szCs w:val="22"/>
        </w:rPr>
        <w:t xml:space="preserve">International shipping regulations:        </w:t>
      </w:r>
    </w:p>
    <w:p>
      <w:pPr>
        <w:rPr>
          <w:color w:val="333333"/>
          <w:sz w:val="22"/>
          <w:szCs w:val="22"/>
        </w:rPr>
      </w:pPr>
      <w:r>
        <w:rPr>
          <w:b/>
          <w:color w:val="333333"/>
          <w:sz w:val="22"/>
          <w:szCs w:val="22"/>
        </w:rPr>
        <w:t>United States Department of transportation:</w:t>
      </w:r>
      <w:r>
        <w:rPr>
          <w:color w:val="333333"/>
          <w:sz w:val="22"/>
          <w:szCs w:val="22"/>
        </w:rPr>
        <w:t xml:space="preserve"> 49CFR rating: 3 (flammable liquid and vapor).</w:t>
      </w:r>
    </w:p>
    <w:p>
      <w:pPr>
        <w:rPr>
          <w:color w:val="333333"/>
          <w:sz w:val="22"/>
          <w:szCs w:val="22"/>
        </w:rPr>
      </w:pPr>
      <w:r>
        <w:rPr>
          <w:b/>
          <w:color w:val="333333"/>
          <w:sz w:val="22"/>
          <w:szCs w:val="22"/>
        </w:rPr>
        <w:t xml:space="preserve">Marine, IMDG rating: </w:t>
      </w:r>
      <w:r>
        <w:rPr>
          <w:color w:val="333333"/>
          <w:sz w:val="22"/>
          <w:szCs w:val="22"/>
        </w:rPr>
        <w:t>3 (flammable liquid and vapor).</w:t>
      </w:r>
    </w:p>
    <w:p>
      <w:pPr>
        <w:rPr>
          <w:color w:val="333333"/>
          <w:sz w:val="22"/>
          <w:szCs w:val="22"/>
        </w:rPr>
      </w:pPr>
      <w:r>
        <w:rPr>
          <w:b/>
          <w:color w:val="333333"/>
          <w:sz w:val="22"/>
          <w:szCs w:val="22"/>
        </w:rPr>
        <w:t>Shipping, IATA rating:</w:t>
      </w:r>
      <w:r>
        <w:rPr>
          <w:color w:val="333333"/>
          <w:sz w:val="22"/>
          <w:szCs w:val="22"/>
        </w:rPr>
        <w:t xml:space="preserve"> 3 (flammable liquid and vapor).</w:t>
      </w:r>
    </w:p>
    <w:p>
      <w:pPr>
        <w:pStyle w:val="11"/>
        <w:ind w:left="1700" w:firstLine="0" w:firstLineChars="0"/>
        <w:rPr>
          <w:rFonts w:ascii="Times New Roman" w:hAnsi="Times New Roman" w:cs="Times New Roman"/>
          <w:color w:val="333333"/>
          <w:sz w:val="22"/>
        </w:rPr>
      </w:pPr>
    </w:p>
    <w:p>
      <w:pPr>
        <w:rPr>
          <w:b/>
          <w:color w:val="333333"/>
          <w:sz w:val="22"/>
          <w:szCs w:val="22"/>
        </w:rPr>
      </w:pPr>
      <w:r>
        <w:rPr>
          <w:b/>
          <w:color w:val="333333"/>
          <w:sz w:val="22"/>
          <w:szCs w:val="22"/>
        </w:rPr>
        <w:t xml:space="preserve">Notes for transport: </w:t>
      </w:r>
    </w:p>
    <w:p>
      <w:pPr>
        <w:rPr>
          <w:color w:val="333333"/>
          <w:sz w:val="22"/>
          <w:szCs w:val="22"/>
        </w:rPr>
      </w:pPr>
      <w:r>
        <w:rPr>
          <w:color w:val="333333"/>
          <w:sz w:val="22"/>
          <w:szCs w:val="22"/>
        </w:rPr>
        <w:t>The transportation vehicles shall be equipped with corresponding firefighting equipment and emergency treatment devices.</w:t>
      </w:r>
    </w:p>
    <w:p>
      <w:pPr>
        <w:rPr>
          <w:color w:val="333333"/>
          <w:sz w:val="22"/>
          <w:szCs w:val="22"/>
        </w:rPr>
      </w:pPr>
      <w:r>
        <w:rPr>
          <w:color w:val="333333"/>
          <w:sz w:val="22"/>
          <w:szCs w:val="22"/>
        </w:rPr>
        <w:t>All transporting trucks should have grounded devices.</w:t>
      </w:r>
    </w:p>
    <w:p>
      <w:pPr>
        <w:rPr>
          <w:color w:val="333333"/>
          <w:sz w:val="22"/>
          <w:szCs w:val="22"/>
        </w:rPr>
      </w:pPr>
      <w:r>
        <w:rPr>
          <w:color w:val="333333"/>
          <w:sz w:val="22"/>
          <w:szCs w:val="22"/>
        </w:rPr>
        <w:t>It cannot be transported with oxidant and food chemicals.</w:t>
      </w:r>
    </w:p>
    <w:p>
      <w:pPr>
        <w:rPr>
          <w:color w:val="333333"/>
          <w:sz w:val="22"/>
          <w:szCs w:val="22"/>
        </w:rPr>
      </w:pPr>
      <w:r>
        <w:rPr>
          <w:color w:val="333333"/>
          <w:sz w:val="22"/>
          <w:szCs w:val="22"/>
        </w:rPr>
        <w:t>Transportation should prevent insolation, rain, and high temperature. Morning and evening transport are recommended.</w:t>
      </w:r>
    </w:p>
    <w:p>
      <w:pPr>
        <w:rPr>
          <w:color w:val="333333"/>
          <w:sz w:val="22"/>
          <w:szCs w:val="22"/>
        </w:rPr>
      </w:pPr>
      <w:r>
        <w:rPr>
          <w:color w:val="333333"/>
          <w:sz w:val="22"/>
          <w:szCs w:val="22"/>
        </w:rPr>
        <w:t>Stay away from fire, heat, high temperature zone when stopover.</w:t>
      </w:r>
    </w:p>
    <w:p>
      <w:pPr>
        <w:rPr>
          <w:color w:val="333333"/>
          <w:sz w:val="22"/>
          <w:szCs w:val="22"/>
        </w:rPr>
      </w:pPr>
      <w:r>
        <w:rPr>
          <w:color w:val="333333"/>
          <w:sz w:val="22"/>
          <w:szCs w:val="22"/>
        </w:rPr>
        <w:t xml:space="preserve">The vehicle exhaust pipe must be equipped with a fire-retardant device and use only </w:t>
      </w:r>
      <w:r>
        <w:rPr>
          <w:sz w:val="22"/>
          <w:szCs w:val="22"/>
        </w:rPr>
        <w:t xml:space="preserve">non-sparking </w:t>
      </w:r>
      <w:r>
        <w:rPr>
          <w:color w:val="333333"/>
          <w:sz w:val="22"/>
          <w:szCs w:val="22"/>
        </w:rPr>
        <w:t>machines and tools for loading and unloading.</w:t>
      </w:r>
    </w:p>
    <w:p>
      <w:pPr>
        <w:rPr>
          <w:color w:val="333333"/>
          <w:sz w:val="22"/>
          <w:szCs w:val="22"/>
        </w:rPr>
      </w:pPr>
      <w:r>
        <w:rPr>
          <w:color w:val="333333"/>
          <w:sz w:val="22"/>
          <w:szCs w:val="22"/>
        </w:rPr>
        <w:t>Drivers should follow the driven routes.  Do not stay in residential areas and densely populated areas. Do not use wooden, cement ships for bulk transportation because it will pollute the ocean if it leaks.</w:t>
      </w:r>
    </w:p>
    <w:p>
      <w:pPr>
        <w:rPr>
          <w:b/>
          <w:color w:val="333333"/>
          <w:sz w:val="22"/>
          <w:szCs w:val="22"/>
        </w:rPr>
      </w:pPr>
    </w:p>
    <w:p>
      <w:pPr>
        <w:rPr>
          <w:b/>
          <w:color w:val="333333"/>
          <w:sz w:val="22"/>
          <w:szCs w:val="22"/>
        </w:rPr>
      </w:pPr>
      <w:r>
        <w:rPr>
          <w:b/>
          <w:color w:val="333333"/>
          <w:sz w:val="22"/>
          <w:szCs w:val="22"/>
        </w:rPr>
        <w:t>SECTION 15 Regulatory information</w:t>
      </w:r>
    </w:p>
    <w:p>
      <w:pPr>
        <w:jc w:val="center"/>
        <w:rPr>
          <w:b/>
          <w:color w:val="333333"/>
          <w:sz w:val="22"/>
          <w:szCs w:val="22"/>
        </w:rPr>
      </w:pPr>
    </w:p>
    <w:p>
      <w:pPr>
        <w:rPr>
          <w:b/>
          <w:color w:val="333333"/>
          <w:sz w:val="22"/>
          <w:szCs w:val="22"/>
        </w:rPr>
      </w:pPr>
      <w:r>
        <w:rPr>
          <w:b/>
          <w:color w:val="333333"/>
          <w:sz w:val="22"/>
          <w:szCs w:val="22"/>
        </w:rPr>
        <w:t xml:space="preserve">Applicable laws and regulations: </w:t>
      </w:r>
    </w:p>
    <w:p>
      <w:pPr>
        <w:rPr>
          <w:color w:val="333333"/>
          <w:sz w:val="22"/>
          <w:szCs w:val="22"/>
        </w:rPr>
      </w:pPr>
      <w:r>
        <w:rPr>
          <w:color w:val="333333"/>
          <w:sz w:val="22"/>
          <w:szCs w:val="22"/>
        </w:rPr>
        <w:t>Safe Production Law of the People's Republic of China</w:t>
      </w:r>
    </w:p>
    <w:p>
      <w:pPr>
        <w:rPr>
          <w:color w:val="333333"/>
          <w:sz w:val="22"/>
          <w:szCs w:val="22"/>
        </w:rPr>
      </w:pPr>
      <w:r>
        <w:rPr>
          <w:color w:val="333333"/>
          <w:sz w:val="22"/>
          <w:szCs w:val="22"/>
        </w:rPr>
        <w:t>Code of Occupational Disease Prevention of PRC</w:t>
      </w:r>
    </w:p>
    <w:p>
      <w:pPr>
        <w:rPr>
          <w:color w:val="333333"/>
          <w:sz w:val="22"/>
          <w:szCs w:val="22"/>
        </w:rPr>
      </w:pPr>
      <w:r>
        <w:rPr>
          <w:color w:val="333333"/>
          <w:sz w:val="22"/>
          <w:szCs w:val="22"/>
        </w:rPr>
        <w:t>Environmental Protection Law of the People’s Republic of China</w:t>
      </w:r>
    </w:p>
    <w:p>
      <w:pPr>
        <w:rPr>
          <w:color w:val="333333"/>
          <w:sz w:val="22"/>
          <w:szCs w:val="22"/>
        </w:rPr>
      </w:pPr>
      <w:r>
        <w:rPr>
          <w:color w:val="333333"/>
          <w:sz w:val="22"/>
          <w:szCs w:val="22"/>
        </w:rPr>
        <w:t>Laws of the People’s Republic of China on the Prevention and Control of Atmospheric Pollution</w:t>
      </w:r>
    </w:p>
    <w:p>
      <w:pPr>
        <w:rPr>
          <w:color w:val="333333"/>
          <w:sz w:val="22"/>
          <w:szCs w:val="22"/>
        </w:rPr>
      </w:pPr>
      <w:r>
        <w:rPr>
          <w:color w:val="333333"/>
          <w:sz w:val="22"/>
          <w:szCs w:val="22"/>
        </w:rPr>
        <w:t>Marine Environment Protection Law of the People’s Republic of China</w:t>
      </w:r>
    </w:p>
    <w:p>
      <w:pPr>
        <w:rPr>
          <w:color w:val="333333"/>
          <w:sz w:val="22"/>
          <w:szCs w:val="22"/>
        </w:rPr>
      </w:pPr>
      <w:r>
        <w:rPr>
          <w:color w:val="333333"/>
          <w:sz w:val="22"/>
          <w:szCs w:val="22"/>
        </w:rPr>
        <w:t>Law of the People's Republic of China on the prevention and control of environmental pollution by solid wastes</w:t>
      </w:r>
    </w:p>
    <w:p>
      <w:pPr>
        <w:rPr>
          <w:sz w:val="22"/>
          <w:szCs w:val="22"/>
        </w:rPr>
      </w:pPr>
      <w:r>
        <w:rPr>
          <w:color w:val="333333"/>
          <w:sz w:val="22"/>
          <w:szCs w:val="22"/>
        </w:rPr>
        <w:t>Fir</w:t>
      </w:r>
      <w:r>
        <w:rPr>
          <w:sz w:val="22"/>
          <w:szCs w:val="22"/>
        </w:rPr>
        <w:t>e Control Law of the People’s Republic of China</w:t>
      </w:r>
    </w:p>
    <w:p>
      <w:pPr>
        <w:rPr>
          <w:sz w:val="22"/>
          <w:szCs w:val="22"/>
        </w:rPr>
      </w:pPr>
      <w:r>
        <w:rPr>
          <w:sz w:val="22"/>
          <w:szCs w:val="22"/>
        </w:rPr>
        <w:t>Regulations on the Control over Safety of Dangerous chemicals</w:t>
      </w:r>
    </w:p>
    <w:p>
      <w:pPr>
        <w:rPr>
          <w:sz w:val="22"/>
          <w:szCs w:val="22"/>
        </w:rPr>
      </w:pPr>
      <w:r>
        <w:rPr>
          <w:sz w:val="22"/>
          <w:szCs w:val="22"/>
        </w:rPr>
        <w:t>Occupational Exposure Limits for Hazardous Agents in the Workplace (part 1: chemical hazardous agents) (GBZ 2.1)</w:t>
      </w:r>
    </w:p>
    <w:p>
      <w:pPr>
        <w:rPr>
          <w:sz w:val="22"/>
          <w:szCs w:val="22"/>
        </w:rPr>
      </w:pPr>
      <w:r>
        <w:rPr>
          <w:sz w:val="22"/>
          <w:szCs w:val="22"/>
        </w:rPr>
        <w:t>Occupational Exposure Limits for Hazardous Agents in the Workplace (part 2: Physical Agents) (GBZ 2.2)</w:t>
      </w:r>
    </w:p>
    <w:p>
      <w:pPr>
        <w:rPr>
          <w:color w:val="333333"/>
          <w:sz w:val="22"/>
          <w:szCs w:val="22"/>
        </w:rPr>
      </w:pPr>
      <w:r>
        <w:rPr>
          <w:sz w:val="22"/>
          <w:szCs w:val="22"/>
        </w:rPr>
        <w:t>General Rules for Chemical Classification and Risk Disclosure (GB 13690)</w:t>
      </w:r>
    </w:p>
    <w:p>
      <w:pPr>
        <w:rPr>
          <w:color w:val="333333"/>
          <w:sz w:val="22"/>
          <w:szCs w:val="22"/>
        </w:rPr>
      </w:pPr>
      <w:r>
        <w:rPr>
          <w:sz w:val="22"/>
          <w:szCs w:val="22"/>
        </w:rPr>
        <w:t>National Hazardous Waste List</w:t>
      </w:r>
    </w:p>
    <w:p>
      <w:pPr>
        <w:rPr>
          <w:color w:val="333333"/>
          <w:sz w:val="22"/>
          <w:szCs w:val="22"/>
        </w:rPr>
      </w:pPr>
      <w:r>
        <w:rPr>
          <w:sz w:val="22"/>
          <w:szCs w:val="22"/>
        </w:rPr>
        <w:t>General Rules for Storage of Dangerous Chemicals (GB 15603)</w:t>
      </w:r>
    </w:p>
    <w:p>
      <w:pPr>
        <w:rPr>
          <w:color w:val="333333"/>
          <w:sz w:val="22"/>
          <w:szCs w:val="22"/>
        </w:rPr>
      </w:pPr>
      <w:r>
        <w:rPr>
          <w:sz w:val="22"/>
          <w:szCs w:val="22"/>
        </w:rPr>
        <w:t>List of Dangerous Goods (GB 12268)</w:t>
      </w:r>
    </w:p>
    <w:p>
      <w:pPr>
        <w:rPr>
          <w:color w:val="333333"/>
          <w:sz w:val="22"/>
          <w:szCs w:val="22"/>
        </w:rPr>
      </w:pPr>
      <w:r>
        <w:rPr>
          <w:sz w:val="22"/>
          <w:szCs w:val="22"/>
        </w:rPr>
        <w:t>Classification and Code of Dangerous Goods (GB 6944)</w:t>
      </w:r>
    </w:p>
    <w:p>
      <w:pPr>
        <w:rPr>
          <w:color w:val="333333"/>
          <w:sz w:val="22"/>
          <w:szCs w:val="22"/>
        </w:rPr>
      </w:pPr>
      <w:r>
        <w:rPr>
          <w:sz w:val="22"/>
          <w:szCs w:val="22"/>
        </w:rPr>
        <w:t>Labels for Packages of Dangerous Goods (GB 190)</w:t>
      </w:r>
    </w:p>
    <w:p>
      <w:pPr>
        <w:rPr>
          <w:color w:val="333333"/>
          <w:sz w:val="22"/>
          <w:szCs w:val="22"/>
        </w:rPr>
      </w:pPr>
    </w:p>
    <w:p>
      <w:pPr>
        <w:rPr>
          <w:b/>
          <w:color w:val="333333"/>
          <w:sz w:val="22"/>
          <w:szCs w:val="22"/>
        </w:rPr>
      </w:pPr>
      <w:r>
        <w:rPr>
          <w:b/>
          <w:color w:val="333333"/>
          <w:sz w:val="22"/>
          <w:szCs w:val="22"/>
        </w:rPr>
        <w:t>SECTION 16 Other information</w:t>
      </w:r>
    </w:p>
    <w:p>
      <w:pPr>
        <w:jc w:val="center"/>
        <w:rPr>
          <w:b/>
          <w:color w:val="333333"/>
          <w:sz w:val="22"/>
          <w:szCs w:val="22"/>
        </w:rPr>
      </w:pPr>
    </w:p>
    <w:p>
      <w:pPr>
        <w:rPr>
          <w:b/>
          <w:color w:val="333333"/>
          <w:sz w:val="22"/>
          <w:szCs w:val="22"/>
        </w:rPr>
      </w:pPr>
      <w:r>
        <w:rPr>
          <w:b/>
          <w:color w:val="333333"/>
          <w:sz w:val="22"/>
          <w:szCs w:val="22"/>
        </w:rPr>
        <w:t>Key to abbreviations</w:t>
      </w:r>
      <w:r>
        <w:rPr>
          <w:rFonts w:hint="eastAsia"/>
          <w:b/>
          <w:color w:val="333333"/>
          <w:sz w:val="22"/>
          <w:szCs w:val="22"/>
        </w:rPr>
        <w:t>:</w:t>
      </w:r>
    </w:p>
    <w:p>
      <w:pPr>
        <w:rPr>
          <w:color w:val="333333"/>
          <w:sz w:val="22"/>
          <w:szCs w:val="22"/>
        </w:rPr>
      </w:pPr>
      <w:r>
        <w:rPr>
          <w:color w:val="333333"/>
          <w:sz w:val="22"/>
          <w:szCs w:val="22"/>
        </w:rPr>
        <w:t>MAC --Maximum Allowable Concentration: refers to the concentration of toxic chemicals that should not exceed at any time during a working day in the workplace.</w:t>
      </w:r>
    </w:p>
    <w:p>
      <w:pPr>
        <w:rPr>
          <w:color w:val="333333"/>
          <w:sz w:val="22"/>
          <w:szCs w:val="22"/>
        </w:rPr>
      </w:pPr>
      <w:r>
        <w:rPr>
          <w:color w:val="333333"/>
          <w:sz w:val="22"/>
          <w:szCs w:val="22"/>
        </w:rPr>
        <w:t>PC-TWA -- Permissible Concentration-Time Weighted Average:  refers to the average level of allowable contact in the stated working day of 8 hours.</w:t>
      </w:r>
    </w:p>
    <w:p>
      <w:pPr>
        <w:rPr>
          <w:rFonts w:eastAsia="黑体"/>
          <w:sz w:val="22"/>
          <w:szCs w:val="22"/>
        </w:rPr>
      </w:pPr>
      <w:bookmarkStart w:id="5" w:name="OLE_LINK2"/>
      <w:bookmarkStart w:id="6" w:name="OLE_LINK1"/>
      <w:r>
        <w:rPr>
          <w:color w:val="333333"/>
          <w:sz w:val="22"/>
          <w:szCs w:val="22"/>
        </w:rPr>
        <w:t>PC-STEL</w:t>
      </w:r>
      <w:bookmarkEnd w:id="5"/>
      <w:bookmarkEnd w:id="6"/>
      <w:r>
        <w:rPr>
          <w:color w:val="333333"/>
          <w:sz w:val="22"/>
          <w:szCs w:val="22"/>
        </w:rPr>
        <w:t xml:space="preserve"> ---Permissible Concentration- Short Term Exposure Limit： refer to the time weighted average for any allowable contact less than 15 minutes within 8 hours. </w:t>
      </w:r>
    </w:p>
    <w:p>
      <w:pPr>
        <w:rPr>
          <w:color w:val="333333"/>
          <w:sz w:val="22"/>
          <w:szCs w:val="22"/>
        </w:rPr>
      </w:pPr>
      <w:r>
        <w:rPr>
          <w:color w:val="333333"/>
          <w:sz w:val="22"/>
          <w:szCs w:val="22"/>
        </w:rPr>
        <w:t>ACGIH TWA--- American Conference of Governmental Industrial Hygienists- Time weighted average</w:t>
      </w:r>
    </w:p>
    <w:p>
      <w:pPr>
        <w:rPr>
          <w:color w:val="333333"/>
          <w:sz w:val="22"/>
          <w:szCs w:val="22"/>
        </w:rPr>
      </w:pPr>
      <w:r>
        <w:rPr>
          <w:color w:val="333333"/>
          <w:sz w:val="22"/>
          <w:szCs w:val="22"/>
        </w:rPr>
        <w:t>ACGIH STEL--- American Conference of Governmental Industrial Hygienists- Short Term Exposure Limit</w:t>
      </w:r>
    </w:p>
    <w:p>
      <w:pPr>
        <w:rPr>
          <w:color w:val="333333"/>
          <w:sz w:val="22"/>
          <w:szCs w:val="22"/>
        </w:rPr>
      </w:pPr>
      <w:r>
        <w:rPr>
          <w:color w:val="333333"/>
          <w:sz w:val="22"/>
          <w:szCs w:val="22"/>
        </w:rPr>
        <w:t>LD</w:t>
      </w:r>
      <w:r>
        <w:rPr>
          <w:color w:val="333333"/>
          <w:sz w:val="22"/>
          <w:szCs w:val="22"/>
          <w:vertAlign w:val="subscript"/>
        </w:rPr>
        <w:t xml:space="preserve">50: </w:t>
      </w:r>
      <w:r>
        <w:rPr>
          <w:color w:val="333333"/>
          <w:sz w:val="22"/>
          <w:szCs w:val="22"/>
        </w:rPr>
        <w:t>It refers to lethal dose with oral and dermal exposure. In statistics, it is expected to cause 50% individual deaths in a group of subjects.</w:t>
      </w:r>
    </w:p>
    <w:p>
      <w:pPr>
        <w:rPr>
          <w:color w:val="333333"/>
          <w:sz w:val="22"/>
          <w:szCs w:val="22"/>
        </w:rPr>
      </w:pPr>
      <w:r>
        <w:rPr>
          <w:color w:val="333333"/>
          <w:sz w:val="22"/>
          <w:szCs w:val="22"/>
        </w:rPr>
        <w:t>LC</w:t>
      </w:r>
      <w:r>
        <w:rPr>
          <w:color w:val="333333"/>
          <w:sz w:val="22"/>
          <w:szCs w:val="22"/>
          <w:vertAlign w:val="subscript"/>
        </w:rPr>
        <w:t xml:space="preserve">50: </w:t>
      </w:r>
      <w:r>
        <w:rPr>
          <w:color w:val="333333"/>
          <w:sz w:val="22"/>
          <w:szCs w:val="22"/>
        </w:rPr>
        <w:t>It refers to lethal concentration with respiration inhalation. In statistics, it is expected to cause 50% individual deaths in a group of subjects.</w:t>
      </w:r>
    </w:p>
    <w:p>
      <w:pPr>
        <w:rPr>
          <w:color w:val="333333"/>
          <w:sz w:val="22"/>
          <w:szCs w:val="22"/>
        </w:rPr>
      </w:pPr>
      <w:r>
        <w:rPr>
          <w:color w:val="333333"/>
          <w:sz w:val="22"/>
          <w:szCs w:val="22"/>
        </w:rPr>
        <w:t>EC</w:t>
      </w:r>
      <w:r>
        <w:rPr>
          <w:color w:val="333333"/>
          <w:sz w:val="22"/>
          <w:szCs w:val="22"/>
          <w:vertAlign w:val="subscript"/>
        </w:rPr>
        <w:t>50；</w:t>
      </w:r>
      <w:r>
        <w:rPr>
          <w:color w:val="333333"/>
          <w:sz w:val="22"/>
          <w:szCs w:val="22"/>
        </w:rPr>
        <w:t>It refers to the concentration that can cause the 50% of maximal effect.</w:t>
      </w:r>
    </w:p>
    <w:p>
      <w:pPr>
        <w:rPr>
          <w:color w:val="333333"/>
          <w:sz w:val="22"/>
          <w:szCs w:val="22"/>
        </w:rPr>
      </w:pPr>
    </w:p>
    <w:p>
      <w:pPr>
        <w:rPr>
          <w:b/>
          <w:color w:val="333333"/>
          <w:sz w:val="22"/>
          <w:szCs w:val="22"/>
        </w:rPr>
      </w:pPr>
      <w:r>
        <w:rPr>
          <w:b/>
          <w:color w:val="333333"/>
          <w:sz w:val="22"/>
          <w:szCs w:val="22"/>
        </w:rPr>
        <w:t>References:</w:t>
      </w:r>
    </w:p>
    <w:p>
      <w:pPr>
        <w:ind w:left="440" w:hanging="440" w:hangingChars="200"/>
        <w:rPr>
          <w:color w:val="333333"/>
          <w:sz w:val="22"/>
          <w:szCs w:val="22"/>
        </w:rPr>
      </w:pPr>
      <w:r>
        <w:rPr>
          <w:color w:val="333333"/>
          <w:sz w:val="22"/>
          <w:szCs w:val="22"/>
        </w:rPr>
        <w:t xml:space="preserve">1. Zhou Guotai, </w:t>
      </w:r>
      <w:r>
        <w:rPr>
          <w:i/>
          <w:color w:val="333333"/>
          <w:sz w:val="22"/>
          <w:szCs w:val="22"/>
        </w:rPr>
        <w:t>Hazardous chemicals safety technology</w:t>
      </w:r>
      <w:r>
        <w:rPr>
          <w:color w:val="333333"/>
          <w:sz w:val="22"/>
          <w:szCs w:val="22"/>
        </w:rPr>
        <w:t>, Chemical Industry Press, 1997.</w:t>
      </w:r>
    </w:p>
    <w:p>
      <w:pPr>
        <w:rPr>
          <w:color w:val="333333"/>
          <w:sz w:val="22"/>
          <w:szCs w:val="22"/>
        </w:rPr>
      </w:pPr>
      <w:r>
        <w:rPr>
          <w:color w:val="333333"/>
          <w:sz w:val="22"/>
          <w:szCs w:val="22"/>
        </w:rPr>
        <w:t xml:space="preserve">2. State Environmental Protection Administration of toxic chemicals management &amp;the Beijing Institute of chemical research, </w:t>
      </w:r>
      <w:r>
        <w:rPr>
          <w:i/>
          <w:color w:val="333333"/>
          <w:sz w:val="22"/>
          <w:szCs w:val="22"/>
        </w:rPr>
        <w:t>Handbook of Environmental Data for Environmental Regulations</w:t>
      </w:r>
      <w:r>
        <w:rPr>
          <w:color w:val="333333"/>
          <w:sz w:val="22"/>
          <w:szCs w:val="22"/>
        </w:rPr>
        <w:t>, China Environmental Science Press, 1992.</w:t>
      </w:r>
    </w:p>
    <w:p>
      <w:pPr>
        <w:rPr>
          <w:color w:val="333333"/>
          <w:sz w:val="22"/>
          <w:szCs w:val="22"/>
        </w:rPr>
      </w:pPr>
      <w:r>
        <w:rPr>
          <w:color w:val="333333"/>
          <w:sz w:val="22"/>
          <w:szCs w:val="22"/>
        </w:rPr>
        <w:t xml:space="preserve">3. Cheng nenglin, </w:t>
      </w:r>
      <w:r>
        <w:rPr>
          <w:i/>
          <w:color w:val="333333"/>
          <w:sz w:val="22"/>
          <w:szCs w:val="22"/>
        </w:rPr>
        <w:t>Solvent Handbook</w:t>
      </w:r>
      <w:r>
        <w:rPr>
          <w:color w:val="333333"/>
          <w:sz w:val="22"/>
          <w:szCs w:val="22"/>
        </w:rPr>
        <w:t>, Chemical Industry Press, 1994.</w:t>
      </w:r>
    </w:p>
    <w:p>
      <w:pPr>
        <w:rPr>
          <w:rFonts w:eastAsia="黑体"/>
          <w:sz w:val="22"/>
          <w:szCs w:val="22"/>
        </w:rPr>
      </w:pPr>
      <w:r>
        <w:rPr>
          <w:color w:val="333333"/>
          <w:sz w:val="22"/>
          <w:szCs w:val="22"/>
        </w:rPr>
        <w:t xml:space="preserve">4. </w:t>
      </w:r>
      <w:r>
        <w:rPr>
          <w:rFonts w:eastAsia="黑体"/>
          <w:sz w:val="22"/>
          <w:szCs w:val="22"/>
        </w:rPr>
        <w:t>Canadian Centre for Occupational Health and Safety. CHEMINFO Database, 1989.</w:t>
      </w:r>
    </w:p>
    <w:p>
      <w:pPr>
        <w:rPr>
          <w:color w:val="333333"/>
          <w:sz w:val="22"/>
          <w:szCs w:val="22"/>
        </w:rPr>
      </w:pPr>
    </w:p>
    <w:p>
      <w:pPr>
        <w:rPr>
          <w:b/>
          <w:color w:val="333333"/>
          <w:sz w:val="22"/>
          <w:szCs w:val="22"/>
        </w:rPr>
      </w:pPr>
      <w:r>
        <w:rPr>
          <w:b/>
          <w:color w:val="333333"/>
          <w:sz w:val="22"/>
          <w:szCs w:val="22"/>
        </w:rPr>
        <w:t>Disclaimer:</w:t>
      </w:r>
    </w:p>
    <w:p>
      <w:pPr>
        <w:rPr>
          <w:b/>
          <w:color w:val="333333"/>
          <w:sz w:val="22"/>
          <w:szCs w:val="22"/>
        </w:rPr>
      </w:pPr>
      <w:r>
        <w:rPr>
          <w:color w:val="333333"/>
          <w:sz w:val="22"/>
          <w:szCs w:val="22"/>
        </w:rPr>
        <w:t>The information contained in this data sheet is based on present scientific and technical knowledge. The purpose of this information is to draw attention to the health and safety aspects concerning the products, and to recommend precautionary measures for the storage and handling of the products. The users should have their own ideas about the practical appliance of this MSDS. No warranty or guarantee is given in respect of the properties of the products. No liability can be accepted for any failure to observe the precautionary measures described in this data sheet or for any misuse of the product</w:t>
      </w:r>
      <w:r>
        <w:rPr>
          <w:rFonts w:hint="eastAsia"/>
          <w:color w:val="333333"/>
          <w:sz w:val="22"/>
          <w:szCs w:val="22"/>
        </w:rPr>
        <w:t>.</w:t>
      </w:r>
      <w:r>
        <w:rPr>
          <w:sz w:val="22"/>
          <w:szCs w:val="22"/>
        </w:rPr>
        <w:tab/>
      </w:r>
      <w:bookmarkEnd w:id="0"/>
    </w:p>
    <w:p/>
    <w:sectPr>
      <w:headerReference r:id="rId4" w:type="first"/>
      <w:footerReference r:id="rId6" w:type="first"/>
      <w:headerReference r:id="rId3" w:type="default"/>
      <w:footerReference r:id="rId5" w:type="default"/>
      <w:pgSz w:w="11906" w:h="16838"/>
      <w:pgMar w:top="1440" w:right="849" w:bottom="851" w:left="1134" w:header="426" w:footer="288"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Arial,Bold">
    <w:altName w:val="等线"/>
    <w:panose1 w:val="00000000000000000000"/>
    <w:charset w:val="00"/>
    <w:family w:val="auto"/>
    <w:pitch w:val="default"/>
    <w:sig w:usb0="00000000" w:usb1="00000000" w:usb2="00000000" w:usb3="00000000" w:csb0="00000000" w:csb1="00000000"/>
  </w:font>
  <w:font w:name="等线">
    <w:panose1 w:val="02010600030101010101"/>
    <w:charset w:val="86"/>
    <w:family w:val="auto"/>
    <w:pitch w:val="default"/>
    <w:sig w:usb0="A00002BF" w:usb1="38CF7CFA" w:usb2="00000016" w:usb3="00000000" w:csb0="0004000F" w:csb1="00000000"/>
  </w:font>
  <w:font w:name="Arial Unicode MS">
    <w:panose1 w:val="020B0604020202020204"/>
    <w:charset w:val="86"/>
    <w:family w:val="swiss"/>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5"/>
      <w:tblW w:w="10139" w:type="dxa"/>
      <w:tblInd w:w="0" w:type="dxa"/>
      <w:tblLayout w:type="fixed"/>
      <w:tblCellMar>
        <w:top w:w="0" w:type="dxa"/>
        <w:left w:w="108" w:type="dxa"/>
        <w:bottom w:w="0" w:type="dxa"/>
        <w:right w:w="108" w:type="dxa"/>
      </w:tblCellMar>
    </w:tblPr>
    <w:tblGrid>
      <w:gridCol w:w="10139"/>
    </w:tblGrid>
    <w:tr>
      <w:tblPrEx>
        <w:tblCellMar>
          <w:top w:w="0" w:type="dxa"/>
          <w:left w:w="108" w:type="dxa"/>
          <w:bottom w:w="0" w:type="dxa"/>
          <w:right w:w="108" w:type="dxa"/>
        </w:tblCellMar>
      </w:tblPrEx>
      <w:tc>
        <w:tcPr>
          <w:tcW w:w="10139" w:type="dxa"/>
          <w:tcBorders>
            <w:top w:val="single" w:color="auto" w:sz="12" w:space="0"/>
          </w:tcBorders>
          <w:shd w:val="clear" w:color="auto" w:fill="auto"/>
        </w:tcPr>
        <w:p>
          <w:r>
            <w:rPr>
              <w:rFonts w:hint="eastAsia" w:ascii="Arial" w:hAnsi="Arial" w:cs="Arial"/>
              <w:szCs w:val="21"/>
            </w:rPr>
            <w:t>YATU ADVANCED MATERIALS CO.,</w:t>
          </w:r>
          <w:r>
            <w:rPr>
              <w:rFonts w:ascii="Arial" w:hAnsi="Arial" w:cs="Arial"/>
              <w:szCs w:val="21"/>
            </w:rPr>
            <w:t xml:space="preserve"> </w:t>
          </w:r>
          <w:r>
            <w:rPr>
              <w:rFonts w:hint="eastAsia" w:ascii="Arial" w:hAnsi="Arial" w:cs="Arial"/>
              <w:szCs w:val="21"/>
            </w:rPr>
            <w:t xml:space="preserve">LTD                                          Page </w:t>
          </w:r>
          <w:sdt>
            <w:sdtPr>
              <w:id w:val="330794628"/>
            </w:sdtPr>
            <w:sdtEndPr>
              <w:rPr>
                <w:rFonts w:ascii="Arial" w:hAnsi="Arial" w:cs="Arial"/>
              </w:rPr>
            </w:sdtEndPr>
            <w:sdtContent>
              <w:r>
                <w:rPr>
                  <w:rFonts w:ascii="Arial" w:hAnsi="Arial" w:cs="Arial"/>
                </w:rPr>
                <w:fldChar w:fldCharType="begin"/>
              </w:r>
              <w:r>
                <w:rPr>
                  <w:rFonts w:ascii="Arial" w:hAnsi="Arial" w:cs="Arial"/>
                </w:rPr>
                <w:instrText xml:space="preserve"> PAGE </w:instrText>
              </w:r>
              <w:r>
                <w:rPr>
                  <w:rFonts w:ascii="Arial" w:hAnsi="Arial" w:cs="Arial"/>
                </w:rPr>
                <w:fldChar w:fldCharType="separate"/>
              </w:r>
              <w:r>
                <w:rPr>
                  <w:rFonts w:ascii="Arial" w:hAnsi="Arial" w:cs="Arial"/>
                </w:rPr>
                <w:t>5</w:t>
              </w:r>
              <w:r>
                <w:rPr>
                  <w:rFonts w:ascii="Arial" w:hAnsi="Arial" w:cs="Arial"/>
                </w:rPr>
                <w:fldChar w:fldCharType="end"/>
              </w:r>
              <w:r>
                <w:rPr>
                  <w:rFonts w:ascii="Arial" w:hAnsi="Arial" w:cs="Arial"/>
                </w:rPr>
                <w:t xml:space="preserve"> / </w:t>
              </w:r>
              <w:r>
                <w:rPr>
                  <w:rFonts w:ascii="Arial" w:hAnsi="Arial" w:cs="Arial"/>
                </w:rPr>
                <w:fldChar w:fldCharType="begin"/>
              </w:r>
              <w:r>
                <w:rPr>
                  <w:rFonts w:ascii="Arial" w:hAnsi="Arial" w:cs="Arial"/>
                </w:rPr>
                <w:instrText xml:space="preserve"> NUMPAGES  </w:instrText>
              </w:r>
              <w:r>
                <w:rPr>
                  <w:rFonts w:ascii="Arial" w:hAnsi="Arial" w:cs="Arial"/>
                </w:rPr>
                <w:fldChar w:fldCharType="separate"/>
              </w:r>
              <w:r>
                <w:rPr>
                  <w:rFonts w:ascii="Arial" w:hAnsi="Arial" w:cs="Arial"/>
                </w:rPr>
                <w:t>9</w:t>
              </w:r>
              <w:r>
                <w:rPr>
                  <w:rFonts w:ascii="Arial" w:hAnsi="Arial" w:cs="Arial"/>
                </w:rPr>
                <w:fldChar w:fldCharType="end"/>
              </w:r>
            </w:sdtContent>
          </w:sdt>
        </w:p>
        <w:p>
          <w:pPr>
            <w:pStyle w:val="3"/>
            <w:rPr>
              <w:rFonts w:ascii="Arial" w:hAnsi="Arial" w:cs="Arial"/>
              <w:sz w:val="21"/>
              <w:szCs w:val="21"/>
            </w:rPr>
          </w:pPr>
        </w:p>
      </w:tc>
    </w:tr>
  </w:tbl>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5"/>
      <w:tblW w:w="10139" w:type="dxa"/>
      <w:tblInd w:w="0" w:type="dxa"/>
      <w:tblLayout w:type="fixed"/>
      <w:tblCellMar>
        <w:top w:w="0" w:type="dxa"/>
        <w:left w:w="108" w:type="dxa"/>
        <w:bottom w:w="0" w:type="dxa"/>
        <w:right w:w="108" w:type="dxa"/>
      </w:tblCellMar>
    </w:tblPr>
    <w:tblGrid>
      <w:gridCol w:w="10139"/>
    </w:tblGrid>
    <w:tr>
      <w:tblPrEx>
        <w:tblCellMar>
          <w:top w:w="0" w:type="dxa"/>
          <w:left w:w="108" w:type="dxa"/>
          <w:bottom w:w="0" w:type="dxa"/>
          <w:right w:w="108" w:type="dxa"/>
        </w:tblCellMar>
      </w:tblPrEx>
      <w:tc>
        <w:tcPr>
          <w:tcW w:w="10139" w:type="dxa"/>
          <w:tcBorders>
            <w:top w:val="single" w:color="auto" w:sz="12" w:space="0"/>
          </w:tcBorders>
          <w:shd w:val="clear" w:color="auto" w:fill="auto"/>
        </w:tcPr>
        <w:p>
          <w:pPr>
            <w:rPr>
              <w:rFonts w:ascii="Arial" w:hAnsi="Arial" w:cs="Arial"/>
            </w:rPr>
          </w:pPr>
          <w:r>
            <w:rPr>
              <w:rFonts w:hint="eastAsia" w:ascii="Arial" w:hAnsi="Arial" w:cs="Arial"/>
              <w:szCs w:val="21"/>
            </w:rPr>
            <w:t>YATU ADVANCED MATERIALS CO.,</w:t>
          </w:r>
          <w:r>
            <w:rPr>
              <w:rFonts w:ascii="Arial" w:hAnsi="Arial" w:cs="Arial"/>
              <w:szCs w:val="21"/>
            </w:rPr>
            <w:t xml:space="preserve"> </w:t>
          </w:r>
          <w:r>
            <w:rPr>
              <w:rFonts w:hint="eastAsia" w:ascii="Arial" w:hAnsi="Arial" w:cs="Arial"/>
              <w:szCs w:val="21"/>
            </w:rPr>
            <w:t xml:space="preserve">LTD                                 Page </w:t>
          </w:r>
          <w:sdt>
            <w:sdtPr>
              <w:id w:val="250395305"/>
            </w:sdtPr>
            <w:sdtEndPr>
              <w:rPr>
                <w:rFonts w:ascii="Arial" w:hAnsi="Arial" w:cs="Arial"/>
              </w:rPr>
            </w:sdtEndPr>
            <w:sdtContent>
              <w:r>
                <w:rPr>
                  <w:rFonts w:ascii="Arial" w:hAnsi="Arial" w:cs="Arial"/>
                </w:rPr>
                <w:fldChar w:fldCharType="begin"/>
              </w:r>
              <w:r>
                <w:rPr>
                  <w:rFonts w:ascii="Arial" w:hAnsi="Arial" w:cs="Arial"/>
                </w:rPr>
                <w:instrText xml:space="preserve"> PAGE </w:instrText>
              </w:r>
              <w:r>
                <w:rPr>
                  <w:rFonts w:ascii="Arial" w:hAnsi="Arial" w:cs="Arial"/>
                </w:rPr>
                <w:fldChar w:fldCharType="separate"/>
              </w:r>
              <w:r>
                <w:rPr>
                  <w:rFonts w:ascii="Arial" w:hAnsi="Arial" w:cs="Arial"/>
                </w:rPr>
                <w:t>1</w:t>
              </w:r>
              <w:r>
                <w:rPr>
                  <w:rFonts w:ascii="Arial" w:hAnsi="Arial" w:cs="Arial"/>
                </w:rPr>
                <w:fldChar w:fldCharType="end"/>
              </w:r>
              <w:r>
                <w:rPr>
                  <w:rFonts w:ascii="Arial" w:hAnsi="Arial" w:cs="Arial"/>
                </w:rPr>
                <w:t xml:space="preserve"> / </w:t>
              </w:r>
              <w:r>
                <w:rPr>
                  <w:rFonts w:ascii="Arial" w:hAnsi="Arial" w:cs="Arial"/>
                </w:rPr>
                <w:fldChar w:fldCharType="begin"/>
              </w:r>
              <w:r>
                <w:rPr>
                  <w:rFonts w:ascii="Arial" w:hAnsi="Arial" w:cs="Arial"/>
                </w:rPr>
                <w:instrText xml:space="preserve"> NUMPAGES  </w:instrText>
              </w:r>
              <w:r>
                <w:rPr>
                  <w:rFonts w:ascii="Arial" w:hAnsi="Arial" w:cs="Arial"/>
                </w:rPr>
                <w:fldChar w:fldCharType="separate"/>
              </w:r>
              <w:r>
                <w:rPr>
                  <w:rFonts w:ascii="Arial" w:hAnsi="Arial" w:cs="Arial"/>
                </w:rPr>
                <w:t>9</w:t>
              </w:r>
              <w:r>
                <w:rPr>
                  <w:rFonts w:ascii="Arial" w:hAnsi="Arial" w:cs="Arial"/>
                </w:rPr>
                <w:fldChar w:fldCharType="end"/>
              </w:r>
            </w:sdtContent>
          </w:sdt>
        </w:p>
        <w:p>
          <w:pPr>
            <w:rPr>
              <w:rFonts w:ascii="Arial" w:hAnsi="Arial" w:cs="Arial"/>
              <w:szCs w:val="21"/>
            </w:rPr>
          </w:pPr>
        </w:p>
      </w:tc>
    </w:tr>
  </w:tbl>
  <w:p>
    <w:pPr>
      <w:pStyle w:val="3"/>
      <w:rPr>
        <w:rFonts w:ascii="Arial" w:hAnsi="Arial" w:cs="Arial"/>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5"/>
      <w:tblW w:w="10173" w:type="dxa"/>
      <w:tblInd w:w="0" w:type="dxa"/>
      <w:tblLayout w:type="fixed"/>
      <w:tblCellMar>
        <w:top w:w="0" w:type="dxa"/>
        <w:left w:w="108" w:type="dxa"/>
        <w:bottom w:w="0" w:type="dxa"/>
        <w:right w:w="108" w:type="dxa"/>
      </w:tblCellMar>
    </w:tblPr>
    <w:tblGrid>
      <w:gridCol w:w="6345"/>
      <w:gridCol w:w="3828"/>
    </w:tblGrid>
    <w:tr>
      <w:tblPrEx>
        <w:tblCellMar>
          <w:top w:w="0" w:type="dxa"/>
          <w:left w:w="108" w:type="dxa"/>
          <w:bottom w:w="0" w:type="dxa"/>
          <w:right w:w="108" w:type="dxa"/>
        </w:tblCellMar>
      </w:tblPrEx>
      <w:trPr>
        <w:trHeight w:val="312" w:hRule="atLeast"/>
      </w:trPr>
      <w:tc>
        <w:tcPr>
          <w:tcW w:w="6345" w:type="dxa"/>
          <w:shd w:val="clear" w:color="auto" w:fill="auto"/>
          <w:vAlign w:val="center"/>
        </w:tcPr>
        <w:p>
          <w:pPr>
            <w:pStyle w:val="4"/>
            <w:pBdr>
              <w:top w:val="none" w:color="auto" w:sz="0" w:space="0"/>
              <w:left w:val="none" w:color="auto" w:sz="0" w:space="0"/>
              <w:bottom w:val="none" w:color="auto" w:sz="0" w:space="0"/>
              <w:right w:val="none" w:color="auto" w:sz="0" w:space="0"/>
            </w:pBdr>
            <w:rPr>
              <w:rFonts w:ascii="Arial" w:hAnsi="Arial" w:cs="Arial"/>
              <w:sz w:val="21"/>
              <w:szCs w:val="21"/>
            </w:rPr>
          </w:pPr>
          <w:r>
            <w:rPr>
              <w:rFonts w:hint="eastAsia" w:ascii="Arial" w:hAnsi="Arial" w:cs="Arial"/>
              <w:sz w:val="21"/>
              <w:szCs w:val="21"/>
            </w:rPr>
            <w:t>Product name</w:t>
          </w:r>
          <w:r>
            <w:rPr>
              <w:rFonts w:ascii="Arial" w:hAnsi="Arial" w:cs="Arial"/>
              <w:sz w:val="21"/>
              <w:szCs w:val="21"/>
            </w:rPr>
            <w:t>：</w:t>
          </w:r>
          <w:r>
            <w:rPr>
              <w:rFonts w:hint="eastAsia" w:ascii="Arial" w:hAnsi="Arial" w:cs="Arial"/>
              <w:sz w:val="21"/>
              <w:szCs w:val="21"/>
            </w:rPr>
            <w:t>MAX-3P100 White Pearl</w:t>
          </w:r>
        </w:p>
      </w:tc>
      <w:tc>
        <w:tcPr>
          <w:tcW w:w="3828" w:type="dxa"/>
          <w:shd w:val="clear" w:color="auto" w:fill="auto"/>
          <w:vAlign w:val="center"/>
        </w:tcPr>
        <w:p>
          <w:pPr>
            <w:pStyle w:val="4"/>
            <w:pBdr>
              <w:top w:val="none" w:color="auto" w:sz="0" w:space="0"/>
              <w:left w:val="none" w:color="auto" w:sz="0" w:space="0"/>
              <w:bottom w:val="none" w:color="auto" w:sz="0" w:space="0"/>
              <w:right w:val="none" w:color="auto" w:sz="0" w:space="0"/>
            </w:pBdr>
            <w:ind w:firstLine="630" w:firstLineChars="300"/>
            <w:rPr>
              <w:rFonts w:ascii="Arial" w:hAnsi="Arial" w:cs="Arial"/>
              <w:sz w:val="21"/>
              <w:szCs w:val="21"/>
            </w:rPr>
          </w:pPr>
          <w:r>
            <w:rPr>
              <w:rFonts w:ascii="Arial" w:hAnsi="Arial" w:cs="Arial"/>
              <w:sz w:val="21"/>
              <w:szCs w:val="21"/>
            </w:rPr>
            <w:t>MSDS</w:t>
          </w:r>
          <w:r>
            <w:rPr>
              <w:rFonts w:hint="eastAsia" w:ascii="Arial" w:hAnsi="Arial" w:cs="Arial"/>
              <w:sz w:val="21"/>
              <w:szCs w:val="21"/>
            </w:rPr>
            <w:t xml:space="preserve"> No.</w:t>
          </w:r>
          <w:r>
            <w:rPr>
              <w:rFonts w:ascii="Arial" w:hAnsi="Arial" w:cs="Arial"/>
              <w:sz w:val="21"/>
              <w:szCs w:val="21"/>
            </w:rPr>
            <w:t>：</w:t>
          </w:r>
          <w:r>
            <w:rPr>
              <w:rFonts w:ascii="Arial" w:hAnsi="Arial" w:eastAsia="黑体" w:cs="Arial"/>
              <w:sz w:val="21"/>
              <w:szCs w:val="21"/>
            </w:rPr>
            <w:t>MS-QY</w:t>
          </w:r>
          <w:r>
            <w:rPr>
              <w:rFonts w:hint="eastAsia" w:ascii="Arial" w:hAnsi="Arial" w:cs="Arial"/>
              <w:sz w:val="21"/>
              <w:szCs w:val="21"/>
            </w:rPr>
            <w:t>MAX-3P100</w:t>
          </w:r>
        </w:p>
      </w:tc>
    </w:tr>
    <w:tr>
      <w:tblPrEx>
        <w:tblCellMar>
          <w:top w:w="0" w:type="dxa"/>
          <w:left w:w="108" w:type="dxa"/>
          <w:bottom w:w="0" w:type="dxa"/>
          <w:right w:w="108" w:type="dxa"/>
        </w:tblCellMar>
      </w:tblPrEx>
      <w:trPr>
        <w:trHeight w:val="312" w:hRule="atLeast"/>
      </w:trPr>
      <w:tc>
        <w:tcPr>
          <w:tcW w:w="6345" w:type="dxa"/>
          <w:tcBorders>
            <w:bottom w:val="single" w:color="auto" w:sz="12" w:space="0"/>
          </w:tcBorders>
          <w:shd w:val="clear" w:color="auto" w:fill="auto"/>
          <w:vAlign w:val="center"/>
        </w:tcPr>
        <w:p>
          <w:pPr>
            <w:pStyle w:val="4"/>
            <w:pBdr>
              <w:top w:val="none" w:color="auto" w:sz="0" w:space="0"/>
              <w:left w:val="none" w:color="auto" w:sz="0" w:space="0"/>
              <w:bottom w:val="none" w:color="auto" w:sz="0" w:space="0"/>
              <w:right w:val="none" w:color="auto" w:sz="0" w:space="0"/>
            </w:pBdr>
            <w:rPr>
              <w:rFonts w:ascii="Arial" w:hAnsi="Arial" w:cs="Arial"/>
              <w:sz w:val="21"/>
              <w:szCs w:val="21"/>
            </w:rPr>
          </w:pPr>
          <w:r>
            <w:rPr>
              <w:rFonts w:hint="eastAsia" w:ascii="Arial" w:hAnsi="Arial" w:cs="Arial"/>
              <w:sz w:val="21"/>
              <w:szCs w:val="21"/>
            </w:rPr>
            <w:t>Revision date</w:t>
          </w:r>
          <w:r>
            <w:rPr>
              <w:rFonts w:ascii="Arial" w:hAnsi="Arial" w:cs="Arial"/>
              <w:sz w:val="21"/>
              <w:szCs w:val="21"/>
            </w:rPr>
            <w:t>：</w:t>
          </w:r>
          <w:r>
            <w:rPr>
              <w:rFonts w:hint="eastAsia" w:ascii="Arial" w:hAnsi="Arial" w:cs="Arial"/>
              <w:sz w:val="21"/>
              <w:szCs w:val="21"/>
            </w:rPr>
            <w:t xml:space="preserve">Mar 30, 2024  </w:t>
          </w:r>
        </w:p>
      </w:tc>
      <w:tc>
        <w:tcPr>
          <w:tcW w:w="3828" w:type="dxa"/>
          <w:tcBorders>
            <w:bottom w:val="single" w:color="auto" w:sz="12" w:space="0"/>
          </w:tcBorders>
          <w:shd w:val="clear" w:color="auto" w:fill="auto"/>
          <w:vAlign w:val="center"/>
        </w:tcPr>
        <w:p>
          <w:pPr>
            <w:pStyle w:val="4"/>
            <w:pBdr>
              <w:top w:val="none" w:color="auto" w:sz="0" w:space="0"/>
              <w:left w:val="none" w:color="auto" w:sz="0" w:space="0"/>
              <w:bottom w:val="none" w:color="auto" w:sz="0" w:space="0"/>
              <w:right w:val="none" w:color="auto" w:sz="0" w:space="0"/>
            </w:pBdr>
            <w:ind w:firstLine="630" w:firstLineChars="300"/>
            <w:rPr>
              <w:rFonts w:ascii="Arial" w:hAnsi="Arial" w:cs="Arial"/>
              <w:sz w:val="21"/>
              <w:szCs w:val="21"/>
            </w:rPr>
          </w:pPr>
          <w:r>
            <w:rPr>
              <w:rFonts w:hint="eastAsia" w:ascii="Arial" w:hAnsi="Arial" w:cs="Arial"/>
              <w:sz w:val="21"/>
              <w:szCs w:val="21"/>
            </w:rPr>
            <w:t>Version No.：</w:t>
          </w:r>
          <w:r>
            <w:rPr>
              <w:rFonts w:ascii="Arial" w:hAnsi="Arial" w:cs="Arial"/>
              <w:sz w:val="21"/>
              <w:szCs w:val="21"/>
            </w:rPr>
            <w:t>4.04</w:t>
          </w:r>
        </w:p>
      </w:tc>
    </w:tr>
  </w:tbl>
  <w:p>
    <w:pPr>
      <w:pStyle w:val="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rPr>
        <w:b/>
        <w:sz w:val="44"/>
        <w:szCs w:val="44"/>
      </w:rPr>
    </w:pPr>
    <w:r>
      <w:rPr>
        <w:b/>
        <w:sz w:val="36"/>
      </w:rPr>
      <w:drawing>
        <wp:inline distT="0" distB="0" distL="0" distR="0">
          <wp:extent cx="1123950" cy="33909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138160" cy="343820"/>
                  </a:xfrm>
                  <a:prstGeom prst="rect">
                    <a:avLst/>
                  </a:prstGeom>
                  <a:noFill/>
                  <a:ln>
                    <a:noFill/>
                  </a:ln>
                </pic:spPr>
              </pic:pic>
            </a:graphicData>
          </a:graphic>
        </wp:inline>
      </w:drawing>
    </w:r>
  </w:p>
  <w:p>
    <w:pPr>
      <w:pStyle w:val="4"/>
      <w:spacing w:before="240"/>
      <w:jc w:val="left"/>
      <w:rPr>
        <w:rFonts w:ascii="Arial" w:hAnsi="Arial" w:eastAsia="Arial Unicode MS" w:cs="Arial"/>
        <w:b/>
        <w:sz w:val="28"/>
        <w:szCs w:val="28"/>
      </w:rPr>
    </w:pPr>
    <w:r>
      <w:rPr>
        <w:rFonts w:hint="eastAsia" w:ascii="Arial" w:hAnsi="Arial" w:eastAsia="Arial Unicode MS" w:cs="Arial"/>
        <w:b/>
        <w:sz w:val="28"/>
        <w:szCs w:val="28"/>
      </w:rPr>
      <w:t>MATERIAL SAFETY DATA SHEET</w:t>
    </w:r>
  </w:p>
  <w:p>
    <w:pPr>
      <w:pStyle w:val="4"/>
      <w:spacing w:after="240"/>
      <w:jc w:val="left"/>
      <w:rPr>
        <w:rFonts w:ascii="Arial" w:hAnsi="Arial" w:eastAsia="Arial Unicode MS" w:cs="Arial"/>
        <w:sz w:val="24"/>
      </w:rPr>
    </w:pPr>
    <w:r>
      <w:rPr>
        <w:rFonts w:hint="eastAsia" w:ascii="Arial" w:hAnsi="Arial" w:eastAsia="Arial Unicode MS" w:cs="Arial"/>
        <w:sz w:val="24"/>
      </w:rPr>
      <w:t>(</w:t>
    </w:r>
    <w:r>
      <w:rPr>
        <w:rFonts w:ascii="Arial" w:hAnsi="Arial" w:eastAsia="Arial Unicode MS" w:cs="Arial"/>
        <w:sz w:val="24"/>
      </w:rPr>
      <w:t>GB/T 16483</w:t>
    </w:r>
    <w:r>
      <w:rPr>
        <w:rFonts w:hint="eastAsia" w:ascii="Arial" w:hAnsi="Arial" w:eastAsia="Arial Unicode MS" w:cs="Arial"/>
        <w:sz w:val="24"/>
      </w:rPr>
      <w:t>,</w:t>
    </w:r>
    <w:r>
      <w:rPr>
        <w:rFonts w:ascii="Arial" w:hAnsi="Arial" w:eastAsia="Arial Unicode MS" w:cs="Arial"/>
        <w:sz w:val="24"/>
      </w:rPr>
      <w:t xml:space="preserve"> GB/T 17519</w:t>
    </w:r>
    <w:r>
      <w:rPr>
        <w:rFonts w:hint="eastAsia" w:ascii="Arial" w:hAnsi="Arial" w:eastAsia="Arial Unicode MS" w:cs="Arial"/>
        <w:sz w:val="24"/>
      </w:rPr>
      <w:t>)</w:t>
    </w:r>
  </w:p>
  <w:p>
    <w:pPr>
      <w:pStyle w:val="4"/>
      <w:pBdr>
        <w:top w:val="none" w:color="auto" w:sz="0" w:space="0"/>
        <w:left w:val="none" w:color="auto" w:sz="0" w:space="0"/>
        <w:bottom w:val="none" w:color="auto" w:sz="0" w:space="0"/>
        <w:right w:val="none" w:color="auto" w:sz="0" w:space="0"/>
      </w:pBdr>
      <w:jc w:val="left"/>
      <w:rPr>
        <w:rFonts w:hint="eastAsia" w:ascii="Arial" w:hAnsi="Arial" w:cs="Arial"/>
        <w:sz w:val="21"/>
        <w:szCs w:val="21"/>
      </w:rPr>
    </w:pPr>
    <w:r>
      <w:rPr>
        <w:rFonts w:hint="eastAsia" w:ascii="Arial" w:hAnsi="Arial" w:cs="Arial"/>
        <w:sz w:val="21"/>
        <w:szCs w:val="21"/>
      </w:rPr>
      <w:t>Product name: MAX-3P100 White Pearl</w:t>
    </w:r>
  </w:p>
  <w:tbl>
    <w:tblPr>
      <w:tblStyle w:val="5"/>
      <w:tblW w:w="10173" w:type="dxa"/>
      <w:tblInd w:w="0" w:type="dxa"/>
      <w:tblLayout w:type="fixed"/>
      <w:tblCellMar>
        <w:top w:w="0" w:type="dxa"/>
        <w:left w:w="108" w:type="dxa"/>
        <w:bottom w:w="0" w:type="dxa"/>
        <w:right w:w="108" w:type="dxa"/>
      </w:tblCellMar>
    </w:tblPr>
    <w:tblGrid>
      <w:gridCol w:w="10173"/>
    </w:tblGrid>
    <w:tr>
      <w:tblPrEx>
        <w:tblCellMar>
          <w:top w:w="0" w:type="dxa"/>
          <w:left w:w="108" w:type="dxa"/>
          <w:bottom w:w="0" w:type="dxa"/>
          <w:right w:w="108" w:type="dxa"/>
        </w:tblCellMar>
      </w:tblPrEx>
      <w:trPr>
        <w:trHeight w:val="312" w:hRule="atLeast"/>
      </w:trPr>
      <w:tc>
        <w:tcPr>
          <w:tcW w:w="10173" w:type="dxa"/>
          <w:shd w:val="clear" w:color="auto" w:fill="auto"/>
          <w:vAlign w:val="center"/>
        </w:tcPr>
        <w:p>
          <w:pPr>
            <w:pStyle w:val="4"/>
            <w:pBdr>
              <w:top w:val="none" w:color="auto" w:sz="0" w:space="0"/>
              <w:left w:val="none" w:color="auto" w:sz="0" w:space="0"/>
              <w:bottom w:val="none" w:color="auto" w:sz="0" w:space="0"/>
              <w:right w:val="none" w:color="auto" w:sz="0" w:space="0"/>
            </w:pBdr>
            <w:rPr>
              <w:rFonts w:ascii="Arial" w:hAnsi="Arial" w:cs="Arial"/>
              <w:sz w:val="21"/>
              <w:szCs w:val="21"/>
            </w:rPr>
          </w:pPr>
          <w:r>
            <w:rPr>
              <w:rFonts w:hint="eastAsia" w:ascii="Arial" w:hAnsi="Arial" w:cs="Arial"/>
              <w:sz w:val="21"/>
              <w:szCs w:val="21"/>
            </w:rPr>
            <w:t>Revised date</w:t>
          </w:r>
          <w:r>
            <w:rPr>
              <w:rFonts w:ascii="Arial" w:hAnsi="Arial" w:cs="Arial"/>
              <w:sz w:val="21"/>
              <w:szCs w:val="21"/>
            </w:rPr>
            <w:t>：</w:t>
          </w:r>
          <w:r>
            <w:rPr>
              <w:rFonts w:hint="eastAsia" w:ascii="Arial" w:hAnsi="Arial" w:cs="Arial"/>
              <w:sz w:val="21"/>
              <w:szCs w:val="21"/>
            </w:rPr>
            <w:t xml:space="preserve">Mar 30, 2024                                  </w:t>
          </w:r>
          <w:r>
            <w:rPr>
              <w:rFonts w:ascii="Arial" w:hAnsi="Arial" w:cs="Arial"/>
              <w:sz w:val="21"/>
              <w:szCs w:val="21"/>
            </w:rPr>
            <w:t xml:space="preserve"> </w:t>
          </w:r>
          <w:r>
            <w:rPr>
              <w:rFonts w:hint="eastAsia" w:ascii="Arial" w:hAnsi="Arial" w:cs="Arial"/>
              <w:sz w:val="21"/>
              <w:szCs w:val="21"/>
            </w:rPr>
            <w:t xml:space="preserve"> </w:t>
          </w:r>
          <w:r>
            <w:rPr>
              <w:rFonts w:ascii="Arial" w:hAnsi="Arial" w:cs="Arial"/>
              <w:sz w:val="21"/>
              <w:szCs w:val="21"/>
            </w:rPr>
            <w:t>MSDS</w:t>
          </w:r>
          <w:r>
            <w:rPr>
              <w:rFonts w:hint="eastAsia" w:ascii="Arial" w:hAnsi="Arial" w:cs="Arial"/>
              <w:sz w:val="21"/>
              <w:szCs w:val="21"/>
            </w:rPr>
            <w:t xml:space="preserve"> No.</w:t>
          </w:r>
          <w:r>
            <w:rPr>
              <w:rFonts w:ascii="Arial" w:hAnsi="Arial" w:cs="Arial"/>
              <w:sz w:val="21"/>
              <w:szCs w:val="21"/>
            </w:rPr>
            <w:t>：</w:t>
          </w:r>
          <w:r>
            <w:rPr>
              <w:rFonts w:ascii="Arial" w:hAnsi="Arial" w:eastAsia="黑体" w:cs="Arial"/>
              <w:sz w:val="21"/>
              <w:szCs w:val="21"/>
            </w:rPr>
            <w:t>MS-QY</w:t>
          </w:r>
          <w:r>
            <w:rPr>
              <w:rFonts w:hint="eastAsia" w:ascii="Arial" w:hAnsi="Arial" w:cs="Arial"/>
              <w:sz w:val="21"/>
              <w:szCs w:val="21"/>
            </w:rPr>
            <w:t>MAX-3P100</w:t>
          </w:r>
        </w:p>
      </w:tc>
    </w:tr>
    <w:tr>
      <w:tblPrEx>
        <w:tblCellMar>
          <w:top w:w="0" w:type="dxa"/>
          <w:left w:w="108" w:type="dxa"/>
          <w:bottom w:w="0" w:type="dxa"/>
          <w:right w:w="108" w:type="dxa"/>
        </w:tblCellMar>
      </w:tblPrEx>
      <w:trPr>
        <w:trHeight w:val="312" w:hRule="atLeast"/>
      </w:trPr>
      <w:tc>
        <w:tcPr>
          <w:tcW w:w="10173" w:type="dxa"/>
          <w:tcBorders>
            <w:bottom w:val="single" w:color="auto" w:sz="12" w:space="0"/>
          </w:tcBorders>
          <w:shd w:val="clear" w:color="auto" w:fill="auto"/>
          <w:vAlign w:val="center"/>
        </w:tcPr>
        <w:p>
          <w:pPr>
            <w:pStyle w:val="4"/>
            <w:pBdr>
              <w:top w:val="none" w:color="auto" w:sz="0" w:space="0"/>
              <w:left w:val="none" w:color="auto" w:sz="0" w:space="0"/>
              <w:bottom w:val="none" w:color="auto" w:sz="0" w:space="0"/>
              <w:right w:val="none" w:color="auto" w:sz="0" w:space="0"/>
            </w:pBdr>
            <w:rPr>
              <w:rFonts w:ascii="Arial" w:hAnsi="Arial" w:cs="Arial"/>
              <w:sz w:val="21"/>
              <w:szCs w:val="21"/>
            </w:rPr>
          </w:pPr>
          <w:r>
            <w:rPr>
              <w:rFonts w:hint="eastAsia" w:ascii="Arial" w:hAnsi="Arial" w:cs="Arial"/>
              <w:sz w:val="21"/>
              <w:szCs w:val="21"/>
            </w:rPr>
            <w:t>Initial issue date：</w:t>
          </w:r>
          <w:r>
            <w:rPr>
              <w:rFonts w:ascii="Arial" w:hAnsi="Arial" w:cs="Arial"/>
              <w:sz w:val="21"/>
              <w:szCs w:val="21"/>
            </w:rPr>
            <w:t>M</w:t>
          </w:r>
          <w:r>
            <w:rPr>
              <w:rFonts w:hint="eastAsia" w:ascii="Arial" w:hAnsi="Arial" w:cs="Arial"/>
              <w:sz w:val="21"/>
              <w:szCs w:val="21"/>
            </w:rPr>
            <w:t>ay</w:t>
          </w:r>
          <w:r>
            <w:rPr>
              <w:rFonts w:ascii="Arial" w:hAnsi="Arial" w:cs="Arial"/>
              <w:sz w:val="21"/>
              <w:szCs w:val="21"/>
            </w:rPr>
            <w:t xml:space="preserve"> 9</w:t>
          </w:r>
          <w:r>
            <w:rPr>
              <w:rFonts w:hint="eastAsia" w:ascii="Arial" w:hAnsi="Arial" w:cs="Arial"/>
              <w:sz w:val="21"/>
              <w:szCs w:val="21"/>
            </w:rPr>
            <w:t>, 20</w:t>
          </w:r>
          <w:r>
            <w:rPr>
              <w:rFonts w:ascii="Arial" w:hAnsi="Arial" w:cs="Arial"/>
              <w:sz w:val="21"/>
              <w:szCs w:val="21"/>
            </w:rPr>
            <w:t>08</w:t>
          </w:r>
          <w:r>
            <w:rPr>
              <w:rFonts w:hint="eastAsia" w:ascii="Arial" w:hAnsi="Arial" w:cs="Arial"/>
              <w:sz w:val="21"/>
              <w:szCs w:val="21"/>
            </w:rPr>
            <w:t xml:space="preserve">                                </w:t>
          </w:r>
          <w:r>
            <w:rPr>
              <w:rFonts w:ascii="Arial" w:hAnsi="Arial" w:cs="Arial"/>
              <w:sz w:val="21"/>
              <w:szCs w:val="21"/>
            </w:rPr>
            <w:t xml:space="preserve"> </w:t>
          </w:r>
          <w:r>
            <w:rPr>
              <w:rFonts w:hint="eastAsia" w:ascii="Arial" w:hAnsi="Arial" w:cs="Arial"/>
              <w:sz w:val="21"/>
              <w:szCs w:val="21"/>
            </w:rPr>
            <w:t xml:space="preserve"> </w:t>
          </w:r>
          <w:r>
            <w:rPr>
              <w:rFonts w:ascii="Arial" w:hAnsi="Arial" w:cs="Arial"/>
              <w:sz w:val="21"/>
              <w:szCs w:val="21"/>
            </w:rPr>
            <w:t xml:space="preserve">  </w:t>
          </w:r>
          <w:r>
            <w:rPr>
              <w:rFonts w:hint="eastAsia" w:ascii="Arial" w:hAnsi="Arial" w:cs="Arial"/>
              <w:sz w:val="21"/>
              <w:szCs w:val="21"/>
            </w:rPr>
            <w:t>Version No.：</w:t>
          </w:r>
          <w:r>
            <w:rPr>
              <w:rFonts w:ascii="Arial" w:hAnsi="Arial" w:cs="Arial"/>
              <w:sz w:val="21"/>
              <w:szCs w:val="21"/>
            </w:rPr>
            <w:t>4.04</w:t>
          </w:r>
        </w:p>
      </w:tc>
    </w:tr>
  </w:tbl>
  <w:p>
    <w:pPr>
      <w:pStyle w:val="4"/>
      <w:rPr>
        <w:rFonts w:ascii="Arial" w:hAnsi="Arial" w:eastAsia="Arial Unicode MS" w:cs="Arial"/>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DVhNWU1MGQ2YmE5YjM3YjkzMTc1MzNlYzAyMjllMTYifQ=="/>
  </w:docVars>
  <w:rsids>
    <w:rsidRoot w:val="006977E8"/>
    <w:rsid w:val="00010DA2"/>
    <w:rsid w:val="00016E87"/>
    <w:rsid w:val="0002785C"/>
    <w:rsid w:val="00031E8E"/>
    <w:rsid w:val="000329A2"/>
    <w:rsid w:val="000677FC"/>
    <w:rsid w:val="00067B35"/>
    <w:rsid w:val="000920EB"/>
    <w:rsid w:val="00092A2A"/>
    <w:rsid w:val="000A16EA"/>
    <w:rsid w:val="000B4708"/>
    <w:rsid w:val="000B48C7"/>
    <w:rsid w:val="000C1827"/>
    <w:rsid w:val="000D19CE"/>
    <w:rsid w:val="000D6333"/>
    <w:rsid w:val="000E2BB6"/>
    <w:rsid w:val="000F68A0"/>
    <w:rsid w:val="0010394E"/>
    <w:rsid w:val="00105C20"/>
    <w:rsid w:val="00110B72"/>
    <w:rsid w:val="00117229"/>
    <w:rsid w:val="00142320"/>
    <w:rsid w:val="00153191"/>
    <w:rsid w:val="001550DC"/>
    <w:rsid w:val="00164DB8"/>
    <w:rsid w:val="001858C2"/>
    <w:rsid w:val="001868B5"/>
    <w:rsid w:val="001A017A"/>
    <w:rsid w:val="001A7502"/>
    <w:rsid w:val="001B2487"/>
    <w:rsid w:val="001B2FC5"/>
    <w:rsid w:val="001B7AEE"/>
    <w:rsid w:val="001C1CEF"/>
    <w:rsid w:val="001D0CBF"/>
    <w:rsid w:val="001D308C"/>
    <w:rsid w:val="001E2CBD"/>
    <w:rsid w:val="001F6E17"/>
    <w:rsid w:val="0023420D"/>
    <w:rsid w:val="00234632"/>
    <w:rsid w:val="00240104"/>
    <w:rsid w:val="0024369A"/>
    <w:rsid w:val="00244EA0"/>
    <w:rsid w:val="00280C07"/>
    <w:rsid w:val="00292887"/>
    <w:rsid w:val="00294B9E"/>
    <w:rsid w:val="002A4BF4"/>
    <w:rsid w:val="002A7724"/>
    <w:rsid w:val="002B212D"/>
    <w:rsid w:val="002C4516"/>
    <w:rsid w:val="002D4D5C"/>
    <w:rsid w:val="002E3506"/>
    <w:rsid w:val="002E6394"/>
    <w:rsid w:val="00311001"/>
    <w:rsid w:val="0031237D"/>
    <w:rsid w:val="00324FD8"/>
    <w:rsid w:val="00326F15"/>
    <w:rsid w:val="00331A30"/>
    <w:rsid w:val="00343C1C"/>
    <w:rsid w:val="00354CEE"/>
    <w:rsid w:val="003631F6"/>
    <w:rsid w:val="00371C83"/>
    <w:rsid w:val="00381339"/>
    <w:rsid w:val="00382F9E"/>
    <w:rsid w:val="003978B1"/>
    <w:rsid w:val="003A640F"/>
    <w:rsid w:val="003A6F7A"/>
    <w:rsid w:val="003B507A"/>
    <w:rsid w:val="003B5D07"/>
    <w:rsid w:val="003B7CE9"/>
    <w:rsid w:val="003D0A03"/>
    <w:rsid w:val="003D2BA9"/>
    <w:rsid w:val="004004B0"/>
    <w:rsid w:val="00401E88"/>
    <w:rsid w:val="00403143"/>
    <w:rsid w:val="0041764C"/>
    <w:rsid w:val="00446845"/>
    <w:rsid w:val="00463080"/>
    <w:rsid w:val="00470EC7"/>
    <w:rsid w:val="00477DE8"/>
    <w:rsid w:val="00480D1C"/>
    <w:rsid w:val="0049475D"/>
    <w:rsid w:val="00497A35"/>
    <w:rsid w:val="004A6527"/>
    <w:rsid w:val="004B05B8"/>
    <w:rsid w:val="004B09A5"/>
    <w:rsid w:val="004B322E"/>
    <w:rsid w:val="004B4AA1"/>
    <w:rsid w:val="004B5784"/>
    <w:rsid w:val="004D1048"/>
    <w:rsid w:val="004D3749"/>
    <w:rsid w:val="004E143B"/>
    <w:rsid w:val="004F38DF"/>
    <w:rsid w:val="0050176C"/>
    <w:rsid w:val="00520A4A"/>
    <w:rsid w:val="00534A4E"/>
    <w:rsid w:val="00550BAA"/>
    <w:rsid w:val="005536E9"/>
    <w:rsid w:val="005633D4"/>
    <w:rsid w:val="0056631E"/>
    <w:rsid w:val="00570259"/>
    <w:rsid w:val="005742BF"/>
    <w:rsid w:val="0057632B"/>
    <w:rsid w:val="0058672D"/>
    <w:rsid w:val="00595FE5"/>
    <w:rsid w:val="005A08F2"/>
    <w:rsid w:val="005B1957"/>
    <w:rsid w:val="005B29DD"/>
    <w:rsid w:val="005C2F12"/>
    <w:rsid w:val="005D6157"/>
    <w:rsid w:val="005E7F5B"/>
    <w:rsid w:val="0060302C"/>
    <w:rsid w:val="006173E0"/>
    <w:rsid w:val="00617C42"/>
    <w:rsid w:val="00623956"/>
    <w:rsid w:val="006262C1"/>
    <w:rsid w:val="006269C7"/>
    <w:rsid w:val="00640A4E"/>
    <w:rsid w:val="00660C90"/>
    <w:rsid w:val="0066133C"/>
    <w:rsid w:val="00664B38"/>
    <w:rsid w:val="00680DEC"/>
    <w:rsid w:val="00684769"/>
    <w:rsid w:val="006908EA"/>
    <w:rsid w:val="00696163"/>
    <w:rsid w:val="006977E8"/>
    <w:rsid w:val="006A58AA"/>
    <w:rsid w:val="006C0C72"/>
    <w:rsid w:val="006E1037"/>
    <w:rsid w:val="006E2946"/>
    <w:rsid w:val="006F6839"/>
    <w:rsid w:val="006F797E"/>
    <w:rsid w:val="00703848"/>
    <w:rsid w:val="00716EC7"/>
    <w:rsid w:val="00775A8F"/>
    <w:rsid w:val="00776E33"/>
    <w:rsid w:val="007A1B85"/>
    <w:rsid w:val="007A1BF1"/>
    <w:rsid w:val="007A20A3"/>
    <w:rsid w:val="007B534D"/>
    <w:rsid w:val="007C4086"/>
    <w:rsid w:val="007C68B6"/>
    <w:rsid w:val="007D61A9"/>
    <w:rsid w:val="007F53D5"/>
    <w:rsid w:val="00802241"/>
    <w:rsid w:val="008108D1"/>
    <w:rsid w:val="00821A7F"/>
    <w:rsid w:val="00824340"/>
    <w:rsid w:val="00831685"/>
    <w:rsid w:val="00847D15"/>
    <w:rsid w:val="00856CC7"/>
    <w:rsid w:val="008609C9"/>
    <w:rsid w:val="00865977"/>
    <w:rsid w:val="00871170"/>
    <w:rsid w:val="0087409E"/>
    <w:rsid w:val="0088128A"/>
    <w:rsid w:val="00881CC6"/>
    <w:rsid w:val="008855BA"/>
    <w:rsid w:val="008A0D52"/>
    <w:rsid w:val="008A1ED4"/>
    <w:rsid w:val="008A4FBC"/>
    <w:rsid w:val="008B2213"/>
    <w:rsid w:val="008C393B"/>
    <w:rsid w:val="008C3E2B"/>
    <w:rsid w:val="008D7618"/>
    <w:rsid w:val="008F2B91"/>
    <w:rsid w:val="00903AE3"/>
    <w:rsid w:val="00914571"/>
    <w:rsid w:val="00921138"/>
    <w:rsid w:val="009239DA"/>
    <w:rsid w:val="0093348E"/>
    <w:rsid w:val="00934407"/>
    <w:rsid w:val="009A0EDB"/>
    <w:rsid w:val="009A5F9D"/>
    <w:rsid w:val="009B7540"/>
    <w:rsid w:val="009D2013"/>
    <w:rsid w:val="009D687A"/>
    <w:rsid w:val="009F2CFD"/>
    <w:rsid w:val="00A001BA"/>
    <w:rsid w:val="00A01CC4"/>
    <w:rsid w:val="00A04663"/>
    <w:rsid w:val="00A04B74"/>
    <w:rsid w:val="00A15609"/>
    <w:rsid w:val="00A1636F"/>
    <w:rsid w:val="00A23C11"/>
    <w:rsid w:val="00A521DD"/>
    <w:rsid w:val="00A579CA"/>
    <w:rsid w:val="00A57ED0"/>
    <w:rsid w:val="00A62042"/>
    <w:rsid w:val="00A70C43"/>
    <w:rsid w:val="00A754C8"/>
    <w:rsid w:val="00A776EB"/>
    <w:rsid w:val="00A8079E"/>
    <w:rsid w:val="00A95AB4"/>
    <w:rsid w:val="00A97F46"/>
    <w:rsid w:val="00AA0A4B"/>
    <w:rsid w:val="00AA16C2"/>
    <w:rsid w:val="00AA3919"/>
    <w:rsid w:val="00AA51D3"/>
    <w:rsid w:val="00AB4C1C"/>
    <w:rsid w:val="00AB63A9"/>
    <w:rsid w:val="00AB6F29"/>
    <w:rsid w:val="00AB73BA"/>
    <w:rsid w:val="00AC2149"/>
    <w:rsid w:val="00AD59C6"/>
    <w:rsid w:val="00AE1516"/>
    <w:rsid w:val="00AE6449"/>
    <w:rsid w:val="00AE7CD4"/>
    <w:rsid w:val="00AF0EF8"/>
    <w:rsid w:val="00B00A98"/>
    <w:rsid w:val="00B15402"/>
    <w:rsid w:val="00B3209A"/>
    <w:rsid w:val="00B45614"/>
    <w:rsid w:val="00B45DF3"/>
    <w:rsid w:val="00B70D0C"/>
    <w:rsid w:val="00B81684"/>
    <w:rsid w:val="00B83FB4"/>
    <w:rsid w:val="00B93C74"/>
    <w:rsid w:val="00BA7190"/>
    <w:rsid w:val="00BB1472"/>
    <w:rsid w:val="00BC2374"/>
    <w:rsid w:val="00BC4951"/>
    <w:rsid w:val="00C02E9E"/>
    <w:rsid w:val="00C45338"/>
    <w:rsid w:val="00C50DA0"/>
    <w:rsid w:val="00C57BD2"/>
    <w:rsid w:val="00C710DD"/>
    <w:rsid w:val="00C75A9A"/>
    <w:rsid w:val="00C8010A"/>
    <w:rsid w:val="00C8540D"/>
    <w:rsid w:val="00C94413"/>
    <w:rsid w:val="00CB2C92"/>
    <w:rsid w:val="00CC3563"/>
    <w:rsid w:val="00CC46A2"/>
    <w:rsid w:val="00CD0A3E"/>
    <w:rsid w:val="00D05A0B"/>
    <w:rsid w:val="00D06342"/>
    <w:rsid w:val="00D25E91"/>
    <w:rsid w:val="00D35D98"/>
    <w:rsid w:val="00D7095E"/>
    <w:rsid w:val="00D70D19"/>
    <w:rsid w:val="00D849E7"/>
    <w:rsid w:val="00D96E9C"/>
    <w:rsid w:val="00DB6C0F"/>
    <w:rsid w:val="00DC558F"/>
    <w:rsid w:val="00DE5D60"/>
    <w:rsid w:val="00DF2934"/>
    <w:rsid w:val="00DF7758"/>
    <w:rsid w:val="00E1299B"/>
    <w:rsid w:val="00E134DC"/>
    <w:rsid w:val="00E478D3"/>
    <w:rsid w:val="00E47D67"/>
    <w:rsid w:val="00E62C1E"/>
    <w:rsid w:val="00E63185"/>
    <w:rsid w:val="00E67E90"/>
    <w:rsid w:val="00E72823"/>
    <w:rsid w:val="00E84E70"/>
    <w:rsid w:val="00E9281A"/>
    <w:rsid w:val="00EA15D9"/>
    <w:rsid w:val="00EA5FB9"/>
    <w:rsid w:val="00EB29CD"/>
    <w:rsid w:val="00EC2557"/>
    <w:rsid w:val="00EF128E"/>
    <w:rsid w:val="00EF64A1"/>
    <w:rsid w:val="00EF6CCA"/>
    <w:rsid w:val="00F00E3C"/>
    <w:rsid w:val="00F02503"/>
    <w:rsid w:val="00F24CB3"/>
    <w:rsid w:val="00F25B44"/>
    <w:rsid w:val="00F323C5"/>
    <w:rsid w:val="00F4228F"/>
    <w:rsid w:val="00F5025D"/>
    <w:rsid w:val="00F62DAE"/>
    <w:rsid w:val="00F754E8"/>
    <w:rsid w:val="00F942C7"/>
    <w:rsid w:val="00FA024E"/>
    <w:rsid w:val="00FB6B79"/>
    <w:rsid w:val="00FC2A0F"/>
    <w:rsid w:val="00FE01FE"/>
    <w:rsid w:val="00FE7C16"/>
    <w:rsid w:val="00FF1600"/>
    <w:rsid w:val="00FF79A8"/>
    <w:rsid w:val="1A45354F"/>
    <w:rsid w:val="256E145E"/>
    <w:rsid w:val="334B1F28"/>
    <w:rsid w:val="5A64048E"/>
    <w:rsid w:val="67A8424F"/>
    <w:rsid w:val="6D5A43B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12"/>
    <w:unhideWhenUsed/>
    <w:qFormat/>
    <w:uiPriority w:val="99"/>
    <w:rPr>
      <w:sz w:val="18"/>
      <w:szCs w:val="18"/>
    </w:rPr>
  </w:style>
  <w:style w:type="paragraph" w:styleId="3">
    <w:name w:val="footer"/>
    <w:basedOn w:val="1"/>
    <w:link w:val="10"/>
    <w:qFormat/>
    <w:uiPriority w:val="99"/>
    <w:pPr>
      <w:tabs>
        <w:tab w:val="center" w:pos="4153"/>
        <w:tab w:val="right" w:pos="8306"/>
      </w:tabs>
      <w:snapToGrid w:val="0"/>
      <w:jc w:val="left"/>
    </w:pPr>
    <w:rPr>
      <w:sz w:val="18"/>
    </w:rPr>
  </w:style>
  <w:style w:type="paragraph" w:styleId="4">
    <w:name w:val="header"/>
    <w:basedOn w:val="1"/>
    <w:link w:val="9"/>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6">
    <w:name w:val="Table Grid"/>
    <w:basedOn w:val="5"/>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8">
    <w:name w:val="Hyperlink"/>
    <w:qFormat/>
    <w:uiPriority w:val="0"/>
    <w:rPr>
      <w:color w:val="0000FF"/>
      <w:u w:val="single"/>
    </w:rPr>
  </w:style>
  <w:style w:type="character" w:customStyle="1" w:styleId="9">
    <w:name w:val="页眉 字符"/>
    <w:basedOn w:val="7"/>
    <w:link w:val="4"/>
    <w:uiPriority w:val="0"/>
    <w:rPr>
      <w:rFonts w:ascii="Times New Roman" w:hAnsi="Times New Roman" w:eastAsia="宋体" w:cs="Times New Roman"/>
      <w:sz w:val="18"/>
      <w:szCs w:val="24"/>
    </w:rPr>
  </w:style>
  <w:style w:type="character" w:customStyle="1" w:styleId="10">
    <w:name w:val="页脚 字符"/>
    <w:basedOn w:val="7"/>
    <w:link w:val="3"/>
    <w:qFormat/>
    <w:uiPriority w:val="99"/>
    <w:rPr>
      <w:rFonts w:ascii="Times New Roman" w:hAnsi="Times New Roman" w:eastAsia="宋体" w:cs="Times New Roman"/>
      <w:sz w:val="18"/>
      <w:szCs w:val="24"/>
    </w:rPr>
  </w:style>
  <w:style w:type="paragraph" w:customStyle="1" w:styleId="11">
    <w:name w:val="列出段落1"/>
    <w:basedOn w:val="1"/>
    <w:unhideWhenUsed/>
    <w:uiPriority w:val="99"/>
    <w:pPr>
      <w:ind w:firstLine="420" w:firstLineChars="200"/>
    </w:pPr>
    <w:rPr>
      <w:rFonts w:asciiTheme="minorHAnsi" w:hAnsiTheme="minorHAnsi" w:eastAsiaTheme="minorEastAsia" w:cstheme="minorBidi"/>
      <w:szCs w:val="22"/>
    </w:rPr>
  </w:style>
  <w:style w:type="character" w:customStyle="1" w:styleId="12">
    <w:name w:val="批注框文本 字符"/>
    <w:basedOn w:val="7"/>
    <w:link w:val="2"/>
    <w:semiHidden/>
    <w:uiPriority w:val="99"/>
    <w:rPr>
      <w:rFonts w:ascii="Times New Roman" w:hAnsi="Times New Roman" w:eastAsia="宋体" w:cs="Times New Roman"/>
      <w:sz w:val="18"/>
      <w:szCs w:val="18"/>
    </w:rPr>
  </w:style>
  <w:style w:type="character" w:customStyle="1" w:styleId="13">
    <w:name w:val="keyword1"/>
    <w:basedOn w:val="7"/>
    <w:qFormat/>
    <w:uiPriority w:val="0"/>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jpe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image" Target="media/image5.png"/><Relationship Id="rId10" Type="http://schemas.openxmlformats.org/officeDocument/2006/relationships/image" Target="media/image4.jpeg"/><Relationship Id="rId1"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55EFF2-400C-4692-9285-ABB5F33FCCD0}">
  <ds:schemaRefs/>
</ds:datastoreItem>
</file>

<file path=docProps/app.xml><?xml version="1.0" encoding="utf-8"?>
<Properties xmlns="http://schemas.openxmlformats.org/officeDocument/2006/extended-properties" xmlns:vt="http://schemas.openxmlformats.org/officeDocument/2006/docPropsVTypes">
  <Template>Normal.dotm</Template>
  <Company>yatu</Company>
  <Pages>1</Pages>
  <Words>2895</Words>
  <Characters>16504</Characters>
  <Lines>137</Lines>
  <Paragraphs>38</Paragraphs>
  <TotalTime>1</TotalTime>
  <ScaleCrop>false</ScaleCrop>
  <LinksUpToDate>false</LinksUpToDate>
  <CharactersWithSpaces>19361</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2017-02-07T01:55:00Z</dcterms:created>
  <dc:creator>MJ</dc:creator>
  <cp:lastModifiedBy>biwen_xi</cp:lastModifiedBy>
  <cp:lastPrinted>2021-09-24T02:50:00Z</cp:lastPrinted>
  <dcterms:modified xsi:type="dcterms:W3CDTF">2024-04-01T01:06:55Z</dcterms:modified>
  <cp:revision>115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C51B197BCF9343ED9E9B915CA4F5B3B8_12</vt:lpwstr>
  </property>
</Properties>
</file>