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C286E" w14:textId="77777777" w:rsidR="002D1583" w:rsidRPr="004F61D7" w:rsidRDefault="002D1583">
      <w:pPr>
        <w:rPr>
          <w:rFonts w:cs="Times New Roman"/>
        </w:rPr>
      </w:pPr>
    </w:p>
    <w:p w14:paraId="1EC7E4B2" w14:textId="77777777" w:rsidR="002D1583" w:rsidRPr="004F61D7" w:rsidRDefault="002D1583">
      <w:pPr>
        <w:rPr>
          <w:rFonts w:cs="Times New Roman"/>
        </w:rPr>
      </w:pPr>
    </w:p>
    <w:p w14:paraId="759D473E" w14:textId="77777777" w:rsidR="002D1583" w:rsidRPr="004F61D7" w:rsidRDefault="002D1583">
      <w:pPr>
        <w:rPr>
          <w:rFonts w:cs="Times New Roman"/>
        </w:rPr>
      </w:pPr>
    </w:p>
    <w:p w14:paraId="2DC319C6" w14:textId="77777777" w:rsidR="002D1583" w:rsidRPr="004F61D7" w:rsidRDefault="002D1583">
      <w:pPr>
        <w:rPr>
          <w:rFonts w:cs="Times New Roman"/>
        </w:rPr>
      </w:pPr>
    </w:p>
    <w:p w14:paraId="30C08B56" w14:textId="77777777" w:rsidR="002D1583" w:rsidRPr="004F61D7" w:rsidRDefault="002D1583">
      <w:pPr>
        <w:rPr>
          <w:rFonts w:cs="Times New Roman"/>
        </w:rPr>
      </w:pPr>
    </w:p>
    <w:p w14:paraId="65AE23E1" w14:textId="77777777" w:rsidR="002D1583" w:rsidRPr="004F61D7" w:rsidRDefault="002D1583">
      <w:pPr>
        <w:rPr>
          <w:rFonts w:cs="Times New Roman"/>
        </w:rPr>
      </w:pPr>
    </w:p>
    <w:p w14:paraId="64A34D12" w14:textId="77777777" w:rsidR="002D1583" w:rsidRPr="004F61D7" w:rsidRDefault="002D1583">
      <w:pPr>
        <w:rPr>
          <w:rFonts w:cs="Times New Roman"/>
        </w:rPr>
      </w:pPr>
    </w:p>
    <w:p w14:paraId="67D09FAD" w14:textId="77777777" w:rsidR="002D1583" w:rsidRPr="004F61D7" w:rsidRDefault="002D1583">
      <w:pPr>
        <w:rPr>
          <w:rFonts w:cs="Times New Roman"/>
        </w:rPr>
      </w:pPr>
    </w:p>
    <w:p w14:paraId="498A9E84" w14:textId="77777777" w:rsidR="002D1583" w:rsidRPr="004F61D7" w:rsidRDefault="002D1583">
      <w:pPr>
        <w:rPr>
          <w:rFonts w:cs="Times New Roman"/>
        </w:rPr>
      </w:pPr>
    </w:p>
    <w:p w14:paraId="65F012A8" w14:textId="77777777" w:rsidR="00DD7779" w:rsidRPr="004F61D7" w:rsidRDefault="002D1583">
      <w:pPr>
        <w:rPr>
          <w:rFonts w:cs="Times New Roman"/>
        </w:rPr>
      </w:pPr>
      <w:r w:rsidRPr="004F61D7">
        <w:rPr>
          <w:rFonts w:cs="Times New Roman"/>
          <w:noProof/>
        </w:rPr>
        <w:drawing>
          <wp:inline distT="0" distB="0" distL="0" distR="0" wp14:anchorId="221D982A" wp14:editId="646345B8">
            <wp:extent cx="1877568" cy="181051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 Supreme Court seal tif.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568" cy="1810512"/>
                    </a:xfrm>
                    <a:prstGeom prst="rect">
                      <a:avLst/>
                    </a:prstGeom>
                  </pic:spPr>
                </pic:pic>
              </a:graphicData>
            </a:graphic>
          </wp:inline>
        </w:drawing>
      </w:r>
    </w:p>
    <w:p w14:paraId="460895AA" w14:textId="77777777" w:rsidR="002D1583" w:rsidRPr="004F61D7" w:rsidRDefault="002D1583">
      <w:pPr>
        <w:rPr>
          <w:rFonts w:cs="Times New Roman"/>
        </w:rPr>
      </w:pPr>
    </w:p>
    <w:p w14:paraId="52628468" w14:textId="2EFB1A8D" w:rsidR="002D1583" w:rsidRPr="004F61D7" w:rsidRDefault="00DD093B">
      <w:pPr>
        <w:rPr>
          <w:rFonts w:cs="Times New Roman"/>
          <w:sz w:val="40"/>
        </w:rPr>
      </w:pPr>
      <w:r>
        <w:rPr>
          <w:rFonts w:cs="Times New Roman"/>
          <w:sz w:val="40"/>
        </w:rPr>
        <w:t xml:space="preserve">Task Force on </w:t>
      </w:r>
      <w:r w:rsidR="002D1583" w:rsidRPr="004F61D7">
        <w:rPr>
          <w:rFonts w:cs="Times New Roman"/>
          <w:sz w:val="40"/>
        </w:rPr>
        <w:t>Countering Disinformation</w:t>
      </w:r>
    </w:p>
    <w:p w14:paraId="287E67F8" w14:textId="77777777" w:rsidR="002D1583" w:rsidRPr="004F61D7" w:rsidRDefault="002D1583">
      <w:pPr>
        <w:rPr>
          <w:rFonts w:cs="Times New Roman"/>
          <w:sz w:val="40"/>
        </w:rPr>
      </w:pPr>
    </w:p>
    <w:p w14:paraId="146754F0" w14:textId="77777777" w:rsidR="002D1583" w:rsidRPr="004F61D7" w:rsidRDefault="002D1583">
      <w:pPr>
        <w:rPr>
          <w:rFonts w:cs="Times New Roman"/>
          <w:sz w:val="40"/>
        </w:rPr>
      </w:pPr>
    </w:p>
    <w:p w14:paraId="5B32255F" w14:textId="77777777" w:rsidR="002D1583" w:rsidRPr="004F61D7" w:rsidRDefault="002D1583">
      <w:pPr>
        <w:rPr>
          <w:rFonts w:cs="Times New Roman"/>
          <w:sz w:val="40"/>
        </w:rPr>
      </w:pPr>
    </w:p>
    <w:p w14:paraId="2DD09178" w14:textId="13AF3DA9" w:rsidR="002D1583" w:rsidRPr="004F61D7" w:rsidRDefault="00BB386B">
      <w:pPr>
        <w:rPr>
          <w:rFonts w:cs="Times New Roman"/>
          <w:sz w:val="40"/>
        </w:rPr>
      </w:pPr>
      <w:r>
        <w:rPr>
          <w:rFonts w:cs="Times New Roman"/>
          <w:sz w:val="40"/>
        </w:rPr>
        <w:t>[date]</w:t>
      </w:r>
      <w:r w:rsidR="002D1583" w:rsidRPr="004F61D7">
        <w:rPr>
          <w:rFonts w:cs="Times New Roman"/>
          <w:sz w:val="40"/>
        </w:rPr>
        <w:t xml:space="preserve">, </w:t>
      </w:r>
      <w:r w:rsidR="00FA11E1" w:rsidRPr="004F61D7">
        <w:rPr>
          <w:rFonts w:cs="Times New Roman"/>
          <w:sz w:val="40"/>
        </w:rPr>
        <w:t>202</w:t>
      </w:r>
      <w:r>
        <w:rPr>
          <w:rFonts w:cs="Times New Roman"/>
          <w:sz w:val="40"/>
        </w:rPr>
        <w:t>1</w:t>
      </w:r>
      <w:r w:rsidR="00FA11E1" w:rsidRPr="004F61D7">
        <w:rPr>
          <w:rFonts w:cs="Times New Roman"/>
          <w:sz w:val="40"/>
        </w:rPr>
        <w:br/>
      </w:r>
      <w:r>
        <w:rPr>
          <w:rFonts w:cs="Times New Roman"/>
          <w:sz w:val="40"/>
        </w:rPr>
        <w:t xml:space="preserve">Concluding </w:t>
      </w:r>
      <w:r w:rsidR="00FA11E1" w:rsidRPr="004F61D7">
        <w:rPr>
          <w:rFonts w:cs="Times New Roman"/>
          <w:sz w:val="40"/>
        </w:rPr>
        <w:t>Report</w:t>
      </w:r>
    </w:p>
    <w:p w14:paraId="356967E9" w14:textId="77777777" w:rsidR="002D1583" w:rsidRPr="004F61D7" w:rsidRDefault="002D1583">
      <w:pPr>
        <w:rPr>
          <w:rFonts w:cs="Times New Roman"/>
          <w:szCs w:val="24"/>
        </w:rPr>
      </w:pPr>
    </w:p>
    <w:p w14:paraId="27C41BC7" w14:textId="77777777" w:rsidR="002D1583" w:rsidRPr="004F61D7" w:rsidRDefault="002D1583">
      <w:pPr>
        <w:rPr>
          <w:rFonts w:cs="Times New Roman"/>
          <w:szCs w:val="24"/>
        </w:rPr>
      </w:pPr>
    </w:p>
    <w:p w14:paraId="296A7BBC" w14:textId="77777777" w:rsidR="002D1583" w:rsidRPr="004F61D7" w:rsidRDefault="002D1583">
      <w:pPr>
        <w:rPr>
          <w:rFonts w:cs="Times New Roman"/>
          <w:szCs w:val="24"/>
        </w:rPr>
      </w:pPr>
    </w:p>
    <w:p w14:paraId="751997FC" w14:textId="77777777" w:rsidR="002D1583" w:rsidRPr="004F61D7" w:rsidRDefault="002D1583">
      <w:pPr>
        <w:rPr>
          <w:rFonts w:cs="Times New Roman"/>
          <w:szCs w:val="24"/>
        </w:rPr>
      </w:pPr>
    </w:p>
    <w:p w14:paraId="71E8A3B1" w14:textId="77777777" w:rsidR="002D1583" w:rsidRPr="004F61D7" w:rsidRDefault="002D1583">
      <w:pPr>
        <w:rPr>
          <w:rFonts w:cs="Times New Roman"/>
          <w:szCs w:val="24"/>
        </w:rPr>
      </w:pPr>
    </w:p>
    <w:p w14:paraId="04DCB4F7" w14:textId="77777777" w:rsidR="002D1583" w:rsidRPr="004F61D7" w:rsidRDefault="002D1583">
      <w:pPr>
        <w:rPr>
          <w:rFonts w:cs="Times New Roman"/>
          <w:szCs w:val="24"/>
        </w:rPr>
      </w:pPr>
    </w:p>
    <w:p w14:paraId="22171E5B" w14:textId="77777777" w:rsidR="002D1583" w:rsidRPr="004F61D7" w:rsidRDefault="002D1583">
      <w:pPr>
        <w:rPr>
          <w:rFonts w:cs="Times New Roman"/>
          <w:szCs w:val="24"/>
        </w:rPr>
      </w:pPr>
    </w:p>
    <w:p w14:paraId="6BF44C7E" w14:textId="77777777" w:rsidR="002D1583" w:rsidRPr="004F61D7" w:rsidRDefault="002D1583">
      <w:pPr>
        <w:rPr>
          <w:rFonts w:cs="Times New Roman"/>
          <w:szCs w:val="24"/>
        </w:rPr>
      </w:pPr>
    </w:p>
    <w:p w14:paraId="162769E6" w14:textId="77777777" w:rsidR="002D1583" w:rsidRPr="004F61D7" w:rsidRDefault="002D1583">
      <w:pPr>
        <w:rPr>
          <w:rFonts w:cs="Times New Roman"/>
          <w:szCs w:val="24"/>
        </w:rPr>
      </w:pPr>
      <w:r w:rsidRPr="004F61D7">
        <w:rPr>
          <w:rFonts w:cs="Times New Roman"/>
          <w:szCs w:val="24"/>
        </w:rPr>
        <w:br w:type="page"/>
      </w:r>
    </w:p>
    <w:sdt>
      <w:sdtPr>
        <w:rPr>
          <w:rFonts w:ascii="Times New Roman" w:eastAsiaTheme="minorHAnsi" w:hAnsi="Times New Roman" w:cstheme="minorBidi"/>
          <w:color w:val="auto"/>
          <w:sz w:val="24"/>
          <w:szCs w:val="22"/>
        </w:rPr>
        <w:id w:val="-43453016"/>
        <w:docPartObj>
          <w:docPartGallery w:val="Table of Contents"/>
          <w:docPartUnique/>
        </w:docPartObj>
      </w:sdtPr>
      <w:sdtEndPr/>
      <w:sdtContent>
        <w:p w14:paraId="2E9CA9AD" w14:textId="350AE9B7" w:rsidR="001536C1" w:rsidRPr="00E5487C" w:rsidRDefault="001536C1">
          <w:pPr>
            <w:pStyle w:val="TOCHeading"/>
            <w:rPr>
              <w:rFonts w:ascii="Times New Roman" w:hAnsi="Times New Roman" w:cs="Times New Roman"/>
            </w:rPr>
          </w:pPr>
          <w:r w:rsidRPr="00E5487C">
            <w:rPr>
              <w:rFonts w:ascii="Times New Roman" w:hAnsi="Times New Roman" w:cs="Times New Roman"/>
            </w:rPr>
            <w:t>Table of Contents</w:t>
          </w:r>
        </w:p>
        <w:p w14:paraId="0F13F6E5" w14:textId="23FA1044" w:rsidR="001536C1" w:rsidRPr="00E5487C" w:rsidRDefault="001536C1" w:rsidP="00B16D20">
          <w:pPr>
            <w:pStyle w:val="TOC1"/>
          </w:pPr>
          <w:r w:rsidRPr="00B16D20">
            <w:t>MEMBERS</w:t>
          </w:r>
          <w:r w:rsidRPr="00E5487C">
            <w:ptab w:relativeTo="margin" w:alignment="right" w:leader="dot"/>
          </w:r>
          <w:r w:rsidR="00B16D20">
            <w:t>3</w:t>
          </w:r>
        </w:p>
        <w:p w14:paraId="11E0DA06" w14:textId="4A2E2C89" w:rsidR="001536C1" w:rsidRPr="00B16D20" w:rsidRDefault="001536C1" w:rsidP="00B16D20">
          <w:pPr>
            <w:pStyle w:val="TOC1"/>
          </w:pPr>
          <w:r w:rsidRPr="00B16D20">
            <w:t>EXECUTIVE SUMMARY</w:t>
          </w:r>
          <w:r w:rsidRPr="00B16D20">
            <w:ptab w:relativeTo="margin" w:alignment="right" w:leader="dot"/>
          </w:r>
          <w:r w:rsidR="00B16D20">
            <w:t>5</w:t>
          </w:r>
        </w:p>
        <w:p w14:paraId="7A18C429" w14:textId="62776C55" w:rsidR="001536C1" w:rsidRPr="00E5487C" w:rsidRDefault="00E5487C">
          <w:pPr>
            <w:pStyle w:val="TOC2"/>
            <w:ind w:left="216"/>
            <w:rPr>
              <w:rFonts w:ascii="Times New Roman" w:hAnsi="Times New Roman"/>
              <w:sz w:val="20"/>
              <w:szCs w:val="20"/>
            </w:rPr>
          </w:pPr>
          <w:r>
            <w:rPr>
              <w:rFonts w:ascii="Times New Roman" w:hAnsi="Times New Roman"/>
              <w:sz w:val="20"/>
              <w:szCs w:val="20"/>
            </w:rPr>
            <w:tab/>
          </w:r>
          <w:r w:rsidRPr="00E5487C">
            <w:rPr>
              <w:rFonts w:ascii="Times New Roman" w:hAnsi="Times New Roman"/>
              <w:sz w:val="20"/>
              <w:szCs w:val="20"/>
            </w:rPr>
            <w:t>Creation and Purpose of Task Force</w:t>
          </w:r>
          <w:r w:rsidR="001536C1" w:rsidRPr="00E5487C">
            <w:rPr>
              <w:rFonts w:ascii="Times New Roman" w:hAnsi="Times New Roman"/>
              <w:sz w:val="20"/>
              <w:szCs w:val="20"/>
            </w:rPr>
            <w:ptab w:relativeTo="margin" w:alignment="right" w:leader="dot"/>
          </w:r>
          <w:r w:rsidR="001536C1" w:rsidRPr="00E5487C">
            <w:rPr>
              <w:rFonts w:ascii="Times New Roman" w:hAnsi="Times New Roman"/>
              <w:sz w:val="20"/>
              <w:szCs w:val="20"/>
            </w:rPr>
            <w:t>5</w:t>
          </w:r>
        </w:p>
        <w:p w14:paraId="34DD7332" w14:textId="149D6D61" w:rsidR="00E5487C" w:rsidRPr="00E5487C" w:rsidRDefault="00E5487C" w:rsidP="00E5487C">
          <w:pPr>
            <w:pStyle w:val="TOC2"/>
            <w:ind w:left="216"/>
            <w:rPr>
              <w:rFonts w:ascii="Times New Roman" w:hAnsi="Times New Roman"/>
              <w:sz w:val="20"/>
              <w:szCs w:val="20"/>
            </w:rPr>
          </w:pPr>
          <w:r>
            <w:rPr>
              <w:rFonts w:ascii="Times New Roman" w:hAnsi="Times New Roman"/>
              <w:sz w:val="20"/>
              <w:szCs w:val="20"/>
            </w:rPr>
            <w:tab/>
          </w:r>
          <w:r w:rsidRPr="00E5487C">
            <w:rPr>
              <w:rFonts w:ascii="Times New Roman" w:hAnsi="Times New Roman"/>
              <w:sz w:val="20"/>
              <w:szCs w:val="20"/>
            </w:rPr>
            <w:t>The Task Force Process</w:t>
          </w:r>
          <w:r w:rsidRPr="00E5487C">
            <w:rPr>
              <w:rFonts w:ascii="Times New Roman" w:hAnsi="Times New Roman"/>
              <w:sz w:val="20"/>
              <w:szCs w:val="20"/>
            </w:rPr>
            <w:ptab w:relativeTo="margin" w:alignment="right" w:leader="dot"/>
          </w:r>
          <w:r w:rsidR="00B16D20">
            <w:rPr>
              <w:rFonts w:ascii="Times New Roman" w:hAnsi="Times New Roman"/>
              <w:sz w:val="20"/>
              <w:szCs w:val="20"/>
            </w:rPr>
            <w:t>7</w:t>
          </w:r>
        </w:p>
        <w:p w14:paraId="1B80BCF3" w14:textId="1F445AE9" w:rsidR="00E5487C" w:rsidRPr="00E5487C" w:rsidRDefault="00E5487C" w:rsidP="00E5487C">
          <w:pPr>
            <w:pStyle w:val="TOC2"/>
            <w:ind w:left="216"/>
            <w:rPr>
              <w:rFonts w:ascii="Times New Roman" w:hAnsi="Times New Roman"/>
              <w:sz w:val="20"/>
              <w:szCs w:val="20"/>
            </w:rPr>
          </w:pPr>
          <w:r>
            <w:rPr>
              <w:rFonts w:ascii="Times New Roman" w:hAnsi="Times New Roman"/>
              <w:sz w:val="20"/>
              <w:szCs w:val="20"/>
            </w:rPr>
            <w:tab/>
          </w:r>
          <w:r w:rsidRPr="00E5487C">
            <w:rPr>
              <w:rFonts w:ascii="Times New Roman" w:hAnsi="Times New Roman"/>
              <w:sz w:val="20"/>
              <w:szCs w:val="20"/>
            </w:rPr>
            <w:t>Abbreviated Recommendations</w:t>
          </w:r>
          <w:r w:rsidRPr="00E5487C">
            <w:rPr>
              <w:rFonts w:ascii="Times New Roman" w:hAnsi="Times New Roman"/>
              <w:sz w:val="20"/>
              <w:szCs w:val="20"/>
            </w:rPr>
            <w:ptab w:relativeTo="margin" w:alignment="right" w:leader="dot"/>
          </w:r>
          <w:r w:rsidR="00B16D20">
            <w:rPr>
              <w:rFonts w:ascii="Times New Roman" w:hAnsi="Times New Roman"/>
              <w:sz w:val="20"/>
              <w:szCs w:val="20"/>
            </w:rPr>
            <w:t>10</w:t>
          </w:r>
        </w:p>
        <w:p w14:paraId="44189462" w14:textId="1C606853" w:rsidR="001536C1" w:rsidRPr="00E5487C" w:rsidRDefault="00E5487C" w:rsidP="00B16D20">
          <w:pPr>
            <w:pStyle w:val="TOC1"/>
          </w:pPr>
          <w:r w:rsidRPr="00E5487C">
            <w:t>REPORT AND RECOMMENDATIONS</w:t>
          </w:r>
          <w:r w:rsidR="001536C1" w:rsidRPr="00E5487C">
            <w:ptab w:relativeTo="margin" w:alignment="right" w:leader="dot"/>
          </w:r>
          <w:r w:rsidR="001536C1" w:rsidRPr="00E5487C">
            <w:t>1</w:t>
          </w:r>
          <w:r w:rsidR="00B16D20">
            <w:t>2</w:t>
          </w:r>
        </w:p>
        <w:p w14:paraId="7E01511C" w14:textId="54FFF28E" w:rsidR="001536C1" w:rsidRDefault="00E5487C" w:rsidP="00E5487C">
          <w:pPr>
            <w:pStyle w:val="TOC2"/>
            <w:numPr>
              <w:ilvl w:val="0"/>
              <w:numId w:val="27"/>
            </w:numPr>
            <w:rPr>
              <w:rFonts w:ascii="Times New Roman" w:hAnsi="Times New Roman"/>
              <w:sz w:val="20"/>
              <w:szCs w:val="20"/>
            </w:rPr>
          </w:pPr>
          <w:r w:rsidRPr="00E5487C">
            <w:rPr>
              <w:rFonts w:ascii="Times New Roman" w:hAnsi="Times New Roman"/>
              <w:sz w:val="20"/>
              <w:szCs w:val="20"/>
            </w:rPr>
            <w:t>Background</w:t>
          </w:r>
          <w:r w:rsidR="001536C1" w:rsidRPr="00E5487C">
            <w:rPr>
              <w:rFonts w:ascii="Times New Roman" w:hAnsi="Times New Roman"/>
              <w:sz w:val="20"/>
              <w:szCs w:val="20"/>
            </w:rPr>
            <w:ptab w:relativeTo="margin" w:alignment="right" w:leader="dot"/>
          </w:r>
          <w:r w:rsidR="00B16D20">
            <w:rPr>
              <w:rFonts w:ascii="Times New Roman" w:hAnsi="Times New Roman"/>
              <w:sz w:val="20"/>
              <w:szCs w:val="20"/>
            </w:rPr>
            <w:t>1</w:t>
          </w:r>
          <w:r w:rsidR="001536C1" w:rsidRPr="00E5487C">
            <w:rPr>
              <w:rFonts w:ascii="Times New Roman" w:hAnsi="Times New Roman"/>
              <w:sz w:val="20"/>
              <w:szCs w:val="20"/>
            </w:rPr>
            <w:t>2</w:t>
          </w:r>
        </w:p>
        <w:p w14:paraId="7A090ABF" w14:textId="1FBF630E" w:rsidR="00EF3A8B" w:rsidRPr="00EF3A8B" w:rsidRDefault="00EF3A8B" w:rsidP="00EF3A8B">
          <w:pPr>
            <w:pStyle w:val="TOC2"/>
            <w:numPr>
              <w:ilvl w:val="0"/>
              <w:numId w:val="27"/>
            </w:numPr>
            <w:rPr>
              <w:rFonts w:ascii="Times New Roman" w:hAnsi="Times New Roman"/>
              <w:sz w:val="20"/>
              <w:szCs w:val="20"/>
            </w:rPr>
          </w:pPr>
          <w:r>
            <w:rPr>
              <w:rFonts w:ascii="Times New Roman" w:hAnsi="Times New Roman"/>
              <w:sz w:val="20"/>
              <w:szCs w:val="20"/>
            </w:rPr>
            <w:t>Disinformation Survey and Analysis</w:t>
          </w:r>
          <w:r w:rsidRPr="00E5487C">
            <w:rPr>
              <w:rFonts w:ascii="Times New Roman" w:hAnsi="Times New Roman"/>
              <w:sz w:val="20"/>
              <w:szCs w:val="20"/>
            </w:rPr>
            <w:ptab w:relativeTo="margin" w:alignment="right" w:leader="dot"/>
          </w:r>
          <w:r>
            <w:rPr>
              <w:rFonts w:ascii="Times New Roman" w:hAnsi="Times New Roman"/>
              <w:sz w:val="20"/>
              <w:szCs w:val="20"/>
            </w:rPr>
            <w:t>15</w:t>
          </w:r>
        </w:p>
        <w:p w14:paraId="4F7E4459" w14:textId="04E35986" w:rsidR="00E5487C" w:rsidRPr="00E5487C" w:rsidRDefault="00EF3A8B" w:rsidP="00E5487C">
          <w:pPr>
            <w:pStyle w:val="TOC3"/>
            <w:numPr>
              <w:ilvl w:val="0"/>
              <w:numId w:val="27"/>
            </w:numPr>
            <w:rPr>
              <w:rFonts w:ascii="Times New Roman" w:hAnsi="Times New Roman"/>
              <w:sz w:val="20"/>
              <w:szCs w:val="20"/>
            </w:rPr>
          </w:pPr>
          <w:r>
            <w:rPr>
              <w:rFonts w:ascii="Times New Roman" w:hAnsi="Times New Roman"/>
              <w:sz w:val="20"/>
              <w:szCs w:val="20"/>
            </w:rPr>
            <w:t xml:space="preserve">Task Force </w:t>
          </w:r>
          <w:r w:rsidR="00E5487C" w:rsidRPr="00E5487C">
            <w:rPr>
              <w:rFonts w:ascii="Times New Roman" w:hAnsi="Times New Roman"/>
              <w:sz w:val="20"/>
              <w:szCs w:val="20"/>
            </w:rPr>
            <w:t>Recommendations</w:t>
          </w:r>
          <w:r w:rsidR="001536C1" w:rsidRPr="00E5487C">
            <w:rPr>
              <w:rFonts w:ascii="Times New Roman" w:hAnsi="Times New Roman"/>
              <w:sz w:val="20"/>
              <w:szCs w:val="20"/>
            </w:rPr>
            <w:ptab w:relativeTo="margin" w:alignment="right" w:leader="dot"/>
          </w:r>
          <w:r w:rsidR="00B16D20">
            <w:rPr>
              <w:rFonts w:ascii="Times New Roman" w:hAnsi="Times New Roman"/>
              <w:sz w:val="20"/>
              <w:szCs w:val="20"/>
            </w:rPr>
            <w:t>22</w:t>
          </w:r>
        </w:p>
        <w:p w14:paraId="373CA1ED" w14:textId="1DEDA206" w:rsidR="001536C1" w:rsidRPr="00E5487C" w:rsidRDefault="00E5487C" w:rsidP="00B16D20">
          <w:pPr>
            <w:pStyle w:val="TOC3"/>
            <w:spacing w:after="0" w:line="240" w:lineRule="auto"/>
            <w:ind w:left="446"/>
            <w:rPr>
              <w:rFonts w:ascii="Times New Roman" w:hAnsi="Times New Roman"/>
              <w:i/>
              <w:iCs/>
              <w:sz w:val="20"/>
              <w:szCs w:val="20"/>
            </w:rPr>
          </w:pPr>
          <w:r w:rsidRPr="00E5487C">
            <w:rPr>
              <w:rFonts w:ascii="Times New Roman" w:hAnsi="Times New Roman"/>
              <w:sz w:val="20"/>
              <w:szCs w:val="20"/>
            </w:rPr>
            <w:tab/>
          </w:r>
          <w:r w:rsidR="00B16D20">
            <w:rPr>
              <w:rFonts w:ascii="Times New Roman" w:hAnsi="Times New Roman"/>
              <w:sz w:val="20"/>
              <w:szCs w:val="20"/>
            </w:rPr>
            <w:tab/>
          </w:r>
          <w:r w:rsidRPr="00E5487C">
            <w:rPr>
              <w:rFonts w:ascii="Times New Roman" w:hAnsi="Times New Roman"/>
              <w:sz w:val="20"/>
              <w:szCs w:val="20"/>
            </w:rPr>
            <w:t>Recommendation 1</w:t>
          </w:r>
          <w:r w:rsidR="00676823">
            <w:rPr>
              <w:rFonts w:ascii="Times New Roman" w:hAnsi="Times New Roman"/>
              <w:sz w:val="20"/>
              <w:szCs w:val="20"/>
            </w:rPr>
            <w:t xml:space="preserve">: </w:t>
          </w:r>
          <w:r w:rsidR="00676823" w:rsidRPr="00E5487C">
            <w:rPr>
              <w:rFonts w:ascii="Times New Roman" w:hAnsi="Times New Roman"/>
              <w:i/>
              <w:iCs/>
              <w:sz w:val="20"/>
              <w:szCs w:val="20"/>
            </w:rPr>
            <w:t xml:space="preserve">Redesign the Our Courts Arizona (“OCA”) interactive civics program, </w:t>
          </w:r>
          <w:r w:rsidR="00676823">
            <w:rPr>
              <w:rFonts w:ascii="Times New Roman" w:hAnsi="Times New Roman"/>
              <w:i/>
              <w:iCs/>
              <w:sz w:val="20"/>
              <w:szCs w:val="20"/>
            </w:rPr>
            <w:tab/>
          </w:r>
          <w:r w:rsidR="00676823">
            <w:rPr>
              <w:rFonts w:ascii="Times New Roman" w:hAnsi="Times New Roman"/>
              <w:i/>
              <w:iCs/>
              <w:sz w:val="20"/>
              <w:szCs w:val="20"/>
            </w:rPr>
            <w:tab/>
          </w:r>
          <w:r w:rsidR="00676823">
            <w:rPr>
              <w:rFonts w:ascii="Times New Roman" w:hAnsi="Times New Roman"/>
              <w:i/>
              <w:iCs/>
              <w:sz w:val="20"/>
              <w:szCs w:val="20"/>
            </w:rPr>
            <w:tab/>
          </w:r>
          <w:r w:rsidR="00676823" w:rsidRPr="00E5487C">
            <w:rPr>
              <w:rFonts w:ascii="Times New Roman" w:hAnsi="Times New Roman"/>
              <w:i/>
              <w:iCs/>
              <w:sz w:val="20"/>
              <w:szCs w:val="20"/>
            </w:rPr>
            <w:t>nominate a court</w:t>
          </w:r>
          <w:r w:rsidR="00676823">
            <w:rPr>
              <w:rFonts w:ascii="Times New Roman" w:hAnsi="Times New Roman"/>
              <w:i/>
              <w:iCs/>
              <w:sz w:val="20"/>
              <w:szCs w:val="20"/>
            </w:rPr>
            <w:t xml:space="preserve"> </w:t>
          </w:r>
          <w:r w:rsidR="00676823" w:rsidRPr="00E5487C">
            <w:rPr>
              <w:rFonts w:ascii="Times New Roman" w:hAnsi="Times New Roman"/>
              <w:i/>
              <w:iCs/>
              <w:sz w:val="20"/>
              <w:szCs w:val="20"/>
            </w:rPr>
            <w:t xml:space="preserve">liaison to Arizona’s K-12 statewide educational program committee(s) and </w:t>
          </w:r>
          <w:r w:rsidR="00676823">
            <w:rPr>
              <w:rFonts w:ascii="Times New Roman" w:hAnsi="Times New Roman"/>
              <w:i/>
              <w:iCs/>
              <w:sz w:val="20"/>
              <w:szCs w:val="20"/>
            </w:rPr>
            <w:tab/>
          </w:r>
          <w:r w:rsidR="00676823">
            <w:rPr>
              <w:rFonts w:ascii="Times New Roman" w:hAnsi="Times New Roman"/>
              <w:i/>
              <w:iCs/>
              <w:sz w:val="20"/>
              <w:szCs w:val="20"/>
            </w:rPr>
            <w:tab/>
          </w:r>
          <w:r w:rsidR="00676823">
            <w:rPr>
              <w:rFonts w:ascii="Times New Roman" w:hAnsi="Times New Roman"/>
              <w:i/>
              <w:iCs/>
              <w:sz w:val="20"/>
              <w:szCs w:val="20"/>
            </w:rPr>
            <w:tab/>
          </w:r>
          <w:r w:rsidR="00676823" w:rsidRPr="00E5487C">
            <w:rPr>
              <w:rFonts w:ascii="Times New Roman" w:hAnsi="Times New Roman"/>
              <w:i/>
              <w:iCs/>
              <w:sz w:val="20"/>
              <w:szCs w:val="20"/>
            </w:rPr>
            <w:t>expand the judicial branch’s community outreach.</w:t>
          </w:r>
          <w:r w:rsidR="001536C1" w:rsidRPr="00E5487C">
            <w:rPr>
              <w:rFonts w:ascii="Times New Roman" w:hAnsi="Times New Roman"/>
              <w:sz w:val="20"/>
              <w:szCs w:val="20"/>
            </w:rPr>
            <w:ptab w:relativeTo="margin" w:alignment="right" w:leader="dot"/>
          </w:r>
          <w:r w:rsidR="005B0A8F">
            <w:rPr>
              <w:rFonts w:ascii="Times New Roman" w:hAnsi="Times New Roman"/>
              <w:sz w:val="20"/>
              <w:szCs w:val="20"/>
            </w:rPr>
            <w:t>22</w:t>
          </w:r>
          <w:r w:rsidR="00B16D20">
            <w:rPr>
              <w:rFonts w:ascii="Times New Roman" w:hAnsi="Times New Roman"/>
              <w:sz w:val="20"/>
              <w:szCs w:val="20"/>
            </w:rPr>
            <w:br/>
          </w:r>
        </w:p>
        <w:p w14:paraId="5D5BF931" w14:textId="50ED1B41" w:rsidR="00E5487C" w:rsidRPr="00E5487C" w:rsidRDefault="00E5487C" w:rsidP="00B16D20">
          <w:pPr>
            <w:pStyle w:val="ListParagraph"/>
            <w:rPr>
              <w:rFonts w:ascii="Times New Roman" w:hAnsi="Times New Roman" w:cs="Times New Roman"/>
              <w:sz w:val="20"/>
              <w:szCs w:val="20"/>
            </w:rPr>
          </w:pPr>
          <w:r w:rsidRPr="00E5487C">
            <w:rPr>
              <w:rFonts w:ascii="Times New Roman" w:hAnsi="Times New Roman" w:cs="Times New Roman"/>
              <w:sz w:val="20"/>
              <w:szCs w:val="20"/>
            </w:rPr>
            <w:tab/>
            <w:t>Recommendation 2</w:t>
          </w:r>
          <w:r w:rsidR="00676823">
            <w:rPr>
              <w:rFonts w:ascii="Times New Roman" w:hAnsi="Times New Roman" w:cs="Times New Roman"/>
              <w:sz w:val="20"/>
              <w:szCs w:val="20"/>
            </w:rPr>
            <w:t xml:space="preserve">: </w:t>
          </w:r>
          <w:r w:rsidR="00676823" w:rsidRPr="00E5487C">
            <w:rPr>
              <w:rFonts w:ascii="Times New Roman" w:hAnsi="Times New Roman" w:cs="Times New Roman"/>
              <w:i/>
              <w:iCs/>
              <w:sz w:val="20"/>
              <w:szCs w:val="20"/>
            </w:rPr>
            <w:t xml:space="preserve">Establish in-person and web-based court contacts and outreach to help the </w:t>
          </w:r>
          <w:r w:rsidR="00676823">
            <w:rPr>
              <w:rFonts w:ascii="Times New Roman" w:hAnsi="Times New Roman" w:cs="Times New Roman"/>
              <w:i/>
              <w:iCs/>
              <w:sz w:val="20"/>
              <w:szCs w:val="20"/>
            </w:rPr>
            <w:tab/>
          </w:r>
          <w:r w:rsidR="00676823" w:rsidRPr="00E5487C">
            <w:rPr>
              <w:rFonts w:ascii="Times New Roman" w:hAnsi="Times New Roman" w:cs="Times New Roman"/>
              <w:i/>
              <w:iCs/>
              <w:sz w:val="20"/>
              <w:szCs w:val="20"/>
            </w:rPr>
            <w:t xml:space="preserve">public and the media understand the role of the court and the function of the judicial branch, and </w:t>
          </w:r>
          <w:r w:rsidR="00676823">
            <w:rPr>
              <w:rFonts w:ascii="Times New Roman" w:hAnsi="Times New Roman" w:cs="Times New Roman"/>
              <w:i/>
              <w:iCs/>
              <w:sz w:val="20"/>
              <w:szCs w:val="20"/>
            </w:rPr>
            <w:tab/>
          </w:r>
          <w:r w:rsidR="00676823" w:rsidRPr="00E5487C">
            <w:rPr>
              <w:rFonts w:ascii="Times New Roman" w:hAnsi="Times New Roman" w:cs="Times New Roman"/>
              <w:i/>
              <w:iCs/>
              <w:sz w:val="20"/>
              <w:szCs w:val="20"/>
            </w:rPr>
            <w:t>to help counteract and respond to disinformation at the local level.</w:t>
          </w:r>
          <w:r w:rsidRPr="00E5487C">
            <w:rPr>
              <w:rFonts w:ascii="Times New Roman" w:hAnsi="Times New Roman" w:cs="Times New Roman"/>
              <w:sz w:val="20"/>
              <w:szCs w:val="20"/>
            </w:rPr>
            <w:ptab w:relativeTo="margin" w:alignment="right" w:leader="dot"/>
          </w:r>
          <w:r w:rsidR="005B0A8F">
            <w:rPr>
              <w:rFonts w:ascii="Times New Roman" w:hAnsi="Times New Roman" w:cs="Times New Roman"/>
              <w:sz w:val="20"/>
              <w:szCs w:val="20"/>
            </w:rPr>
            <w:t>26</w:t>
          </w:r>
          <w:r w:rsidR="00B16D20">
            <w:rPr>
              <w:rFonts w:ascii="Times New Roman" w:hAnsi="Times New Roman" w:cs="Times New Roman"/>
              <w:sz w:val="20"/>
              <w:szCs w:val="20"/>
            </w:rPr>
            <w:br/>
          </w:r>
        </w:p>
        <w:p w14:paraId="5225A187" w14:textId="1CC0BDE4" w:rsidR="00E5487C" w:rsidRPr="00676823" w:rsidRDefault="00E5487C" w:rsidP="00B16D20">
          <w:pPr>
            <w:pStyle w:val="TOC3"/>
            <w:spacing w:after="0"/>
            <w:ind w:left="446"/>
            <w:rPr>
              <w:rFonts w:ascii="Times New Roman" w:hAnsi="Times New Roman"/>
              <w:sz w:val="20"/>
              <w:szCs w:val="20"/>
            </w:rPr>
          </w:pPr>
          <w:r w:rsidRPr="00E5487C">
            <w:rPr>
              <w:rFonts w:ascii="Times New Roman" w:hAnsi="Times New Roman"/>
              <w:sz w:val="20"/>
              <w:szCs w:val="20"/>
            </w:rPr>
            <w:tab/>
          </w:r>
          <w:r w:rsidRPr="00E5487C">
            <w:rPr>
              <w:rFonts w:ascii="Times New Roman" w:hAnsi="Times New Roman"/>
              <w:sz w:val="20"/>
              <w:szCs w:val="20"/>
            </w:rPr>
            <w:tab/>
            <w:t>Recommendation 3</w:t>
          </w:r>
          <w:r w:rsidR="00676823">
            <w:rPr>
              <w:rFonts w:ascii="Times New Roman" w:hAnsi="Times New Roman"/>
              <w:sz w:val="20"/>
              <w:szCs w:val="20"/>
            </w:rPr>
            <w:t xml:space="preserve">: </w:t>
          </w:r>
          <w:r w:rsidR="00676823" w:rsidRPr="00676823">
            <w:rPr>
              <w:rFonts w:ascii="Times New Roman" w:hAnsi="Times New Roman"/>
              <w:i/>
              <w:iCs/>
              <w:sz w:val="20"/>
              <w:szCs w:val="20"/>
            </w:rPr>
            <w:t xml:space="preserve">Modify the Arizona Code of Judicial Conduct to specifically address personal </w:t>
          </w:r>
          <w:r w:rsidR="00676823">
            <w:rPr>
              <w:rFonts w:ascii="Times New Roman" w:hAnsi="Times New Roman"/>
              <w:i/>
              <w:iCs/>
              <w:sz w:val="20"/>
              <w:szCs w:val="20"/>
            </w:rPr>
            <w:tab/>
          </w:r>
          <w:r w:rsidR="00676823">
            <w:rPr>
              <w:rFonts w:ascii="Times New Roman" w:hAnsi="Times New Roman"/>
              <w:i/>
              <w:iCs/>
              <w:sz w:val="20"/>
              <w:szCs w:val="20"/>
            </w:rPr>
            <w:tab/>
          </w:r>
          <w:r w:rsidR="00676823" w:rsidRPr="00676823">
            <w:rPr>
              <w:rFonts w:ascii="Times New Roman" w:hAnsi="Times New Roman"/>
              <w:i/>
              <w:iCs/>
              <w:sz w:val="20"/>
              <w:szCs w:val="20"/>
            </w:rPr>
            <w:t>attacks against judges.</w:t>
          </w:r>
          <w:r w:rsidRPr="00E5487C">
            <w:rPr>
              <w:rFonts w:ascii="Times New Roman" w:hAnsi="Times New Roman"/>
              <w:sz w:val="20"/>
              <w:szCs w:val="20"/>
            </w:rPr>
            <w:ptab w:relativeTo="margin" w:alignment="right" w:leader="dot"/>
          </w:r>
          <w:r w:rsidR="005B0A8F">
            <w:rPr>
              <w:rFonts w:ascii="Times New Roman" w:hAnsi="Times New Roman"/>
              <w:sz w:val="20"/>
              <w:szCs w:val="20"/>
            </w:rPr>
            <w:t>36</w:t>
          </w:r>
          <w:r w:rsidR="00B16D20">
            <w:rPr>
              <w:rFonts w:ascii="Times New Roman" w:hAnsi="Times New Roman"/>
              <w:sz w:val="20"/>
              <w:szCs w:val="20"/>
            </w:rPr>
            <w:br/>
          </w:r>
        </w:p>
        <w:p w14:paraId="18E0D409" w14:textId="7EC3A5B2" w:rsidR="00E5487C" w:rsidRPr="00676823" w:rsidRDefault="00676823" w:rsidP="00B16D20">
          <w:pPr>
            <w:pStyle w:val="ListParagraph"/>
            <w:rPr>
              <w:rFonts w:ascii="Times New Roman" w:hAnsi="Times New Roman" w:cs="Times New Roman"/>
              <w:sz w:val="20"/>
              <w:szCs w:val="20"/>
            </w:rPr>
          </w:pPr>
          <w:r>
            <w:rPr>
              <w:rFonts w:ascii="Times New Roman" w:hAnsi="Times New Roman" w:cs="Times New Roman"/>
              <w:sz w:val="20"/>
              <w:szCs w:val="20"/>
            </w:rPr>
            <w:tab/>
          </w:r>
          <w:r w:rsidR="00E5487C" w:rsidRPr="00676823">
            <w:rPr>
              <w:rFonts w:ascii="Times New Roman" w:hAnsi="Times New Roman" w:cs="Times New Roman"/>
              <w:sz w:val="20"/>
              <w:szCs w:val="20"/>
            </w:rPr>
            <w:t>Recommendation 4</w:t>
          </w:r>
          <w:r w:rsidRPr="00676823">
            <w:rPr>
              <w:rFonts w:ascii="Times New Roman" w:hAnsi="Times New Roman"/>
              <w:sz w:val="20"/>
              <w:szCs w:val="20"/>
            </w:rPr>
            <w:t xml:space="preserve">: </w:t>
          </w:r>
          <w:r w:rsidRPr="00676823">
            <w:rPr>
              <w:rFonts w:ascii="Times New Roman" w:hAnsi="Times New Roman" w:cs="Times New Roman"/>
              <w:i/>
              <w:iCs/>
              <w:sz w:val="20"/>
              <w:szCs w:val="20"/>
            </w:rPr>
            <w:t xml:space="preserve">Establish a “Rapid Response Team” to address situations where </w:t>
          </w:r>
          <w:r>
            <w:rPr>
              <w:rFonts w:ascii="Times New Roman" w:hAnsi="Times New Roman" w:cs="Times New Roman"/>
              <w:i/>
              <w:iCs/>
              <w:sz w:val="20"/>
              <w:szCs w:val="20"/>
            </w:rPr>
            <w:tab/>
          </w:r>
          <w:r w:rsidRPr="00676823">
            <w:rPr>
              <w:rFonts w:ascii="Times New Roman" w:hAnsi="Times New Roman" w:cs="Times New Roman"/>
              <w:i/>
              <w:iCs/>
              <w:sz w:val="20"/>
              <w:szCs w:val="20"/>
            </w:rPr>
            <w:t>disinformation</w:t>
          </w:r>
          <w:r>
            <w:rPr>
              <w:rFonts w:ascii="Times New Roman" w:hAnsi="Times New Roman" w:cs="Times New Roman"/>
              <w:i/>
              <w:iCs/>
              <w:sz w:val="20"/>
              <w:szCs w:val="20"/>
            </w:rPr>
            <w:t xml:space="preserve"> </w:t>
          </w:r>
          <w:r w:rsidRPr="00676823">
            <w:rPr>
              <w:rFonts w:ascii="Times New Roman" w:hAnsi="Times New Roman" w:cs="Times New Roman"/>
              <w:i/>
              <w:iCs/>
              <w:sz w:val="20"/>
              <w:szCs w:val="20"/>
            </w:rPr>
            <w:t xml:space="preserve">targeting a judicial branch individual, a court, or a court system occurs and </w:t>
          </w:r>
          <w:r>
            <w:rPr>
              <w:rFonts w:ascii="Times New Roman" w:hAnsi="Times New Roman" w:cs="Times New Roman"/>
              <w:i/>
              <w:iCs/>
              <w:sz w:val="20"/>
              <w:szCs w:val="20"/>
            </w:rPr>
            <w:tab/>
          </w:r>
          <w:r w:rsidRPr="00676823">
            <w:rPr>
              <w:rFonts w:ascii="Times New Roman" w:hAnsi="Times New Roman" w:cs="Times New Roman"/>
              <w:i/>
              <w:iCs/>
              <w:sz w:val="20"/>
              <w:szCs w:val="20"/>
            </w:rPr>
            <w:t xml:space="preserve">publish </w:t>
          </w:r>
          <w:r>
            <w:rPr>
              <w:rFonts w:ascii="Times New Roman" w:hAnsi="Times New Roman" w:cs="Times New Roman"/>
              <w:i/>
              <w:iCs/>
              <w:sz w:val="20"/>
              <w:szCs w:val="20"/>
            </w:rPr>
            <w:tab/>
          </w:r>
          <w:r w:rsidRPr="00676823">
            <w:rPr>
              <w:rFonts w:ascii="Times New Roman" w:hAnsi="Times New Roman" w:cs="Times New Roman"/>
              <w:i/>
              <w:iCs/>
              <w:sz w:val="20"/>
              <w:szCs w:val="20"/>
            </w:rPr>
            <w:t xml:space="preserve">a comment to the Arizona Code of Judicial Conduct Rule 2.10 to provide guidance as to </w:t>
          </w:r>
          <w:r>
            <w:rPr>
              <w:rFonts w:ascii="Times New Roman" w:hAnsi="Times New Roman" w:cs="Times New Roman"/>
              <w:i/>
              <w:iCs/>
              <w:sz w:val="20"/>
              <w:szCs w:val="20"/>
            </w:rPr>
            <w:tab/>
          </w:r>
          <w:r w:rsidRPr="00676823">
            <w:rPr>
              <w:rFonts w:ascii="Times New Roman" w:hAnsi="Times New Roman" w:cs="Times New Roman"/>
              <w:i/>
              <w:iCs/>
              <w:sz w:val="20"/>
              <w:szCs w:val="20"/>
            </w:rPr>
            <w:t>how and when such instances should be addressed.</w:t>
          </w:r>
          <w:r w:rsidR="00E5487C" w:rsidRPr="00E5487C">
            <w:rPr>
              <w:rFonts w:ascii="Times New Roman" w:hAnsi="Times New Roman" w:cs="Times New Roman"/>
              <w:sz w:val="20"/>
              <w:szCs w:val="20"/>
            </w:rPr>
            <w:ptab w:relativeTo="margin" w:alignment="right" w:leader="dot"/>
          </w:r>
          <w:r w:rsidR="005B0A8F">
            <w:rPr>
              <w:rFonts w:ascii="Times New Roman" w:hAnsi="Times New Roman" w:cs="Times New Roman"/>
              <w:sz w:val="20"/>
              <w:szCs w:val="20"/>
            </w:rPr>
            <w:t>37</w:t>
          </w:r>
          <w:r w:rsidR="00B16D20">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tab/>
          </w:r>
          <w:r w:rsidR="00E5487C" w:rsidRPr="00E5487C">
            <w:rPr>
              <w:rFonts w:ascii="Times New Roman" w:hAnsi="Times New Roman" w:cs="Times New Roman"/>
              <w:sz w:val="20"/>
              <w:szCs w:val="20"/>
            </w:rPr>
            <w:t>Recommendation 5</w:t>
          </w:r>
          <w:r>
            <w:rPr>
              <w:rFonts w:ascii="Times New Roman" w:hAnsi="Times New Roman" w:cs="Times New Roman"/>
              <w:sz w:val="20"/>
              <w:szCs w:val="20"/>
            </w:rPr>
            <w:t xml:space="preserve">: </w:t>
          </w:r>
          <w:r w:rsidRPr="00676823">
            <w:rPr>
              <w:rFonts w:ascii="Times New Roman" w:hAnsi="Times New Roman" w:cs="Times New Roman"/>
              <w:i/>
              <w:iCs/>
              <w:sz w:val="20"/>
              <w:szCs w:val="20"/>
            </w:rPr>
            <w:t xml:space="preserve">Establish a Local/National Disinformation Study Network for further </w:t>
          </w:r>
          <w:r w:rsidRPr="00676823">
            <w:rPr>
              <w:rFonts w:ascii="Times New Roman" w:hAnsi="Times New Roman" w:cs="Times New Roman"/>
              <w:i/>
              <w:iCs/>
              <w:sz w:val="20"/>
              <w:szCs w:val="20"/>
            </w:rPr>
            <w:tab/>
            <w:t>analysis.</w:t>
          </w:r>
          <w:r w:rsidR="00E5487C" w:rsidRPr="00E5487C">
            <w:rPr>
              <w:rFonts w:ascii="Times New Roman" w:hAnsi="Times New Roman" w:cs="Times New Roman"/>
              <w:sz w:val="20"/>
              <w:szCs w:val="20"/>
            </w:rPr>
            <w:ptab w:relativeTo="margin" w:alignment="right" w:leader="dot"/>
          </w:r>
          <w:r w:rsidR="005B0A8F">
            <w:rPr>
              <w:rFonts w:ascii="Times New Roman" w:hAnsi="Times New Roman" w:cs="Times New Roman"/>
              <w:sz w:val="20"/>
              <w:szCs w:val="20"/>
            </w:rPr>
            <w:t>39</w:t>
          </w:r>
          <w:r w:rsidR="00B16D20">
            <w:rPr>
              <w:rFonts w:ascii="Times New Roman" w:hAnsi="Times New Roman" w:cs="Times New Roman"/>
              <w:sz w:val="20"/>
              <w:szCs w:val="20"/>
            </w:rPr>
            <w:br/>
          </w:r>
          <w:r>
            <w:rPr>
              <w:rFonts w:ascii="Times New Roman" w:hAnsi="Times New Roman" w:cs="Times New Roman"/>
              <w:sz w:val="20"/>
              <w:szCs w:val="20"/>
            </w:rPr>
            <w:br/>
          </w:r>
          <w:r w:rsidRPr="00676823">
            <w:rPr>
              <w:rFonts w:ascii="Times New Roman" w:hAnsi="Times New Roman" w:cs="Times New Roman"/>
              <w:sz w:val="20"/>
              <w:szCs w:val="20"/>
            </w:rPr>
            <w:tab/>
          </w:r>
          <w:r w:rsidR="00E5487C" w:rsidRPr="00676823">
            <w:rPr>
              <w:rFonts w:ascii="Times New Roman" w:hAnsi="Times New Roman" w:cs="Times New Roman"/>
              <w:sz w:val="20"/>
              <w:szCs w:val="20"/>
            </w:rPr>
            <w:t>Recommendation 6</w:t>
          </w:r>
          <w:r w:rsidRPr="00676823">
            <w:rPr>
              <w:rFonts w:ascii="Times New Roman" w:hAnsi="Times New Roman"/>
              <w:sz w:val="20"/>
              <w:szCs w:val="20"/>
            </w:rPr>
            <w:t xml:space="preserve">: </w:t>
          </w:r>
          <w:r w:rsidRPr="00676823">
            <w:rPr>
              <w:rFonts w:ascii="Times New Roman" w:hAnsi="Times New Roman" w:cs="Times New Roman"/>
              <w:i/>
              <w:iCs/>
              <w:sz w:val="20"/>
              <w:szCs w:val="20"/>
            </w:rPr>
            <w:t xml:space="preserve">Establish a national, centralized point of contact to assist in identifying </w:t>
          </w:r>
          <w:r w:rsidRPr="00676823">
            <w:rPr>
              <w:rFonts w:ascii="Times New Roman" w:hAnsi="Times New Roman" w:cs="Times New Roman"/>
              <w:i/>
              <w:iCs/>
              <w:sz w:val="20"/>
              <w:szCs w:val="20"/>
            </w:rPr>
            <w:tab/>
            <w:t xml:space="preserve">disinformation and having it flagged or, if warranted, removed while respecting the expression of </w:t>
          </w:r>
          <w:r w:rsidRPr="00676823">
            <w:rPr>
              <w:rFonts w:ascii="Times New Roman" w:hAnsi="Times New Roman" w:cs="Times New Roman"/>
              <w:i/>
              <w:iCs/>
              <w:sz w:val="20"/>
              <w:szCs w:val="20"/>
            </w:rPr>
            <w:tab/>
            <w:t>individual opinions and the exercise of First Amendment rights.</w:t>
          </w:r>
          <w:r w:rsidR="00E5487C" w:rsidRPr="00676823">
            <w:rPr>
              <w:rFonts w:ascii="Times New Roman" w:hAnsi="Times New Roman" w:cs="Times New Roman"/>
              <w:sz w:val="20"/>
              <w:szCs w:val="20"/>
            </w:rPr>
            <w:ptab w:relativeTo="margin" w:alignment="right" w:leader="dot"/>
          </w:r>
          <w:r w:rsidR="005B0A8F">
            <w:rPr>
              <w:rFonts w:ascii="Times New Roman" w:hAnsi="Times New Roman" w:cs="Times New Roman"/>
              <w:sz w:val="20"/>
              <w:szCs w:val="20"/>
            </w:rPr>
            <w:t>40</w:t>
          </w:r>
          <w:r w:rsidR="00B16D20">
            <w:rPr>
              <w:rFonts w:ascii="Times New Roman" w:hAnsi="Times New Roman" w:cs="Times New Roman"/>
              <w:sz w:val="20"/>
              <w:szCs w:val="20"/>
            </w:rPr>
            <w:br/>
          </w:r>
        </w:p>
        <w:p w14:paraId="7B3EEE79" w14:textId="48DE0027" w:rsidR="00676823" w:rsidRPr="00676823" w:rsidRDefault="00676823" w:rsidP="00B16D20">
          <w:pPr>
            <w:pStyle w:val="ListParagraph"/>
            <w:rPr>
              <w:rFonts w:ascii="Times New Roman" w:hAnsi="Times New Roman" w:cs="Times New Roman"/>
              <w:sz w:val="20"/>
              <w:szCs w:val="20"/>
            </w:rPr>
          </w:pPr>
          <w:r>
            <w:rPr>
              <w:rFonts w:ascii="Times New Roman" w:hAnsi="Times New Roman" w:cs="Times New Roman"/>
              <w:sz w:val="20"/>
              <w:szCs w:val="20"/>
            </w:rPr>
            <w:tab/>
          </w:r>
          <w:r w:rsidR="00E5487C" w:rsidRPr="00676823">
            <w:rPr>
              <w:rFonts w:ascii="Times New Roman" w:hAnsi="Times New Roman" w:cs="Times New Roman"/>
              <w:sz w:val="20"/>
              <w:szCs w:val="20"/>
            </w:rPr>
            <w:t>Recommendation 7</w:t>
          </w:r>
          <w:r w:rsidRPr="00676823">
            <w:rPr>
              <w:rFonts w:ascii="Times New Roman" w:hAnsi="Times New Roman"/>
              <w:sz w:val="20"/>
              <w:szCs w:val="20"/>
            </w:rPr>
            <w:t xml:space="preserve">: </w:t>
          </w:r>
          <w:r w:rsidRPr="00676823">
            <w:rPr>
              <w:rFonts w:ascii="Times New Roman" w:hAnsi="Times New Roman" w:cs="Times New Roman"/>
              <w:i/>
              <w:iCs/>
              <w:sz w:val="20"/>
              <w:szCs w:val="20"/>
            </w:rPr>
            <w:t xml:space="preserve">Monitor technology and resources that can identify disinformation </w:t>
          </w:r>
          <w:r>
            <w:rPr>
              <w:rFonts w:ascii="Times New Roman" w:hAnsi="Times New Roman" w:cs="Times New Roman"/>
              <w:i/>
              <w:iCs/>
              <w:sz w:val="20"/>
              <w:szCs w:val="20"/>
            </w:rPr>
            <w:tab/>
          </w:r>
          <w:r w:rsidRPr="00676823">
            <w:rPr>
              <w:rFonts w:ascii="Times New Roman" w:hAnsi="Times New Roman" w:cs="Times New Roman"/>
              <w:i/>
              <w:iCs/>
              <w:sz w:val="20"/>
              <w:szCs w:val="20"/>
            </w:rPr>
            <w:t xml:space="preserve">campaigns early enough to counter them with accurate information and gather public contact </w:t>
          </w:r>
          <w:r>
            <w:rPr>
              <w:rFonts w:ascii="Times New Roman" w:hAnsi="Times New Roman" w:cs="Times New Roman"/>
              <w:i/>
              <w:iCs/>
              <w:sz w:val="20"/>
              <w:szCs w:val="20"/>
            </w:rPr>
            <w:tab/>
          </w:r>
          <w:r w:rsidRPr="00676823">
            <w:rPr>
              <w:rFonts w:ascii="Times New Roman" w:hAnsi="Times New Roman" w:cs="Times New Roman"/>
              <w:i/>
              <w:iCs/>
              <w:sz w:val="20"/>
              <w:szCs w:val="20"/>
            </w:rPr>
            <w:t>information to improve courts’ outreach and responsiveness.</w:t>
          </w:r>
          <w:r w:rsidR="005B0A8F" w:rsidRPr="005B0A8F">
            <w:rPr>
              <w:rFonts w:ascii="Times New Roman" w:hAnsi="Times New Roman" w:cs="Times New Roman"/>
              <w:sz w:val="20"/>
              <w:szCs w:val="20"/>
            </w:rPr>
            <w:t xml:space="preserve"> </w:t>
          </w:r>
          <w:r w:rsidR="005B0A8F" w:rsidRPr="00676823">
            <w:rPr>
              <w:rFonts w:ascii="Times New Roman" w:hAnsi="Times New Roman" w:cs="Times New Roman"/>
              <w:sz w:val="20"/>
              <w:szCs w:val="20"/>
            </w:rPr>
            <w:ptab w:relativeTo="margin" w:alignment="right" w:leader="dot"/>
          </w:r>
          <w:r w:rsidR="005B0A8F">
            <w:rPr>
              <w:rFonts w:ascii="Times New Roman" w:hAnsi="Times New Roman" w:cs="Times New Roman"/>
              <w:sz w:val="20"/>
              <w:szCs w:val="20"/>
            </w:rPr>
            <w:t>42</w:t>
          </w:r>
          <w:r w:rsidR="00B16D20">
            <w:rPr>
              <w:rFonts w:ascii="Times New Roman" w:hAnsi="Times New Roman" w:cs="Times New Roman"/>
              <w:sz w:val="20"/>
              <w:szCs w:val="20"/>
            </w:rPr>
            <w:br/>
          </w:r>
        </w:p>
        <w:p w14:paraId="35332B47" w14:textId="67F8609B" w:rsidR="00E5487C" w:rsidRPr="00676823" w:rsidRDefault="00676823" w:rsidP="00B16D20">
          <w:pPr>
            <w:pStyle w:val="TOC3"/>
            <w:spacing w:after="0"/>
            <w:ind w:left="446"/>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E5487C" w:rsidRPr="00676823">
            <w:rPr>
              <w:rFonts w:ascii="Times New Roman" w:hAnsi="Times New Roman"/>
              <w:sz w:val="20"/>
              <w:szCs w:val="20"/>
            </w:rPr>
            <w:t>Recommendation 8</w:t>
          </w:r>
          <w:r w:rsidRPr="00676823">
            <w:rPr>
              <w:rFonts w:ascii="Times New Roman" w:hAnsi="Times New Roman"/>
              <w:sz w:val="20"/>
              <w:szCs w:val="20"/>
            </w:rPr>
            <w:t xml:space="preserve">: </w:t>
          </w:r>
          <w:r w:rsidRPr="00676823">
            <w:rPr>
              <w:rFonts w:ascii="Times New Roman" w:hAnsi="Times New Roman"/>
              <w:i/>
              <w:iCs/>
              <w:sz w:val="20"/>
              <w:szCs w:val="20"/>
            </w:rPr>
            <w:t xml:space="preserve">Make federal public information available in Arizona regarding registrations </w:t>
          </w:r>
          <w:r w:rsidRPr="00676823">
            <w:rPr>
              <w:rFonts w:ascii="Times New Roman" w:hAnsi="Times New Roman"/>
              <w:i/>
              <w:iCs/>
              <w:sz w:val="20"/>
              <w:szCs w:val="20"/>
            </w:rPr>
            <w:tab/>
          </w:r>
          <w:r w:rsidRPr="00676823">
            <w:rPr>
              <w:rFonts w:ascii="Times New Roman" w:hAnsi="Times New Roman"/>
              <w:i/>
              <w:iCs/>
              <w:sz w:val="20"/>
              <w:szCs w:val="20"/>
            </w:rPr>
            <w:tab/>
            <w:t xml:space="preserve">as foreign agents under the Foreign Agents Registration Act, 22 USCA § 611, et. seq. </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76823">
            <w:rPr>
              <w:rFonts w:ascii="Times New Roman" w:hAnsi="Times New Roman"/>
              <w:i/>
              <w:iCs/>
              <w:sz w:val="20"/>
              <w:szCs w:val="20"/>
            </w:rPr>
            <w:t>(“FARA”)</w:t>
          </w:r>
          <w:r w:rsidR="00E5487C" w:rsidRPr="00676823">
            <w:rPr>
              <w:rFonts w:ascii="Times New Roman" w:hAnsi="Times New Roman"/>
              <w:sz w:val="20"/>
              <w:szCs w:val="20"/>
            </w:rPr>
            <w:ptab w:relativeTo="margin" w:alignment="right" w:leader="dot"/>
          </w:r>
          <w:r w:rsidR="005B0A8F">
            <w:rPr>
              <w:rFonts w:ascii="Times New Roman" w:hAnsi="Times New Roman"/>
              <w:sz w:val="20"/>
              <w:szCs w:val="20"/>
            </w:rPr>
            <w:t>45</w:t>
          </w:r>
          <w:r w:rsidR="00B16D20">
            <w:rPr>
              <w:rFonts w:ascii="Times New Roman" w:hAnsi="Times New Roman"/>
              <w:sz w:val="20"/>
              <w:szCs w:val="20"/>
            </w:rPr>
            <w:br/>
          </w:r>
        </w:p>
        <w:p w14:paraId="0710087B" w14:textId="6484EF0F" w:rsidR="00E5487C" w:rsidRDefault="00E5487C" w:rsidP="00B16D20">
          <w:pPr>
            <w:rPr>
              <w:rFonts w:cs="Times New Roman"/>
              <w:sz w:val="20"/>
              <w:szCs w:val="20"/>
            </w:rPr>
          </w:pPr>
          <w:r w:rsidRPr="00676823">
            <w:rPr>
              <w:rFonts w:cs="Times New Roman"/>
              <w:sz w:val="20"/>
              <w:szCs w:val="20"/>
            </w:rPr>
            <w:tab/>
          </w:r>
          <w:r w:rsidRPr="00676823">
            <w:rPr>
              <w:rFonts w:cs="Times New Roman"/>
              <w:sz w:val="20"/>
              <w:szCs w:val="20"/>
            </w:rPr>
            <w:tab/>
            <w:t>Recommendation 9</w:t>
          </w:r>
          <w:r w:rsidR="00676823" w:rsidRPr="00676823">
            <w:rPr>
              <w:sz w:val="20"/>
              <w:szCs w:val="20"/>
            </w:rPr>
            <w:t xml:space="preserve">: </w:t>
          </w:r>
          <w:r w:rsidR="00676823" w:rsidRPr="00676823">
            <w:rPr>
              <w:rFonts w:cs="Times New Roman"/>
              <w:i/>
              <w:iCs/>
              <w:sz w:val="20"/>
              <w:szCs w:val="20"/>
            </w:rPr>
            <w:t xml:space="preserve">Extend the term of the </w:t>
          </w:r>
          <w:r w:rsidR="00EB5CBF">
            <w:rPr>
              <w:rFonts w:cs="Times New Roman"/>
              <w:i/>
              <w:iCs/>
              <w:sz w:val="20"/>
              <w:szCs w:val="20"/>
            </w:rPr>
            <w:t>Task Force on Countering Disinformation</w:t>
          </w:r>
          <w:r w:rsidR="00676823" w:rsidRPr="00676823">
            <w:rPr>
              <w:rFonts w:cs="Times New Roman"/>
              <w:i/>
              <w:iCs/>
              <w:sz w:val="20"/>
              <w:szCs w:val="20"/>
            </w:rPr>
            <w:t xml:space="preserve"> through </w:t>
          </w:r>
          <w:r w:rsidR="00676823" w:rsidRPr="00676823">
            <w:rPr>
              <w:rFonts w:cs="Times New Roman"/>
              <w:i/>
              <w:iCs/>
              <w:sz w:val="20"/>
              <w:szCs w:val="20"/>
            </w:rPr>
            <w:tab/>
          </w:r>
          <w:r w:rsidR="00676823" w:rsidRPr="00676823">
            <w:rPr>
              <w:rFonts w:cs="Times New Roman"/>
              <w:i/>
              <w:iCs/>
              <w:sz w:val="20"/>
              <w:szCs w:val="20"/>
            </w:rPr>
            <w:tab/>
          </w:r>
          <w:r w:rsidR="00676823" w:rsidRPr="00676823">
            <w:rPr>
              <w:rFonts w:cs="Times New Roman"/>
              <w:i/>
              <w:iCs/>
              <w:sz w:val="20"/>
              <w:szCs w:val="20"/>
            </w:rPr>
            <w:tab/>
            <w:t>December 2021.</w:t>
          </w:r>
          <w:r w:rsidRPr="00E5487C">
            <w:rPr>
              <w:rFonts w:cs="Times New Roman"/>
              <w:sz w:val="20"/>
              <w:szCs w:val="20"/>
            </w:rPr>
            <w:ptab w:relativeTo="margin" w:alignment="right" w:leader="dot"/>
          </w:r>
          <w:r w:rsidR="005B0A8F">
            <w:rPr>
              <w:rFonts w:cs="Times New Roman"/>
              <w:sz w:val="20"/>
              <w:szCs w:val="20"/>
            </w:rPr>
            <w:t>46</w:t>
          </w:r>
        </w:p>
        <w:p w14:paraId="020BBD4E" w14:textId="77777777" w:rsidR="00B16D20" w:rsidRPr="00676823" w:rsidRDefault="00B16D20" w:rsidP="00676823">
          <w:pPr>
            <w:rPr>
              <w:i/>
              <w:iCs/>
              <w:sz w:val="20"/>
              <w:szCs w:val="20"/>
            </w:rPr>
          </w:pPr>
        </w:p>
        <w:p w14:paraId="06FE58CB" w14:textId="532754B0" w:rsidR="001536C1" w:rsidRPr="00E5487C" w:rsidRDefault="00E5487C" w:rsidP="00E5487C">
          <w:pPr>
            <w:pStyle w:val="TOC2"/>
            <w:numPr>
              <w:ilvl w:val="0"/>
              <w:numId w:val="27"/>
            </w:numPr>
            <w:rPr>
              <w:rFonts w:ascii="Times New Roman" w:hAnsi="Times New Roman"/>
              <w:sz w:val="20"/>
              <w:szCs w:val="20"/>
            </w:rPr>
          </w:pPr>
          <w:r w:rsidRPr="00E5487C">
            <w:rPr>
              <w:rFonts w:ascii="Times New Roman" w:hAnsi="Times New Roman"/>
              <w:sz w:val="20"/>
              <w:szCs w:val="20"/>
            </w:rPr>
            <w:t>Conclusion</w:t>
          </w:r>
          <w:r w:rsidR="001536C1" w:rsidRPr="00E5487C">
            <w:rPr>
              <w:rFonts w:ascii="Times New Roman" w:hAnsi="Times New Roman"/>
              <w:sz w:val="20"/>
              <w:szCs w:val="20"/>
            </w:rPr>
            <w:ptab w:relativeTo="margin" w:alignment="right" w:leader="dot"/>
          </w:r>
          <w:r w:rsidR="005B0A8F">
            <w:rPr>
              <w:rFonts w:ascii="Times New Roman" w:hAnsi="Times New Roman"/>
              <w:sz w:val="20"/>
              <w:szCs w:val="20"/>
            </w:rPr>
            <w:t>4</w:t>
          </w:r>
          <w:r w:rsidR="00DB28BB">
            <w:rPr>
              <w:rFonts w:ascii="Times New Roman" w:hAnsi="Times New Roman"/>
              <w:sz w:val="20"/>
              <w:szCs w:val="20"/>
            </w:rPr>
            <w:t>6</w:t>
          </w:r>
        </w:p>
        <w:p w14:paraId="03AD5754" w14:textId="6A7CF974" w:rsidR="001536C1" w:rsidRDefault="00E5487C" w:rsidP="00DB28BB">
          <w:pPr>
            <w:pStyle w:val="TOC1"/>
          </w:pPr>
          <w:r w:rsidRPr="00E5487C">
            <w:t>APPENDI</w:t>
          </w:r>
          <w:r w:rsidR="00C2544C">
            <w:t>CES (A-E)</w:t>
          </w:r>
          <w:r w:rsidR="001536C1" w:rsidRPr="00E5487C">
            <w:ptab w:relativeTo="margin" w:alignment="right" w:leader="dot"/>
          </w:r>
          <w:r w:rsidR="001536C1" w:rsidRPr="00E5487C">
            <w:t>4</w:t>
          </w:r>
          <w:r w:rsidR="005B0A8F">
            <w:t>9</w:t>
          </w:r>
        </w:p>
        <w:p w14:paraId="232A4AA3" w14:textId="74345EB8" w:rsidR="001536C1" w:rsidRPr="001536C1" w:rsidRDefault="00D506A3" w:rsidP="001536C1"/>
      </w:sdtContent>
    </w:sdt>
    <w:p w14:paraId="076A6424" w14:textId="77777777" w:rsidR="00176880" w:rsidRPr="004F61D7" w:rsidRDefault="00176880" w:rsidP="00176880">
      <w:pPr>
        <w:spacing w:line="360" w:lineRule="auto"/>
        <w:rPr>
          <w:rFonts w:cs="Times New Roman"/>
          <w:szCs w:val="24"/>
        </w:rPr>
      </w:pPr>
    </w:p>
    <w:p w14:paraId="7F5D1CA4" w14:textId="50033C94" w:rsidR="002F6B72" w:rsidRPr="004F61D7" w:rsidRDefault="00176880" w:rsidP="00B16D20">
      <w:pPr>
        <w:jc w:val="center"/>
      </w:pPr>
      <w:r w:rsidRPr="004F61D7">
        <w:rPr>
          <w:rFonts w:cs="Times New Roman"/>
          <w:szCs w:val="24"/>
        </w:rPr>
        <w:br w:type="page"/>
      </w:r>
      <w:r w:rsidR="002F6B72" w:rsidRPr="004F61D7">
        <w:lastRenderedPageBreak/>
        <w:t>MEMBERS</w:t>
      </w:r>
    </w:p>
    <w:p w14:paraId="23E5B4EE" w14:textId="254D003C" w:rsidR="00D86DCB" w:rsidRPr="00BB386B" w:rsidRDefault="00BB386B" w:rsidP="002F6B72">
      <w:pPr>
        <w:jc w:val="center"/>
        <w:rPr>
          <w:rFonts w:cs="Times New Roman"/>
          <w:color w:val="FF0000"/>
          <w:szCs w:val="24"/>
        </w:rPr>
      </w:pPr>
      <w:r w:rsidRPr="002C6757">
        <w:rPr>
          <w:rFonts w:cs="Times New Roman"/>
          <w:color w:val="FF0000"/>
          <w:szCs w:val="24"/>
          <w:highlight w:val="yellow"/>
        </w:rPr>
        <w:t>UPDATE FOR 2021</w:t>
      </w:r>
    </w:p>
    <w:p w14:paraId="3BE5B951" w14:textId="0CC087E4" w:rsidR="00D86DCB" w:rsidRPr="004F61D7" w:rsidRDefault="00D86DCB" w:rsidP="002F6B72">
      <w:pPr>
        <w:jc w:val="center"/>
        <w:rPr>
          <w:rFonts w:cs="Times New Roman"/>
          <w:szCs w:val="24"/>
        </w:rPr>
      </w:pPr>
      <w:r w:rsidRPr="004F61D7">
        <w:rPr>
          <w:rFonts w:cs="Times New Roman"/>
          <w:szCs w:val="24"/>
        </w:rPr>
        <w:t>Aaron Nash, Chair</w:t>
      </w:r>
      <w:r w:rsidRPr="004F61D7">
        <w:rPr>
          <w:rFonts w:cs="Times New Roman"/>
          <w:szCs w:val="24"/>
        </w:rPr>
        <w:br/>
        <w:t>Communications Director</w:t>
      </w:r>
      <w:r w:rsidR="00673C67">
        <w:rPr>
          <w:rFonts w:cs="Times New Roman"/>
          <w:szCs w:val="24"/>
        </w:rPr>
        <w:br/>
      </w:r>
      <w:r w:rsidRPr="004F61D7">
        <w:rPr>
          <w:rFonts w:cs="Times New Roman"/>
          <w:szCs w:val="24"/>
        </w:rPr>
        <w:t>Arizona Supreme Court</w:t>
      </w:r>
    </w:p>
    <w:p w14:paraId="5EB25D87" w14:textId="4BE6562B" w:rsidR="00D86DCB" w:rsidRPr="004F61D7" w:rsidRDefault="00D86DCB" w:rsidP="00D86DCB">
      <w:pPr>
        <w:jc w:val="center"/>
        <w:rPr>
          <w:rFonts w:cs="Times New Roman"/>
          <w:szCs w:val="24"/>
        </w:rPr>
      </w:pPr>
    </w:p>
    <w:p w14:paraId="3AD83683" w14:textId="77777777" w:rsidR="00D86DCB" w:rsidRPr="004F61D7" w:rsidRDefault="00D86DCB" w:rsidP="00D86DCB">
      <w:pPr>
        <w:jc w:val="center"/>
        <w:rPr>
          <w:rFonts w:cs="Times New Roman"/>
          <w:szCs w:val="24"/>
        </w:rPr>
      </w:pPr>
    </w:p>
    <w:p w14:paraId="287BC36F" w14:textId="77777777" w:rsidR="00D86DCB" w:rsidRPr="004F61D7" w:rsidRDefault="00D86DCB" w:rsidP="00D86DCB">
      <w:pPr>
        <w:jc w:val="center"/>
        <w:rPr>
          <w:rFonts w:cs="Times New Roman"/>
          <w:szCs w:val="24"/>
        </w:rPr>
        <w:sectPr w:rsidR="00D86DCB" w:rsidRPr="004F61D7" w:rsidSect="001536C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432" w:gutter="0"/>
          <w:cols w:space="720"/>
          <w:titlePg/>
          <w:docGrid w:linePitch="360"/>
        </w:sectPr>
      </w:pPr>
    </w:p>
    <w:p w14:paraId="13B016E3" w14:textId="06027CD6" w:rsidR="00D86DCB" w:rsidRPr="002C6757" w:rsidRDefault="00D86DCB" w:rsidP="00673C67">
      <w:pPr>
        <w:jc w:val="center"/>
        <w:rPr>
          <w:rFonts w:cs="Times New Roman"/>
          <w:szCs w:val="24"/>
          <w:highlight w:val="yellow"/>
        </w:rPr>
      </w:pPr>
      <w:r w:rsidRPr="002C6757">
        <w:rPr>
          <w:rFonts w:cs="Times New Roman"/>
          <w:szCs w:val="24"/>
          <w:highlight w:val="yellow"/>
        </w:rPr>
        <w:t>MaryJane Abril</w:t>
      </w:r>
    </w:p>
    <w:p w14:paraId="494E762C" w14:textId="77777777" w:rsidR="00D86DCB" w:rsidRPr="004F61D7" w:rsidRDefault="00D86DCB" w:rsidP="00673C67">
      <w:pPr>
        <w:jc w:val="center"/>
        <w:rPr>
          <w:rFonts w:cs="Times New Roman"/>
          <w:szCs w:val="24"/>
        </w:rPr>
      </w:pPr>
      <w:r w:rsidRPr="002C6757">
        <w:rPr>
          <w:rFonts w:cs="Times New Roman"/>
          <w:szCs w:val="24"/>
          <w:highlight w:val="yellow"/>
        </w:rPr>
        <w:t>Superior Court in Pima County</w:t>
      </w:r>
    </w:p>
    <w:p w14:paraId="62184D20" w14:textId="77777777" w:rsidR="00D86DCB" w:rsidRPr="004F61D7" w:rsidRDefault="00D86DCB" w:rsidP="00673C67">
      <w:pPr>
        <w:jc w:val="center"/>
        <w:rPr>
          <w:rFonts w:cs="Times New Roman"/>
          <w:szCs w:val="24"/>
        </w:rPr>
      </w:pPr>
    </w:p>
    <w:p w14:paraId="5953A7FB" w14:textId="77777777" w:rsidR="00D86DCB" w:rsidRPr="004F61D7" w:rsidRDefault="00D86DCB" w:rsidP="00673C67">
      <w:pPr>
        <w:jc w:val="center"/>
        <w:rPr>
          <w:rFonts w:cs="Times New Roman"/>
          <w:szCs w:val="24"/>
        </w:rPr>
      </w:pPr>
      <w:r w:rsidRPr="004F61D7">
        <w:rPr>
          <w:rFonts w:cs="Times New Roman"/>
          <w:szCs w:val="24"/>
        </w:rPr>
        <w:t>Hon. Bradley Astrowsky</w:t>
      </w:r>
    </w:p>
    <w:p w14:paraId="79601C7A" w14:textId="447C0CFD" w:rsidR="00D86DCB" w:rsidRPr="004F61D7" w:rsidRDefault="00D86DCB" w:rsidP="00673C67">
      <w:pPr>
        <w:jc w:val="center"/>
        <w:rPr>
          <w:rFonts w:cs="Times New Roman"/>
          <w:szCs w:val="24"/>
        </w:rPr>
      </w:pPr>
      <w:r w:rsidRPr="004F61D7">
        <w:rPr>
          <w:rFonts w:cs="Times New Roman"/>
          <w:szCs w:val="24"/>
        </w:rPr>
        <w:t>Superior Court in Maricopa County</w:t>
      </w:r>
    </w:p>
    <w:p w14:paraId="3B8D15AD" w14:textId="77777777" w:rsidR="00D86DCB" w:rsidRPr="004F61D7" w:rsidRDefault="00D86DCB" w:rsidP="00673C67">
      <w:pPr>
        <w:jc w:val="center"/>
        <w:rPr>
          <w:rFonts w:cs="Times New Roman"/>
          <w:szCs w:val="24"/>
        </w:rPr>
      </w:pPr>
    </w:p>
    <w:p w14:paraId="2E8566CA" w14:textId="77777777" w:rsidR="00D86DCB" w:rsidRPr="004F61D7" w:rsidRDefault="00D86DCB" w:rsidP="00673C67">
      <w:pPr>
        <w:jc w:val="center"/>
        <w:rPr>
          <w:rFonts w:cs="Times New Roman"/>
          <w:szCs w:val="24"/>
        </w:rPr>
      </w:pPr>
      <w:r w:rsidRPr="004F61D7">
        <w:rPr>
          <w:rFonts w:cs="Times New Roman"/>
          <w:szCs w:val="24"/>
        </w:rPr>
        <w:t>Fredric Bellamy</w:t>
      </w:r>
    </w:p>
    <w:p w14:paraId="4EC51E29" w14:textId="77777777" w:rsidR="00D86DCB" w:rsidRPr="004F61D7" w:rsidRDefault="00D86DCB" w:rsidP="00673C67">
      <w:pPr>
        <w:jc w:val="center"/>
        <w:rPr>
          <w:rFonts w:cs="Times New Roman"/>
          <w:szCs w:val="24"/>
        </w:rPr>
      </w:pPr>
      <w:r w:rsidRPr="002C6757">
        <w:rPr>
          <w:rFonts w:cs="Times New Roman"/>
          <w:szCs w:val="24"/>
          <w:highlight w:val="yellow"/>
        </w:rPr>
        <w:t>Cagle Carpenter Hazelwood</w:t>
      </w:r>
    </w:p>
    <w:p w14:paraId="0645FF9C" w14:textId="77777777" w:rsidR="00D86DCB" w:rsidRPr="004F61D7" w:rsidRDefault="00D86DCB" w:rsidP="00673C67">
      <w:pPr>
        <w:jc w:val="center"/>
        <w:rPr>
          <w:rFonts w:cs="Times New Roman"/>
          <w:szCs w:val="24"/>
        </w:rPr>
      </w:pPr>
    </w:p>
    <w:p w14:paraId="466BACF5" w14:textId="77777777" w:rsidR="00D86DCB" w:rsidRPr="002C6757" w:rsidRDefault="00D86DCB" w:rsidP="00673C67">
      <w:pPr>
        <w:jc w:val="center"/>
        <w:rPr>
          <w:rFonts w:cs="Times New Roman"/>
          <w:szCs w:val="24"/>
          <w:highlight w:val="yellow"/>
        </w:rPr>
      </w:pPr>
      <w:r w:rsidRPr="002C6757">
        <w:rPr>
          <w:rFonts w:cs="Times New Roman"/>
          <w:szCs w:val="24"/>
          <w:highlight w:val="yellow"/>
        </w:rPr>
        <w:t>David Bodney</w:t>
      </w:r>
    </w:p>
    <w:p w14:paraId="2BD71011" w14:textId="77777777" w:rsidR="00D86DCB" w:rsidRPr="002C6757" w:rsidRDefault="00D86DCB" w:rsidP="00673C67">
      <w:pPr>
        <w:jc w:val="center"/>
        <w:rPr>
          <w:rFonts w:cs="Times New Roman"/>
          <w:szCs w:val="24"/>
          <w:highlight w:val="yellow"/>
        </w:rPr>
      </w:pPr>
      <w:r w:rsidRPr="002C6757">
        <w:rPr>
          <w:rFonts w:cs="Times New Roman"/>
          <w:szCs w:val="24"/>
          <w:highlight w:val="yellow"/>
        </w:rPr>
        <w:t>Ballard Spahr</w:t>
      </w:r>
    </w:p>
    <w:p w14:paraId="5924E3C4" w14:textId="77777777" w:rsidR="00D86DCB" w:rsidRPr="002C6757" w:rsidRDefault="00D86DCB" w:rsidP="00673C67">
      <w:pPr>
        <w:jc w:val="center"/>
        <w:rPr>
          <w:rFonts w:cs="Times New Roman"/>
          <w:szCs w:val="24"/>
          <w:highlight w:val="yellow"/>
        </w:rPr>
      </w:pPr>
    </w:p>
    <w:p w14:paraId="7742B489" w14:textId="77777777" w:rsidR="00D86DCB" w:rsidRPr="002C6757" w:rsidRDefault="00D86DCB" w:rsidP="00673C67">
      <w:pPr>
        <w:jc w:val="center"/>
        <w:rPr>
          <w:rFonts w:cs="Times New Roman"/>
          <w:szCs w:val="24"/>
          <w:highlight w:val="yellow"/>
        </w:rPr>
      </w:pPr>
      <w:r w:rsidRPr="002C6757">
        <w:rPr>
          <w:rFonts w:cs="Times New Roman"/>
          <w:szCs w:val="24"/>
          <w:highlight w:val="yellow"/>
        </w:rPr>
        <w:t>Pete Dunn</w:t>
      </w:r>
    </w:p>
    <w:p w14:paraId="5514DFE8" w14:textId="77777777" w:rsidR="00D86DCB" w:rsidRPr="002C6757" w:rsidRDefault="00D86DCB" w:rsidP="00673C67">
      <w:pPr>
        <w:jc w:val="center"/>
        <w:rPr>
          <w:rFonts w:cs="Times New Roman"/>
          <w:szCs w:val="24"/>
          <w:highlight w:val="yellow"/>
        </w:rPr>
      </w:pPr>
      <w:r w:rsidRPr="002C6757">
        <w:rPr>
          <w:rFonts w:cs="Times New Roman"/>
          <w:szCs w:val="24"/>
          <w:highlight w:val="yellow"/>
        </w:rPr>
        <w:t>Justice at Stake</w:t>
      </w:r>
    </w:p>
    <w:p w14:paraId="1CDEB61A" w14:textId="77777777" w:rsidR="00D86DCB" w:rsidRPr="002C6757" w:rsidRDefault="00D86DCB" w:rsidP="00673C67">
      <w:pPr>
        <w:jc w:val="center"/>
        <w:rPr>
          <w:rFonts w:cs="Times New Roman"/>
          <w:szCs w:val="24"/>
          <w:highlight w:val="yellow"/>
        </w:rPr>
      </w:pPr>
    </w:p>
    <w:p w14:paraId="26FCCFB9" w14:textId="77777777" w:rsidR="00D86DCB" w:rsidRPr="002C6757" w:rsidRDefault="00D86DCB" w:rsidP="00673C67">
      <w:pPr>
        <w:jc w:val="center"/>
        <w:rPr>
          <w:rFonts w:cs="Times New Roman"/>
          <w:szCs w:val="24"/>
          <w:highlight w:val="yellow"/>
        </w:rPr>
      </w:pPr>
      <w:r w:rsidRPr="002C6757">
        <w:rPr>
          <w:rFonts w:cs="Times New Roman"/>
          <w:szCs w:val="24"/>
          <w:highlight w:val="yellow"/>
        </w:rPr>
        <w:t>Susan Dzbanko</w:t>
      </w:r>
    </w:p>
    <w:p w14:paraId="4BB9C299" w14:textId="77777777" w:rsidR="00D86DCB" w:rsidRPr="004F61D7" w:rsidRDefault="00D86DCB" w:rsidP="00673C67">
      <w:pPr>
        <w:jc w:val="center"/>
        <w:rPr>
          <w:rFonts w:cs="Times New Roman"/>
          <w:szCs w:val="24"/>
        </w:rPr>
      </w:pPr>
      <w:r w:rsidRPr="002C6757">
        <w:rPr>
          <w:rFonts w:cs="Times New Roman"/>
          <w:szCs w:val="24"/>
          <w:highlight w:val="yellow"/>
        </w:rPr>
        <w:t>Arizona Department of Homeland Security</w:t>
      </w:r>
    </w:p>
    <w:p w14:paraId="2034E154" w14:textId="77777777" w:rsidR="00D86DCB" w:rsidRPr="004F61D7" w:rsidRDefault="00D86DCB" w:rsidP="00673C67">
      <w:pPr>
        <w:jc w:val="center"/>
        <w:rPr>
          <w:rFonts w:cs="Times New Roman"/>
          <w:szCs w:val="24"/>
        </w:rPr>
      </w:pPr>
    </w:p>
    <w:p w14:paraId="27B51082" w14:textId="77777777" w:rsidR="00D86DCB" w:rsidRPr="004F61D7" w:rsidRDefault="00D86DCB" w:rsidP="00673C67">
      <w:pPr>
        <w:jc w:val="center"/>
        <w:rPr>
          <w:rFonts w:cs="Times New Roman"/>
          <w:szCs w:val="24"/>
        </w:rPr>
      </w:pPr>
      <w:r w:rsidRPr="004F61D7">
        <w:rPr>
          <w:rFonts w:cs="Times New Roman"/>
          <w:szCs w:val="24"/>
        </w:rPr>
        <w:t>Jessica Fotinos</w:t>
      </w:r>
    </w:p>
    <w:p w14:paraId="68471F85" w14:textId="77777777" w:rsidR="00D86DCB" w:rsidRPr="004F61D7" w:rsidRDefault="00D86DCB" w:rsidP="00673C67">
      <w:pPr>
        <w:jc w:val="center"/>
        <w:rPr>
          <w:rFonts w:cs="Times New Roman"/>
          <w:szCs w:val="24"/>
        </w:rPr>
      </w:pPr>
      <w:r w:rsidRPr="004F61D7">
        <w:rPr>
          <w:rFonts w:cs="Times New Roman"/>
          <w:szCs w:val="24"/>
        </w:rPr>
        <w:t>Maricopa County Clerk of Superior Court</w:t>
      </w:r>
    </w:p>
    <w:p w14:paraId="58629850" w14:textId="77777777" w:rsidR="00D86DCB" w:rsidRPr="004F61D7" w:rsidRDefault="00D86DCB" w:rsidP="00673C67">
      <w:pPr>
        <w:jc w:val="center"/>
        <w:rPr>
          <w:rFonts w:cs="Times New Roman"/>
          <w:szCs w:val="24"/>
        </w:rPr>
      </w:pPr>
    </w:p>
    <w:p w14:paraId="597A0DED" w14:textId="77777777" w:rsidR="00D86DCB" w:rsidRPr="002C6757" w:rsidRDefault="00D86DCB" w:rsidP="00673C67">
      <w:pPr>
        <w:jc w:val="center"/>
        <w:rPr>
          <w:rFonts w:cs="Times New Roman"/>
          <w:szCs w:val="24"/>
          <w:highlight w:val="yellow"/>
        </w:rPr>
      </w:pPr>
      <w:r w:rsidRPr="002C6757">
        <w:rPr>
          <w:rFonts w:cs="Times New Roman"/>
          <w:szCs w:val="24"/>
          <w:highlight w:val="yellow"/>
        </w:rPr>
        <w:t>Hon. David Fuller</w:t>
      </w:r>
    </w:p>
    <w:p w14:paraId="3B706AAB" w14:textId="77777777" w:rsidR="00D86DCB" w:rsidRPr="004F61D7" w:rsidRDefault="00D86DCB" w:rsidP="00673C67">
      <w:pPr>
        <w:jc w:val="center"/>
        <w:rPr>
          <w:rFonts w:cs="Times New Roman"/>
          <w:szCs w:val="24"/>
        </w:rPr>
      </w:pPr>
      <w:r w:rsidRPr="002C6757">
        <w:rPr>
          <w:rFonts w:cs="Times New Roman"/>
          <w:szCs w:val="24"/>
          <w:highlight w:val="yellow"/>
        </w:rPr>
        <w:t>Chandler Municipal Court</w:t>
      </w:r>
    </w:p>
    <w:p w14:paraId="62B8EB79" w14:textId="77777777" w:rsidR="00D86DCB" w:rsidRPr="004F61D7" w:rsidRDefault="00D86DCB" w:rsidP="00673C67">
      <w:pPr>
        <w:jc w:val="center"/>
        <w:rPr>
          <w:rFonts w:cs="Times New Roman"/>
          <w:szCs w:val="24"/>
        </w:rPr>
      </w:pPr>
    </w:p>
    <w:p w14:paraId="72524F12" w14:textId="77777777" w:rsidR="00D86DCB" w:rsidRPr="004F61D7" w:rsidRDefault="00D86DCB" w:rsidP="00673C67">
      <w:pPr>
        <w:jc w:val="center"/>
        <w:rPr>
          <w:rFonts w:cs="Times New Roman"/>
          <w:szCs w:val="24"/>
        </w:rPr>
      </w:pPr>
      <w:r w:rsidRPr="004F61D7">
        <w:rPr>
          <w:rFonts w:cs="Times New Roman"/>
          <w:szCs w:val="24"/>
        </w:rPr>
        <w:t>Dr. Dawn Gilpin</w:t>
      </w:r>
    </w:p>
    <w:p w14:paraId="7BC3F454" w14:textId="77777777" w:rsidR="00D86DCB" w:rsidRPr="004F61D7" w:rsidRDefault="00D86DCB" w:rsidP="00673C67">
      <w:pPr>
        <w:jc w:val="center"/>
        <w:rPr>
          <w:rFonts w:cs="Times New Roman"/>
          <w:szCs w:val="24"/>
        </w:rPr>
      </w:pPr>
      <w:r w:rsidRPr="004F61D7">
        <w:rPr>
          <w:rFonts w:cs="Times New Roman"/>
          <w:szCs w:val="24"/>
        </w:rPr>
        <w:t>Arizona State University</w:t>
      </w:r>
    </w:p>
    <w:p w14:paraId="27813AB8" w14:textId="77777777" w:rsidR="00D86DCB" w:rsidRPr="004F61D7" w:rsidRDefault="00D86DCB" w:rsidP="00673C67">
      <w:pPr>
        <w:jc w:val="center"/>
        <w:rPr>
          <w:rFonts w:cs="Times New Roman"/>
          <w:szCs w:val="24"/>
        </w:rPr>
      </w:pPr>
    </w:p>
    <w:p w14:paraId="23B67698" w14:textId="77777777" w:rsidR="00D86DCB" w:rsidRPr="004F61D7" w:rsidRDefault="00D86DCB" w:rsidP="00673C67">
      <w:pPr>
        <w:jc w:val="center"/>
        <w:rPr>
          <w:rFonts w:cs="Times New Roman"/>
          <w:szCs w:val="24"/>
        </w:rPr>
      </w:pPr>
      <w:r w:rsidRPr="004F61D7">
        <w:rPr>
          <w:rFonts w:cs="Times New Roman"/>
          <w:szCs w:val="24"/>
        </w:rPr>
        <w:t>Eduard Goodman</w:t>
      </w:r>
    </w:p>
    <w:p w14:paraId="05818B17" w14:textId="46F0F84C" w:rsidR="00D86DCB" w:rsidRPr="004F61D7" w:rsidRDefault="00A67ADD" w:rsidP="00673C67">
      <w:pPr>
        <w:jc w:val="center"/>
        <w:rPr>
          <w:rFonts w:cs="Times New Roman"/>
          <w:szCs w:val="24"/>
        </w:rPr>
      </w:pPr>
      <w:r w:rsidRPr="002C6757">
        <w:rPr>
          <w:rFonts w:cs="Times New Roman"/>
          <w:szCs w:val="24"/>
          <w:highlight w:val="yellow"/>
        </w:rPr>
        <w:t>CyberScout</w:t>
      </w:r>
    </w:p>
    <w:p w14:paraId="55C1971E" w14:textId="77777777" w:rsidR="00D86DCB" w:rsidRPr="004F61D7" w:rsidRDefault="00D86DCB" w:rsidP="00673C67">
      <w:pPr>
        <w:jc w:val="center"/>
        <w:rPr>
          <w:rFonts w:cs="Times New Roman"/>
          <w:szCs w:val="24"/>
        </w:rPr>
      </w:pPr>
    </w:p>
    <w:p w14:paraId="7ECF48B7" w14:textId="77777777" w:rsidR="00D86DCB" w:rsidRPr="004F61D7" w:rsidRDefault="00D86DCB" w:rsidP="00673C67">
      <w:pPr>
        <w:jc w:val="center"/>
        <w:rPr>
          <w:rFonts w:cs="Times New Roman"/>
          <w:szCs w:val="24"/>
        </w:rPr>
      </w:pPr>
      <w:r w:rsidRPr="004F61D7">
        <w:rPr>
          <w:rFonts w:cs="Times New Roman"/>
          <w:szCs w:val="24"/>
        </w:rPr>
        <w:t>Joe Hengemuehler</w:t>
      </w:r>
    </w:p>
    <w:p w14:paraId="7125871E" w14:textId="77777777" w:rsidR="00D86DCB" w:rsidRPr="004F61D7" w:rsidRDefault="00D86DCB" w:rsidP="00673C67">
      <w:pPr>
        <w:jc w:val="center"/>
        <w:rPr>
          <w:rFonts w:cs="Times New Roman"/>
          <w:szCs w:val="24"/>
        </w:rPr>
      </w:pPr>
      <w:r w:rsidRPr="004F61D7">
        <w:rPr>
          <w:rFonts w:cs="Times New Roman"/>
          <w:szCs w:val="24"/>
        </w:rPr>
        <w:t>State Bar of Arizona</w:t>
      </w:r>
    </w:p>
    <w:p w14:paraId="4CE95EE2" w14:textId="77777777" w:rsidR="00D86DCB" w:rsidRPr="004F61D7" w:rsidRDefault="00D86DCB" w:rsidP="00673C67">
      <w:pPr>
        <w:jc w:val="center"/>
        <w:rPr>
          <w:rFonts w:cs="Times New Roman"/>
          <w:szCs w:val="24"/>
        </w:rPr>
      </w:pPr>
    </w:p>
    <w:p w14:paraId="2FE9D9F8" w14:textId="77777777" w:rsidR="00D86DCB" w:rsidRPr="004F61D7" w:rsidRDefault="00D86DCB" w:rsidP="00673C67">
      <w:pPr>
        <w:jc w:val="center"/>
        <w:rPr>
          <w:rFonts w:cs="Times New Roman"/>
          <w:szCs w:val="24"/>
        </w:rPr>
      </w:pPr>
      <w:r w:rsidRPr="004F61D7">
        <w:rPr>
          <w:rFonts w:cs="Times New Roman"/>
          <w:szCs w:val="24"/>
        </w:rPr>
        <w:t>Patience Huntwork</w:t>
      </w:r>
    </w:p>
    <w:p w14:paraId="395BDF14" w14:textId="77777777" w:rsidR="00D86DCB" w:rsidRPr="004F61D7" w:rsidRDefault="00D86DCB" w:rsidP="00673C67">
      <w:pPr>
        <w:jc w:val="center"/>
        <w:rPr>
          <w:rFonts w:cs="Times New Roman"/>
          <w:szCs w:val="24"/>
        </w:rPr>
      </w:pPr>
      <w:r w:rsidRPr="004F61D7">
        <w:rPr>
          <w:rFonts w:cs="Times New Roman"/>
          <w:szCs w:val="24"/>
        </w:rPr>
        <w:t>Arizona Supreme Court</w:t>
      </w:r>
    </w:p>
    <w:p w14:paraId="05F93E90" w14:textId="77777777" w:rsidR="00D86DCB" w:rsidRPr="004F61D7" w:rsidRDefault="00D86DCB" w:rsidP="00673C67">
      <w:pPr>
        <w:jc w:val="center"/>
        <w:rPr>
          <w:rFonts w:cs="Times New Roman"/>
          <w:szCs w:val="24"/>
        </w:rPr>
      </w:pPr>
    </w:p>
    <w:p w14:paraId="45E1E0E5" w14:textId="77777777" w:rsidR="00D86DCB" w:rsidRPr="004F61D7" w:rsidRDefault="00D86DCB" w:rsidP="00673C67">
      <w:pPr>
        <w:jc w:val="center"/>
        <w:rPr>
          <w:rFonts w:cs="Times New Roman"/>
          <w:szCs w:val="24"/>
        </w:rPr>
      </w:pPr>
      <w:r w:rsidRPr="004F61D7">
        <w:rPr>
          <w:rFonts w:cs="Times New Roman"/>
          <w:szCs w:val="24"/>
        </w:rPr>
        <w:t>Hon. Todd Lang</w:t>
      </w:r>
    </w:p>
    <w:p w14:paraId="057D8F15" w14:textId="2572542D" w:rsidR="00D86DCB" w:rsidRPr="004F61D7" w:rsidRDefault="00D86DCB" w:rsidP="00673C67">
      <w:pPr>
        <w:jc w:val="center"/>
        <w:rPr>
          <w:rFonts w:cs="Times New Roman"/>
          <w:szCs w:val="24"/>
        </w:rPr>
      </w:pPr>
      <w:r w:rsidRPr="004F61D7">
        <w:rPr>
          <w:rFonts w:cs="Times New Roman"/>
          <w:szCs w:val="24"/>
        </w:rPr>
        <w:t>Superior Court in Maricopa County</w:t>
      </w:r>
    </w:p>
    <w:p w14:paraId="3CE6BC98" w14:textId="77777777" w:rsidR="00D86DCB" w:rsidRPr="004F61D7" w:rsidRDefault="00D86DCB" w:rsidP="00673C67">
      <w:pPr>
        <w:jc w:val="center"/>
        <w:rPr>
          <w:rFonts w:cs="Times New Roman"/>
          <w:szCs w:val="24"/>
        </w:rPr>
      </w:pPr>
    </w:p>
    <w:p w14:paraId="7ADDF43F" w14:textId="77777777" w:rsidR="00D86DCB" w:rsidRPr="004F61D7" w:rsidRDefault="00D86DCB" w:rsidP="00673C67">
      <w:pPr>
        <w:jc w:val="center"/>
        <w:rPr>
          <w:rFonts w:cs="Times New Roman"/>
          <w:szCs w:val="24"/>
        </w:rPr>
      </w:pPr>
      <w:r w:rsidRPr="004F61D7">
        <w:rPr>
          <w:rFonts w:cs="Times New Roman"/>
          <w:szCs w:val="24"/>
        </w:rPr>
        <w:t>Krisanne LoGalbo</w:t>
      </w:r>
    </w:p>
    <w:p w14:paraId="2FF01DB5" w14:textId="77777777" w:rsidR="00D86DCB" w:rsidRPr="004F61D7" w:rsidRDefault="00D86DCB" w:rsidP="00673C67">
      <w:pPr>
        <w:jc w:val="center"/>
        <w:rPr>
          <w:rFonts w:cs="Times New Roman"/>
          <w:szCs w:val="24"/>
        </w:rPr>
      </w:pPr>
      <w:r w:rsidRPr="004F61D7">
        <w:rPr>
          <w:rFonts w:cs="Times New Roman"/>
          <w:szCs w:val="24"/>
        </w:rPr>
        <w:t>Superior Court in Pima County</w:t>
      </w:r>
    </w:p>
    <w:p w14:paraId="71B76819" w14:textId="77777777" w:rsidR="00D86DCB" w:rsidRPr="004F61D7" w:rsidRDefault="00D86DCB" w:rsidP="00673C67">
      <w:pPr>
        <w:jc w:val="center"/>
        <w:rPr>
          <w:rFonts w:cs="Times New Roman"/>
          <w:szCs w:val="24"/>
        </w:rPr>
      </w:pPr>
    </w:p>
    <w:p w14:paraId="24217827" w14:textId="77777777" w:rsidR="00D86DCB" w:rsidRPr="004F61D7" w:rsidRDefault="00D86DCB" w:rsidP="00673C67">
      <w:pPr>
        <w:jc w:val="center"/>
        <w:rPr>
          <w:rFonts w:cs="Times New Roman"/>
          <w:szCs w:val="24"/>
        </w:rPr>
      </w:pPr>
    </w:p>
    <w:p w14:paraId="330B2764" w14:textId="77777777" w:rsidR="00D86DCB" w:rsidRPr="004F61D7" w:rsidRDefault="00D86DCB" w:rsidP="00673C67">
      <w:pPr>
        <w:jc w:val="center"/>
        <w:rPr>
          <w:rFonts w:cs="Times New Roman"/>
          <w:szCs w:val="24"/>
        </w:rPr>
      </w:pPr>
      <w:r w:rsidRPr="004F61D7">
        <w:rPr>
          <w:rFonts w:cs="Times New Roman"/>
          <w:szCs w:val="24"/>
        </w:rPr>
        <w:t>Dr. Scott Ruston</w:t>
      </w:r>
    </w:p>
    <w:p w14:paraId="4DF2FC25" w14:textId="77777777" w:rsidR="00D86DCB" w:rsidRPr="004F61D7" w:rsidRDefault="00D86DCB" w:rsidP="00673C67">
      <w:pPr>
        <w:jc w:val="center"/>
        <w:rPr>
          <w:rFonts w:cs="Times New Roman"/>
          <w:szCs w:val="24"/>
        </w:rPr>
      </w:pPr>
      <w:r w:rsidRPr="004F61D7">
        <w:rPr>
          <w:rFonts w:cs="Times New Roman"/>
          <w:szCs w:val="24"/>
        </w:rPr>
        <w:t>Arizona State University</w:t>
      </w:r>
    </w:p>
    <w:p w14:paraId="4B247FF6" w14:textId="77777777" w:rsidR="00D86DCB" w:rsidRPr="004F61D7" w:rsidRDefault="00D86DCB" w:rsidP="00673C67">
      <w:pPr>
        <w:jc w:val="center"/>
        <w:rPr>
          <w:rFonts w:cs="Times New Roman"/>
          <w:szCs w:val="24"/>
        </w:rPr>
      </w:pPr>
    </w:p>
    <w:p w14:paraId="524DDC01" w14:textId="77777777" w:rsidR="00D86DCB" w:rsidRPr="004F61D7" w:rsidRDefault="00D86DCB" w:rsidP="00673C67">
      <w:pPr>
        <w:jc w:val="center"/>
        <w:rPr>
          <w:rFonts w:cs="Times New Roman"/>
          <w:szCs w:val="24"/>
        </w:rPr>
      </w:pPr>
      <w:r w:rsidRPr="004F61D7">
        <w:rPr>
          <w:rFonts w:cs="Times New Roman"/>
          <w:szCs w:val="24"/>
        </w:rPr>
        <w:t>Deborah Schaefer</w:t>
      </w:r>
    </w:p>
    <w:p w14:paraId="0FFDF1D3" w14:textId="39B4E4E0" w:rsidR="00D86DCB" w:rsidRPr="004F61D7" w:rsidRDefault="00D86DCB" w:rsidP="00673C67">
      <w:pPr>
        <w:jc w:val="center"/>
        <w:rPr>
          <w:rFonts w:cs="Times New Roman"/>
          <w:szCs w:val="24"/>
        </w:rPr>
      </w:pPr>
      <w:r w:rsidRPr="004F61D7">
        <w:rPr>
          <w:rFonts w:cs="Times New Roman"/>
          <w:szCs w:val="24"/>
        </w:rPr>
        <w:t>General and Limited Jurisdiction Court Administrator</w:t>
      </w:r>
      <w:r w:rsidR="00A67ADD">
        <w:rPr>
          <w:rFonts w:cs="Times New Roman"/>
          <w:szCs w:val="24"/>
        </w:rPr>
        <w:t xml:space="preserve"> (Ret.)</w:t>
      </w:r>
    </w:p>
    <w:p w14:paraId="1C32EEDE" w14:textId="77777777" w:rsidR="00D86DCB" w:rsidRPr="004F61D7" w:rsidRDefault="00D86DCB" w:rsidP="00673C67">
      <w:pPr>
        <w:jc w:val="center"/>
        <w:rPr>
          <w:rFonts w:cs="Times New Roman"/>
          <w:szCs w:val="24"/>
        </w:rPr>
      </w:pPr>
    </w:p>
    <w:p w14:paraId="69026B80" w14:textId="77777777" w:rsidR="00D86DCB" w:rsidRPr="002C6757" w:rsidRDefault="00D86DCB" w:rsidP="00673C67">
      <w:pPr>
        <w:jc w:val="center"/>
        <w:rPr>
          <w:rFonts w:cs="Times New Roman"/>
          <w:szCs w:val="24"/>
          <w:highlight w:val="yellow"/>
        </w:rPr>
      </w:pPr>
      <w:r w:rsidRPr="002C6757">
        <w:rPr>
          <w:rFonts w:cs="Times New Roman"/>
          <w:szCs w:val="24"/>
          <w:highlight w:val="yellow"/>
        </w:rPr>
        <w:t>Hon. Donald Watts</w:t>
      </w:r>
    </w:p>
    <w:p w14:paraId="4E30E8F5" w14:textId="5E7C80DB" w:rsidR="00D86DCB" w:rsidRPr="004F61D7" w:rsidRDefault="00D86DCB" w:rsidP="00673C67">
      <w:pPr>
        <w:jc w:val="center"/>
        <w:rPr>
          <w:rFonts w:cs="Times New Roman"/>
          <w:szCs w:val="24"/>
        </w:rPr>
      </w:pPr>
      <w:r w:rsidRPr="002C6757">
        <w:rPr>
          <w:rFonts w:cs="Times New Roman"/>
          <w:szCs w:val="24"/>
          <w:highlight w:val="yellow"/>
        </w:rPr>
        <w:t>Manistee Justice Court</w:t>
      </w:r>
    </w:p>
    <w:p w14:paraId="76AE0DF5" w14:textId="77777777" w:rsidR="00D86DCB" w:rsidRPr="004F61D7" w:rsidRDefault="00D86DCB" w:rsidP="00673C67">
      <w:pPr>
        <w:jc w:val="center"/>
        <w:rPr>
          <w:rFonts w:cs="Times New Roman"/>
          <w:szCs w:val="24"/>
        </w:rPr>
        <w:sectPr w:rsidR="00D86DCB" w:rsidRPr="004F61D7" w:rsidSect="00D86DCB">
          <w:type w:val="continuous"/>
          <w:pgSz w:w="12240" w:h="15840"/>
          <w:pgMar w:top="1440" w:right="1440" w:bottom="1440" w:left="1440" w:header="720" w:footer="720" w:gutter="0"/>
          <w:cols w:num="2" w:space="720"/>
          <w:docGrid w:linePitch="360"/>
        </w:sectPr>
      </w:pPr>
    </w:p>
    <w:p w14:paraId="5577FBE9" w14:textId="2F053AD0" w:rsidR="00D86DCB" w:rsidRPr="004F61D7" w:rsidRDefault="00D86DCB" w:rsidP="00673C67">
      <w:pPr>
        <w:jc w:val="center"/>
        <w:rPr>
          <w:rFonts w:cs="Times New Roman"/>
          <w:szCs w:val="24"/>
        </w:rPr>
      </w:pPr>
    </w:p>
    <w:p w14:paraId="2C28E77D" w14:textId="77777777" w:rsidR="00B361D1" w:rsidRDefault="00B361D1" w:rsidP="00673C67">
      <w:pPr>
        <w:jc w:val="center"/>
        <w:rPr>
          <w:rFonts w:cs="Times New Roman"/>
          <w:b/>
          <w:bCs/>
          <w:szCs w:val="24"/>
        </w:rPr>
        <w:sectPr w:rsidR="00B361D1" w:rsidSect="00D86DCB">
          <w:type w:val="continuous"/>
          <w:pgSz w:w="12240" w:h="15840"/>
          <w:pgMar w:top="1440" w:right="1440" w:bottom="1440" w:left="1440" w:header="720" w:footer="720" w:gutter="0"/>
          <w:cols w:space="720"/>
          <w:docGrid w:linePitch="360"/>
        </w:sectPr>
      </w:pPr>
    </w:p>
    <w:p w14:paraId="3F84BF05" w14:textId="77777777" w:rsidR="009F6BA4" w:rsidRDefault="009F6BA4" w:rsidP="00673C67">
      <w:pPr>
        <w:jc w:val="center"/>
        <w:rPr>
          <w:rFonts w:cs="Times New Roman"/>
          <w:b/>
          <w:bCs/>
          <w:szCs w:val="24"/>
        </w:rPr>
      </w:pPr>
    </w:p>
    <w:p w14:paraId="5268E8F7" w14:textId="77777777" w:rsidR="009F6BA4" w:rsidRDefault="009F6BA4" w:rsidP="00673C67">
      <w:pPr>
        <w:jc w:val="center"/>
        <w:rPr>
          <w:rFonts w:cs="Times New Roman"/>
          <w:b/>
          <w:bCs/>
          <w:szCs w:val="24"/>
        </w:rPr>
      </w:pPr>
    </w:p>
    <w:p w14:paraId="236C1B70" w14:textId="77777777" w:rsidR="009F6BA4" w:rsidRDefault="009F6BA4" w:rsidP="00673C67">
      <w:pPr>
        <w:jc w:val="center"/>
        <w:rPr>
          <w:rFonts w:cs="Times New Roman"/>
          <w:b/>
          <w:bCs/>
          <w:szCs w:val="24"/>
        </w:rPr>
      </w:pPr>
    </w:p>
    <w:p w14:paraId="1AA8146E" w14:textId="77777777" w:rsidR="009F6BA4" w:rsidRDefault="009F6BA4" w:rsidP="00673C67">
      <w:pPr>
        <w:jc w:val="center"/>
        <w:rPr>
          <w:rFonts w:cs="Times New Roman"/>
          <w:b/>
          <w:bCs/>
          <w:szCs w:val="24"/>
        </w:rPr>
      </w:pPr>
    </w:p>
    <w:p w14:paraId="3EC8AF2E" w14:textId="77777777" w:rsidR="009F6BA4" w:rsidRDefault="009F6BA4" w:rsidP="00673C67">
      <w:pPr>
        <w:jc w:val="center"/>
        <w:rPr>
          <w:rFonts w:cs="Times New Roman"/>
          <w:b/>
          <w:bCs/>
          <w:szCs w:val="24"/>
        </w:rPr>
      </w:pPr>
    </w:p>
    <w:p w14:paraId="670C8B75" w14:textId="77777777" w:rsidR="009F6BA4" w:rsidRDefault="009F6BA4" w:rsidP="00673C67">
      <w:pPr>
        <w:jc w:val="center"/>
        <w:rPr>
          <w:rFonts w:cs="Times New Roman"/>
          <w:b/>
          <w:bCs/>
          <w:szCs w:val="24"/>
        </w:rPr>
      </w:pPr>
    </w:p>
    <w:p w14:paraId="5DFE7B64" w14:textId="77777777" w:rsidR="009F6BA4" w:rsidRDefault="009F6BA4" w:rsidP="00673C67">
      <w:pPr>
        <w:jc w:val="center"/>
        <w:rPr>
          <w:rFonts w:cs="Times New Roman"/>
          <w:b/>
          <w:bCs/>
          <w:szCs w:val="24"/>
        </w:rPr>
      </w:pPr>
    </w:p>
    <w:p w14:paraId="094F4BC3" w14:textId="77777777" w:rsidR="009F6BA4" w:rsidRDefault="009F6BA4" w:rsidP="00673C67">
      <w:pPr>
        <w:jc w:val="center"/>
        <w:rPr>
          <w:rFonts w:cs="Times New Roman"/>
          <w:b/>
          <w:bCs/>
          <w:szCs w:val="24"/>
        </w:rPr>
      </w:pPr>
    </w:p>
    <w:p w14:paraId="00671AD4" w14:textId="77777777" w:rsidR="009F6BA4" w:rsidRDefault="009F6BA4" w:rsidP="00673C67">
      <w:pPr>
        <w:jc w:val="center"/>
        <w:rPr>
          <w:rFonts w:cs="Times New Roman"/>
          <w:b/>
          <w:bCs/>
          <w:szCs w:val="24"/>
        </w:rPr>
      </w:pPr>
    </w:p>
    <w:p w14:paraId="66CA11A3" w14:textId="77777777" w:rsidR="009F6BA4" w:rsidRDefault="009F6BA4" w:rsidP="00673C67">
      <w:pPr>
        <w:jc w:val="center"/>
        <w:rPr>
          <w:rFonts w:cs="Times New Roman"/>
          <w:b/>
          <w:bCs/>
          <w:szCs w:val="24"/>
        </w:rPr>
      </w:pPr>
    </w:p>
    <w:p w14:paraId="16D52315" w14:textId="77777777" w:rsidR="009F6BA4" w:rsidRDefault="009F6BA4" w:rsidP="00673C67">
      <w:pPr>
        <w:jc w:val="center"/>
        <w:rPr>
          <w:rFonts w:cs="Times New Roman"/>
          <w:b/>
          <w:bCs/>
          <w:szCs w:val="24"/>
        </w:rPr>
      </w:pPr>
    </w:p>
    <w:p w14:paraId="2FC22746" w14:textId="77777777" w:rsidR="009F6BA4" w:rsidRDefault="009F6BA4" w:rsidP="00673C67">
      <w:pPr>
        <w:jc w:val="center"/>
        <w:rPr>
          <w:rFonts w:cs="Times New Roman"/>
          <w:b/>
          <w:bCs/>
          <w:szCs w:val="24"/>
        </w:rPr>
      </w:pPr>
    </w:p>
    <w:p w14:paraId="57C02DDC" w14:textId="77777777" w:rsidR="009F6BA4" w:rsidRDefault="009F6BA4" w:rsidP="00673C67">
      <w:pPr>
        <w:jc w:val="center"/>
        <w:rPr>
          <w:rFonts w:cs="Times New Roman"/>
          <w:b/>
          <w:bCs/>
          <w:szCs w:val="24"/>
        </w:rPr>
      </w:pPr>
    </w:p>
    <w:p w14:paraId="233EBD83" w14:textId="77777777" w:rsidR="009F6BA4" w:rsidRDefault="009F6BA4" w:rsidP="00673C67">
      <w:pPr>
        <w:jc w:val="center"/>
        <w:rPr>
          <w:rFonts w:cs="Times New Roman"/>
          <w:b/>
          <w:bCs/>
          <w:szCs w:val="24"/>
        </w:rPr>
      </w:pPr>
    </w:p>
    <w:p w14:paraId="463FD7EF" w14:textId="77777777" w:rsidR="009F6BA4" w:rsidRDefault="009F6BA4" w:rsidP="00673C67">
      <w:pPr>
        <w:jc w:val="center"/>
        <w:rPr>
          <w:rFonts w:cs="Times New Roman"/>
          <w:b/>
          <w:bCs/>
          <w:szCs w:val="24"/>
        </w:rPr>
      </w:pPr>
    </w:p>
    <w:p w14:paraId="66780D1C" w14:textId="77777777" w:rsidR="009F6BA4" w:rsidRDefault="009F6BA4" w:rsidP="00B361D1">
      <w:pPr>
        <w:rPr>
          <w:rFonts w:cs="Times New Roman"/>
          <w:b/>
          <w:bCs/>
          <w:szCs w:val="24"/>
        </w:rPr>
      </w:pPr>
    </w:p>
    <w:p w14:paraId="45BE7DC3" w14:textId="77777777" w:rsidR="009F6BA4" w:rsidRDefault="009F6BA4" w:rsidP="00B361D1">
      <w:pPr>
        <w:rPr>
          <w:rFonts w:cs="Times New Roman"/>
          <w:b/>
          <w:bCs/>
          <w:szCs w:val="24"/>
        </w:rPr>
      </w:pPr>
    </w:p>
    <w:p w14:paraId="62AF1474" w14:textId="77777777" w:rsidR="009F6BA4" w:rsidRDefault="009F6BA4" w:rsidP="00B361D1">
      <w:pPr>
        <w:rPr>
          <w:rFonts w:cs="Times New Roman"/>
          <w:b/>
          <w:bCs/>
          <w:szCs w:val="24"/>
        </w:rPr>
      </w:pPr>
    </w:p>
    <w:p w14:paraId="2040B746" w14:textId="77777777" w:rsidR="009F6BA4" w:rsidRDefault="009F6BA4" w:rsidP="00B361D1">
      <w:pPr>
        <w:rPr>
          <w:rFonts w:cs="Times New Roman"/>
          <w:b/>
          <w:bCs/>
          <w:szCs w:val="24"/>
        </w:rPr>
      </w:pPr>
    </w:p>
    <w:p w14:paraId="08899F3B" w14:textId="77777777" w:rsidR="009F6BA4" w:rsidRDefault="009F6BA4" w:rsidP="00B361D1">
      <w:pPr>
        <w:rPr>
          <w:rFonts w:cs="Times New Roman"/>
          <w:b/>
          <w:bCs/>
          <w:szCs w:val="24"/>
        </w:rPr>
      </w:pPr>
    </w:p>
    <w:p w14:paraId="139F38F1" w14:textId="77777777" w:rsidR="009F6BA4" w:rsidRDefault="009F6BA4" w:rsidP="00B361D1">
      <w:pPr>
        <w:rPr>
          <w:rFonts w:cs="Times New Roman"/>
          <w:b/>
          <w:bCs/>
          <w:szCs w:val="24"/>
        </w:rPr>
      </w:pPr>
    </w:p>
    <w:p w14:paraId="77250378" w14:textId="77777777" w:rsidR="009F6BA4" w:rsidRDefault="009F6BA4" w:rsidP="00B361D1">
      <w:pPr>
        <w:rPr>
          <w:rFonts w:cs="Times New Roman"/>
          <w:b/>
          <w:bCs/>
          <w:szCs w:val="24"/>
        </w:rPr>
      </w:pPr>
    </w:p>
    <w:p w14:paraId="2C1FE068" w14:textId="77777777" w:rsidR="009F6BA4" w:rsidRDefault="009F6BA4" w:rsidP="00B361D1">
      <w:pPr>
        <w:rPr>
          <w:rFonts w:cs="Times New Roman"/>
          <w:b/>
          <w:bCs/>
          <w:szCs w:val="24"/>
        </w:rPr>
      </w:pPr>
    </w:p>
    <w:p w14:paraId="7A56F88F" w14:textId="77777777" w:rsidR="009F6BA4" w:rsidRDefault="009F6BA4" w:rsidP="00B361D1">
      <w:pPr>
        <w:rPr>
          <w:rFonts w:cs="Times New Roman"/>
          <w:b/>
          <w:bCs/>
          <w:szCs w:val="24"/>
        </w:rPr>
      </w:pPr>
    </w:p>
    <w:p w14:paraId="5ED63180" w14:textId="77777777" w:rsidR="009F6BA4" w:rsidRDefault="009F6BA4" w:rsidP="00B361D1">
      <w:pPr>
        <w:rPr>
          <w:rFonts w:cs="Times New Roman"/>
          <w:b/>
          <w:bCs/>
          <w:szCs w:val="24"/>
        </w:rPr>
      </w:pPr>
    </w:p>
    <w:p w14:paraId="62738C2B" w14:textId="77777777" w:rsidR="009F6BA4" w:rsidRDefault="009F6BA4" w:rsidP="00B361D1">
      <w:pPr>
        <w:rPr>
          <w:rFonts w:cs="Times New Roman"/>
          <w:b/>
          <w:bCs/>
          <w:szCs w:val="24"/>
        </w:rPr>
      </w:pPr>
    </w:p>
    <w:p w14:paraId="0E42AF96" w14:textId="77777777" w:rsidR="009F6BA4" w:rsidRDefault="009F6BA4" w:rsidP="00B361D1">
      <w:pPr>
        <w:rPr>
          <w:rFonts w:cs="Times New Roman"/>
          <w:b/>
          <w:bCs/>
          <w:szCs w:val="24"/>
        </w:rPr>
        <w:sectPr w:rsidR="009F6BA4" w:rsidSect="00B361D1">
          <w:type w:val="continuous"/>
          <w:pgSz w:w="12240" w:h="15840"/>
          <w:pgMar w:top="1440" w:right="1440" w:bottom="1440" w:left="1440" w:header="720" w:footer="720" w:gutter="0"/>
          <w:cols w:num="2" w:space="720"/>
          <w:docGrid w:linePitch="360"/>
        </w:sectPr>
      </w:pPr>
    </w:p>
    <w:p w14:paraId="5B8ABF75" w14:textId="117D4813" w:rsidR="00B361D1" w:rsidRPr="00A9726B" w:rsidRDefault="00B361D1" w:rsidP="00B361D1">
      <w:pPr>
        <w:rPr>
          <w:rFonts w:cs="Times New Roman"/>
          <w:b/>
          <w:bCs/>
          <w:szCs w:val="24"/>
        </w:rPr>
      </w:pPr>
      <w:r w:rsidRPr="00A9726B">
        <w:rPr>
          <w:rFonts w:cs="Times New Roman"/>
          <w:b/>
          <w:bCs/>
          <w:szCs w:val="24"/>
        </w:rPr>
        <w:t>Additional Contributors</w:t>
      </w:r>
    </w:p>
    <w:p w14:paraId="74DFD287" w14:textId="77777777" w:rsidR="00B361D1" w:rsidRPr="004F61D7" w:rsidRDefault="00B361D1" w:rsidP="00B361D1">
      <w:pPr>
        <w:rPr>
          <w:rFonts w:cs="Times New Roman"/>
          <w:szCs w:val="24"/>
        </w:rPr>
      </w:pPr>
    </w:p>
    <w:p w14:paraId="6D2CBB80" w14:textId="2EEB3015" w:rsidR="009F6BA4" w:rsidRPr="00FE0CF4" w:rsidRDefault="00B361D1" w:rsidP="00B361D1">
      <w:pPr>
        <w:rPr>
          <w:rFonts w:cs="Times New Roman"/>
          <w:szCs w:val="24"/>
        </w:rPr>
      </w:pPr>
      <w:r w:rsidRPr="00FE0CF4">
        <w:rPr>
          <w:rFonts w:cs="Times New Roman"/>
          <w:szCs w:val="24"/>
        </w:rPr>
        <w:t>Elizabeth</w:t>
      </w:r>
      <w:r w:rsidRPr="00FE0CF4">
        <w:rPr>
          <w:rFonts w:cs="Times New Roman"/>
        </w:rPr>
        <w:t xml:space="preserve"> Rindskopf-Parker</w:t>
      </w:r>
      <w:r w:rsidRPr="00FE0CF4">
        <w:rPr>
          <w:rFonts w:cs="Times New Roman"/>
          <w:szCs w:val="24"/>
        </w:rPr>
        <w:br/>
      </w:r>
      <w:r w:rsidR="00FE0CF4" w:rsidRPr="00FE0CF4">
        <w:rPr>
          <w:rFonts w:cs="Times New Roman"/>
        </w:rPr>
        <w:t>Dean Emerita of the University of the Pacific McGeorge School of Law</w:t>
      </w:r>
    </w:p>
    <w:p w14:paraId="7CBDB9BE" w14:textId="7831A92F" w:rsidR="00B361D1" w:rsidRPr="004F61D7" w:rsidRDefault="00B361D1" w:rsidP="00B361D1">
      <w:pPr>
        <w:rPr>
          <w:rFonts w:cs="Times New Roman"/>
          <w:szCs w:val="24"/>
        </w:rPr>
      </w:pPr>
      <w:r>
        <w:rPr>
          <w:rFonts w:cs="Times New Roman"/>
          <w:szCs w:val="24"/>
          <w:highlight w:val="yellow"/>
        </w:rPr>
        <w:br/>
      </w:r>
    </w:p>
    <w:p w14:paraId="22080449" w14:textId="77777777" w:rsidR="00B361D1" w:rsidRDefault="00B361D1" w:rsidP="00B361D1">
      <w:pPr>
        <w:rPr>
          <w:rFonts w:cs="Times New Roman"/>
          <w:b/>
          <w:bCs/>
          <w:szCs w:val="24"/>
        </w:rPr>
      </w:pPr>
    </w:p>
    <w:p w14:paraId="5FB79E75" w14:textId="577ABB65" w:rsidR="00B361D1" w:rsidRDefault="00B361D1" w:rsidP="00B361D1">
      <w:pPr>
        <w:rPr>
          <w:rFonts w:cs="Times New Roman"/>
          <w:b/>
          <w:bCs/>
          <w:szCs w:val="24"/>
        </w:rPr>
      </w:pPr>
      <w:r w:rsidRPr="00A9726B">
        <w:rPr>
          <w:rFonts w:cs="Times New Roman"/>
          <w:b/>
          <w:bCs/>
          <w:szCs w:val="24"/>
        </w:rPr>
        <w:t>Staff to the Task Force</w:t>
      </w:r>
    </w:p>
    <w:p w14:paraId="1A73ECE2" w14:textId="77777777" w:rsidR="00DB28BB" w:rsidRPr="00A9726B" w:rsidRDefault="00DB28BB" w:rsidP="00B361D1">
      <w:pPr>
        <w:rPr>
          <w:rFonts w:cs="Times New Roman"/>
          <w:b/>
          <w:bCs/>
          <w:szCs w:val="24"/>
        </w:rPr>
      </w:pPr>
    </w:p>
    <w:p w14:paraId="2246D6A8" w14:textId="69BB1E1B" w:rsidR="00B361D1" w:rsidRPr="004F61D7" w:rsidRDefault="00B361D1" w:rsidP="00B361D1">
      <w:pPr>
        <w:rPr>
          <w:rFonts w:cs="Times New Roman"/>
          <w:szCs w:val="24"/>
        </w:rPr>
      </w:pPr>
      <w:r>
        <w:rPr>
          <w:rFonts w:cs="Times New Roman"/>
          <w:szCs w:val="24"/>
        </w:rPr>
        <w:t xml:space="preserve">Alicia </w:t>
      </w:r>
      <w:r w:rsidR="00DE2AA1">
        <w:rPr>
          <w:rFonts w:cs="Times New Roman"/>
          <w:szCs w:val="24"/>
        </w:rPr>
        <w:t xml:space="preserve">D. </w:t>
      </w:r>
      <w:r>
        <w:rPr>
          <w:rFonts w:cs="Times New Roman"/>
          <w:szCs w:val="24"/>
        </w:rPr>
        <w:t>Moffatt</w:t>
      </w:r>
      <w:r>
        <w:rPr>
          <w:rFonts w:cs="Times New Roman"/>
          <w:szCs w:val="24"/>
        </w:rPr>
        <w:br/>
        <w:t>Arizona Supreme Court</w:t>
      </w:r>
    </w:p>
    <w:p w14:paraId="12C4DA42" w14:textId="77777777" w:rsidR="00FA11E1" w:rsidRPr="004F61D7" w:rsidRDefault="00FA11E1" w:rsidP="00FA11E1">
      <w:pPr>
        <w:jc w:val="center"/>
        <w:rPr>
          <w:rFonts w:cs="Times New Roman"/>
          <w:szCs w:val="24"/>
        </w:rPr>
        <w:sectPr w:rsidR="00FA11E1" w:rsidRPr="004F61D7" w:rsidSect="009F6BA4">
          <w:type w:val="continuous"/>
          <w:pgSz w:w="12240" w:h="15840"/>
          <w:pgMar w:top="1440" w:right="1440" w:bottom="1440" w:left="1440" w:header="720" w:footer="720" w:gutter="0"/>
          <w:cols w:space="720"/>
          <w:docGrid w:linePitch="360"/>
        </w:sectPr>
      </w:pPr>
    </w:p>
    <w:p w14:paraId="3F604CA8" w14:textId="77777777" w:rsidR="00B361D1" w:rsidRDefault="00B361D1" w:rsidP="00FA11E1">
      <w:pPr>
        <w:rPr>
          <w:rFonts w:cs="Times New Roman"/>
          <w:b/>
          <w:bCs/>
          <w:szCs w:val="24"/>
        </w:rPr>
        <w:sectPr w:rsidR="00B361D1" w:rsidSect="003C13AE">
          <w:type w:val="continuous"/>
          <w:pgSz w:w="12240" w:h="15840"/>
          <w:pgMar w:top="1440" w:right="1440" w:bottom="1080" w:left="1440" w:header="720" w:footer="720" w:gutter="0"/>
          <w:cols w:space="720"/>
          <w:docGrid w:linePitch="360"/>
        </w:sectPr>
      </w:pPr>
    </w:p>
    <w:p w14:paraId="289E0B9D" w14:textId="2434760C" w:rsidR="00000631" w:rsidRDefault="00000631">
      <w:pPr>
        <w:rPr>
          <w:rFonts w:cs="Times New Roman"/>
          <w:szCs w:val="24"/>
        </w:rPr>
      </w:pPr>
      <w:r>
        <w:rPr>
          <w:rFonts w:cs="Times New Roman"/>
          <w:szCs w:val="24"/>
        </w:rPr>
        <w:br w:type="page"/>
      </w:r>
    </w:p>
    <w:p w14:paraId="31D171B2" w14:textId="7AF35B47" w:rsidR="0043447C" w:rsidRPr="00E34B1E" w:rsidRDefault="0043447C" w:rsidP="0043447C">
      <w:pPr>
        <w:spacing w:line="360" w:lineRule="auto"/>
        <w:jc w:val="center"/>
        <w:rPr>
          <w:rFonts w:cs="Times New Roman"/>
          <w:b/>
          <w:szCs w:val="24"/>
        </w:rPr>
      </w:pPr>
      <w:r w:rsidRPr="00E34B1E">
        <w:rPr>
          <w:rFonts w:cs="Times New Roman"/>
          <w:b/>
          <w:szCs w:val="24"/>
        </w:rPr>
        <w:lastRenderedPageBreak/>
        <w:t>EXECUTIVE SUMMARY</w:t>
      </w:r>
    </w:p>
    <w:p w14:paraId="2583C2E8" w14:textId="5230896E" w:rsidR="00D65E39" w:rsidRDefault="00D65E39" w:rsidP="004F61D7">
      <w:pPr>
        <w:spacing w:line="360" w:lineRule="auto"/>
        <w:jc w:val="both"/>
        <w:rPr>
          <w:rFonts w:cs="Times New Roman"/>
          <w:b/>
          <w:bCs/>
          <w:szCs w:val="24"/>
        </w:rPr>
      </w:pPr>
      <w:r>
        <w:rPr>
          <w:rFonts w:cs="Times New Roman"/>
          <w:b/>
          <w:bCs/>
          <w:szCs w:val="24"/>
        </w:rPr>
        <w:t>Continuation of the Task Force</w:t>
      </w:r>
    </w:p>
    <w:p w14:paraId="2B15316E" w14:textId="5AB7E4BB" w:rsidR="00D65E39" w:rsidRDefault="00D65E39" w:rsidP="004F61D7">
      <w:pPr>
        <w:spacing w:line="360" w:lineRule="auto"/>
        <w:jc w:val="both"/>
        <w:rPr>
          <w:rFonts w:cs="Times New Roman"/>
          <w:szCs w:val="24"/>
        </w:rPr>
      </w:pPr>
      <w:r>
        <w:rPr>
          <w:rFonts w:cs="Times New Roman"/>
          <w:szCs w:val="24"/>
        </w:rPr>
        <w:tab/>
        <w:t xml:space="preserve">The Arizona Supreme Court’s Task Force on </w:t>
      </w:r>
      <w:r w:rsidR="005160B4">
        <w:rPr>
          <w:rFonts w:cs="Times New Roman"/>
          <w:szCs w:val="24"/>
        </w:rPr>
        <w:t>Countering</w:t>
      </w:r>
      <w:r>
        <w:rPr>
          <w:rFonts w:cs="Times New Roman"/>
          <w:szCs w:val="24"/>
        </w:rPr>
        <w:t xml:space="preserve"> </w:t>
      </w:r>
      <w:r w:rsidR="005160B4">
        <w:rPr>
          <w:rFonts w:cs="Times New Roman"/>
          <w:szCs w:val="24"/>
        </w:rPr>
        <w:t>Disinformation</w:t>
      </w:r>
      <w:r>
        <w:rPr>
          <w:rFonts w:cs="Times New Roman"/>
          <w:szCs w:val="24"/>
        </w:rPr>
        <w:t xml:space="preserve"> was established in 2019 and conducted its initial work of developing recommendations to maintain public trust and confidence in the judiciary throughout 2020. The </w:t>
      </w:r>
      <w:r w:rsidR="00A95E77">
        <w:rPr>
          <w:rFonts w:cs="Times New Roman"/>
          <w:szCs w:val="24"/>
        </w:rPr>
        <w:t>T</w:t>
      </w:r>
      <w:r>
        <w:rPr>
          <w:rFonts w:cs="Times New Roman"/>
          <w:szCs w:val="24"/>
        </w:rPr>
        <w:t>ask Force continued its work through 2021, researching options, connecting with stakeholder groups, and implementing 2020’s recommendations.</w:t>
      </w:r>
    </w:p>
    <w:p w14:paraId="56CA47EC" w14:textId="0CFDE140" w:rsidR="00D65E39" w:rsidRDefault="00D65E39" w:rsidP="004F61D7">
      <w:pPr>
        <w:spacing w:line="360" w:lineRule="auto"/>
        <w:jc w:val="both"/>
        <w:rPr>
          <w:rFonts w:cs="Times New Roman"/>
          <w:szCs w:val="24"/>
        </w:rPr>
      </w:pPr>
      <w:r>
        <w:rPr>
          <w:rFonts w:cs="Times New Roman"/>
          <w:szCs w:val="24"/>
        </w:rPr>
        <w:tab/>
        <w:t xml:space="preserve">In 2020, the Task Force made 27 recommendations in nine broad categories. Throughout 2021, the Task Force addressed each of those recommendations. Some </w:t>
      </w:r>
      <w:r w:rsidR="005160B4">
        <w:rPr>
          <w:rFonts w:cs="Times New Roman"/>
          <w:szCs w:val="24"/>
        </w:rPr>
        <w:t>recommendations</w:t>
      </w:r>
      <w:r>
        <w:rPr>
          <w:rFonts w:cs="Times New Roman"/>
          <w:szCs w:val="24"/>
        </w:rPr>
        <w:t xml:space="preserve"> were consolidated into others, but ultimately, the Task Force followed up on or imple</w:t>
      </w:r>
      <w:r w:rsidR="005160B4">
        <w:rPr>
          <w:rFonts w:cs="Times New Roman"/>
          <w:szCs w:val="24"/>
        </w:rPr>
        <w:t>me</w:t>
      </w:r>
      <w:r>
        <w:rPr>
          <w:rFonts w:cs="Times New Roman"/>
          <w:szCs w:val="24"/>
        </w:rPr>
        <w:t xml:space="preserve">nted </w:t>
      </w:r>
      <w:r w:rsidR="005160B4">
        <w:rPr>
          <w:rFonts w:cs="Times New Roman"/>
          <w:szCs w:val="24"/>
        </w:rPr>
        <w:t>all</w:t>
      </w:r>
      <w:r>
        <w:rPr>
          <w:rFonts w:cs="Times New Roman"/>
          <w:szCs w:val="24"/>
        </w:rPr>
        <w:t xml:space="preserve"> its original </w:t>
      </w:r>
      <w:r w:rsidR="005160B4">
        <w:rPr>
          <w:rFonts w:cs="Times New Roman"/>
          <w:szCs w:val="24"/>
        </w:rPr>
        <w:t>recommendations</w:t>
      </w:r>
      <w:r>
        <w:rPr>
          <w:rFonts w:cs="Times New Roman"/>
          <w:szCs w:val="24"/>
        </w:rPr>
        <w:t xml:space="preserve">. In 2021, the Task Force was recognized by the Arizona </w:t>
      </w:r>
      <w:r w:rsidR="005160B4">
        <w:rPr>
          <w:rFonts w:cs="Times New Roman"/>
          <w:szCs w:val="24"/>
        </w:rPr>
        <w:t>Supreme</w:t>
      </w:r>
      <w:r>
        <w:rPr>
          <w:rFonts w:cs="Times New Roman"/>
          <w:szCs w:val="24"/>
        </w:rPr>
        <w:t xml:space="preserve"> Court with a Strategic Agenda Award for </w:t>
      </w:r>
      <w:r w:rsidR="005160B4">
        <w:rPr>
          <w:rFonts w:cs="Times New Roman"/>
          <w:szCs w:val="24"/>
        </w:rPr>
        <w:t>maintaining</w:t>
      </w:r>
      <w:r>
        <w:rPr>
          <w:rFonts w:cs="Times New Roman"/>
          <w:szCs w:val="24"/>
        </w:rPr>
        <w:t xml:space="preserve"> public trust and confidence.</w:t>
      </w:r>
    </w:p>
    <w:p w14:paraId="6FC71138" w14:textId="77777777" w:rsidR="00D65E39" w:rsidRPr="00D65E39" w:rsidRDefault="00D65E39" w:rsidP="004F61D7">
      <w:pPr>
        <w:spacing w:line="360" w:lineRule="auto"/>
        <w:jc w:val="both"/>
        <w:rPr>
          <w:rFonts w:cs="Times New Roman"/>
          <w:szCs w:val="24"/>
        </w:rPr>
      </w:pPr>
    </w:p>
    <w:p w14:paraId="6F1EEB89" w14:textId="30050AEF" w:rsidR="004F61D7" w:rsidRPr="00E05395" w:rsidRDefault="00FA11E1" w:rsidP="004F61D7">
      <w:pPr>
        <w:spacing w:line="360" w:lineRule="auto"/>
        <w:jc w:val="both"/>
        <w:rPr>
          <w:rFonts w:cs="Times New Roman"/>
          <w:b/>
          <w:bCs/>
          <w:color w:val="FF0000"/>
          <w:szCs w:val="24"/>
        </w:rPr>
      </w:pPr>
      <w:r w:rsidRPr="004F61D7">
        <w:rPr>
          <w:rFonts w:cs="Times New Roman"/>
          <w:b/>
          <w:bCs/>
          <w:szCs w:val="24"/>
        </w:rPr>
        <w:t xml:space="preserve">Creation and Purpose of </w:t>
      </w:r>
      <w:r w:rsidR="00850A89">
        <w:rPr>
          <w:rFonts w:cs="Times New Roman"/>
          <w:b/>
          <w:bCs/>
          <w:szCs w:val="24"/>
        </w:rPr>
        <w:t xml:space="preserve">the </w:t>
      </w:r>
      <w:r w:rsidRPr="004F61D7">
        <w:rPr>
          <w:rFonts w:cs="Times New Roman"/>
          <w:b/>
          <w:bCs/>
          <w:szCs w:val="24"/>
        </w:rPr>
        <w:t>Task Force</w:t>
      </w:r>
    </w:p>
    <w:p w14:paraId="467864E2" w14:textId="3A7E1E8E" w:rsidR="00251272" w:rsidRPr="004F61D7" w:rsidRDefault="004F61D7" w:rsidP="004F61D7">
      <w:pPr>
        <w:spacing w:line="360" w:lineRule="auto"/>
        <w:jc w:val="both"/>
        <w:rPr>
          <w:rFonts w:cs="Times New Roman"/>
          <w:b/>
          <w:bCs/>
          <w:szCs w:val="24"/>
        </w:rPr>
      </w:pPr>
      <w:r>
        <w:rPr>
          <w:rFonts w:cs="Times New Roman"/>
          <w:b/>
          <w:bCs/>
          <w:szCs w:val="24"/>
        </w:rPr>
        <w:tab/>
      </w:r>
      <w:r w:rsidR="00D65E39" w:rsidRPr="00D65E39">
        <w:rPr>
          <w:rFonts w:cs="Times New Roman"/>
          <w:szCs w:val="24"/>
        </w:rPr>
        <w:t>To remind the reader</w:t>
      </w:r>
      <w:r w:rsidR="00D65E39">
        <w:rPr>
          <w:rFonts w:cs="Times New Roman"/>
          <w:szCs w:val="24"/>
        </w:rPr>
        <w:t xml:space="preserve"> of the Task Force’s beginnings</w:t>
      </w:r>
      <w:r w:rsidR="00850A89">
        <w:rPr>
          <w:rFonts w:cs="Times New Roman"/>
          <w:szCs w:val="24"/>
        </w:rPr>
        <w:t xml:space="preserve">, </w:t>
      </w:r>
      <w:r w:rsidR="00251272" w:rsidRPr="004F61D7">
        <w:rPr>
          <w:rFonts w:cs="Times New Roman"/>
          <w:szCs w:val="24"/>
        </w:rPr>
        <w:t>Arizona Supreme Court Chief Justice Robert Brutinel’s strategic agenda for Arizona</w:t>
      </w:r>
      <w:r w:rsidR="00935452">
        <w:rPr>
          <w:rFonts w:cs="Times New Roman"/>
          <w:szCs w:val="24"/>
        </w:rPr>
        <w:t>’s</w:t>
      </w:r>
      <w:r w:rsidR="00251272" w:rsidRPr="004F61D7">
        <w:rPr>
          <w:rFonts w:cs="Times New Roman"/>
          <w:szCs w:val="24"/>
        </w:rPr>
        <w:t xml:space="preserve"> courts, </w:t>
      </w:r>
      <w:r w:rsidR="00251272" w:rsidRPr="004F61D7">
        <w:rPr>
          <w:rFonts w:cs="Times New Roman"/>
          <w:i/>
          <w:iCs/>
          <w:szCs w:val="24"/>
        </w:rPr>
        <w:t>Justice for the Future, Planning for Excellence</w:t>
      </w:r>
      <w:r w:rsidR="00935452">
        <w:rPr>
          <w:rFonts w:cs="Times New Roman"/>
          <w:i/>
          <w:iCs/>
          <w:szCs w:val="24"/>
        </w:rPr>
        <w:t>,</w:t>
      </w:r>
      <w:r w:rsidR="001473E1" w:rsidRPr="004F61D7">
        <w:rPr>
          <w:rStyle w:val="FootnoteReference"/>
          <w:rFonts w:cs="Times New Roman"/>
          <w:i/>
          <w:iCs/>
          <w:szCs w:val="24"/>
        </w:rPr>
        <w:footnoteReference w:id="2"/>
      </w:r>
      <w:r w:rsidR="00251272" w:rsidRPr="004F61D7">
        <w:rPr>
          <w:rFonts w:cs="Times New Roman"/>
          <w:szCs w:val="24"/>
        </w:rPr>
        <w:t xml:space="preserve"> includes a focus on promoting public trust and confidence in courts and awareness of the role courts serve in society.</w:t>
      </w:r>
      <w:r w:rsidR="001473E1" w:rsidRPr="004F61D7">
        <w:rPr>
          <w:rFonts w:cs="Times New Roman"/>
          <w:szCs w:val="24"/>
        </w:rPr>
        <w:t xml:space="preserve"> </w:t>
      </w:r>
      <w:r w:rsidR="00251272" w:rsidRPr="004F61D7">
        <w:rPr>
          <w:rFonts w:cs="Times New Roman"/>
          <w:szCs w:val="24"/>
        </w:rPr>
        <w:t>Arizona’s court leaders recognize there are people, organizations, and foreign and domestic entities that intentionally instigate or seed disinformation</w:t>
      </w:r>
      <w:r w:rsidR="001473E1" w:rsidRPr="004F61D7">
        <w:rPr>
          <w:rStyle w:val="FootnoteReference"/>
          <w:rFonts w:cs="Times New Roman"/>
          <w:szCs w:val="24"/>
        </w:rPr>
        <w:footnoteReference w:id="3"/>
      </w:r>
      <w:r w:rsidR="00251272" w:rsidRPr="004F61D7">
        <w:rPr>
          <w:rFonts w:cs="Times New Roman"/>
          <w:szCs w:val="24"/>
        </w:rPr>
        <w:t xml:space="preserve"> into the information environment</w:t>
      </w:r>
      <w:r w:rsidR="001473E1" w:rsidRPr="004F61D7">
        <w:rPr>
          <w:rStyle w:val="FootnoteReference"/>
          <w:rFonts w:cs="Times New Roman"/>
          <w:szCs w:val="24"/>
        </w:rPr>
        <w:footnoteReference w:id="4"/>
      </w:r>
      <w:r w:rsidR="00251272" w:rsidRPr="004F61D7">
        <w:rPr>
          <w:rFonts w:cs="Times New Roman"/>
          <w:szCs w:val="24"/>
        </w:rPr>
        <w:t xml:space="preserve"> to undermine public confidence in this country’s institutions, including courts. It seems each day includes a headline revealing the use of disinformation to sow the seeds of skepticism or distrust in American democracy, and there is every indication these efforts will continue and tracing their origins will become more difficult.</w:t>
      </w:r>
    </w:p>
    <w:p w14:paraId="046C07C5" w14:textId="284BC25C" w:rsidR="00E178A8" w:rsidRPr="004F61D7" w:rsidRDefault="00E178A8" w:rsidP="004F61D7">
      <w:pPr>
        <w:spacing w:line="360" w:lineRule="auto"/>
        <w:jc w:val="both"/>
        <w:rPr>
          <w:rFonts w:cs="Times New Roman"/>
          <w:szCs w:val="24"/>
        </w:rPr>
      </w:pPr>
      <w:r w:rsidRPr="004F61D7">
        <w:rPr>
          <w:rFonts w:cs="Times New Roman"/>
          <w:szCs w:val="24"/>
        </w:rPr>
        <w:tab/>
        <w:t xml:space="preserve">Information about local and national experiences with, and responses to, misinformation and disinformation were a regular part of the discussion at </w:t>
      </w:r>
      <w:r w:rsidR="00935452">
        <w:rPr>
          <w:rFonts w:cs="Times New Roman"/>
          <w:szCs w:val="24"/>
        </w:rPr>
        <w:t>meetings of the</w:t>
      </w:r>
      <w:r w:rsidRPr="004F61D7">
        <w:rPr>
          <w:rFonts w:cs="Times New Roman"/>
          <w:szCs w:val="24"/>
        </w:rPr>
        <w:t xml:space="preserve"> Task Force </w:t>
      </w:r>
      <w:r w:rsidR="00935452">
        <w:rPr>
          <w:rFonts w:cs="Times New Roman"/>
          <w:szCs w:val="24"/>
        </w:rPr>
        <w:t>on Countering Disinformation (“Task Force”) and its workgroups</w:t>
      </w:r>
      <w:r w:rsidRPr="004F61D7">
        <w:rPr>
          <w:rFonts w:cs="Times New Roman"/>
          <w:szCs w:val="24"/>
        </w:rPr>
        <w:t xml:space="preserve">. At the same time, members of the </w:t>
      </w:r>
      <w:r w:rsidRPr="004F61D7">
        <w:rPr>
          <w:rFonts w:cs="Times New Roman"/>
          <w:szCs w:val="24"/>
        </w:rPr>
        <w:lastRenderedPageBreak/>
        <w:t>public who attended Task Force meetings commented on the need for the Task Force to recognize First Amendment rights and to protect robust debate, differences of opinion, and legitimate criticism of courts and of the government’s actions. The Task Force wholeheartedly endorses this goal.</w:t>
      </w:r>
    </w:p>
    <w:p w14:paraId="3F72BA87" w14:textId="64715167" w:rsidR="00E178A8" w:rsidRPr="004F61D7" w:rsidRDefault="00E178A8" w:rsidP="004F61D7">
      <w:pPr>
        <w:spacing w:line="360" w:lineRule="auto"/>
        <w:jc w:val="both"/>
        <w:rPr>
          <w:rFonts w:cs="Times New Roman"/>
          <w:szCs w:val="24"/>
        </w:rPr>
      </w:pPr>
      <w:r w:rsidRPr="004F61D7">
        <w:rPr>
          <w:rFonts w:cs="Times New Roman"/>
          <w:szCs w:val="24"/>
        </w:rPr>
        <w:tab/>
        <w:t>Indeed, the ideals of free speech, open courts, criticism and debate, in addition to transparency and accountability, appear in the first paragraph of Administrative Order 2019-114 (“AO 2019-114”)</w:t>
      </w:r>
      <w:r w:rsidR="00391B0A">
        <w:rPr>
          <w:rStyle w:val="FootnoteReference"/>
          <w:rFonts w:cs="Times New Roman"/>
          <w:szCs w:val="24"/>
        </w:rPr>
        <w:footnoteReference w:id="5"/>
      </w:r>
      <w:r w:rsidRPr="004F61D7">
        <w:rPr>
          <w:rFonts w:cs="Times New Roman"/>
          <w:szCs w:val="24"/>
        </w:rPr>
        <w:t xml:space="preserve"> that established the Task Force.</w:t>
      </w:r>
      <w:r w:rsidR="00391B0A" w:rsidRPr="004F61D7">
        <w:rPr>
          <w:rFonts w:cs="Times New Roman"/>
          <w:szCs w:val="24"/>
        </w:rPr>
        <w:t xml:space="preserve"> </w:t>
      </w:r>
      <w:r w:rsidRPr="004F61D7">
        <w:rPr>
          <w:rFonts w:cs="Times New Roman"/>
          <w:szCs w:val="24"/>
        </w:rPr>
        <w:t>This report and recommendations (“Report”) seeks to promote free speech, the right of redress of grievances, and the ability to voice sincerely held differences of opinion, while acknowledging groups exist whose intent is to monopolize and degrade the debate for their own purposes of eroding trust and confidence in courts and the judicial system.</w:t>
      </w:r>
    </w:p>
    <w:p w14:paraId="32C8DE11" w14:textId="5768C0CF" w:rsidR="00E178A8" w:rsidRDefault="00E178A8" w:rsidP="004F61D7">
      <w:pPr>
        <w:spacing w:line="360" w:lineRule="auto"/>
        <w:jc w:val="both"/>
        <w:rPr>
          <w:rFonts w:cs="Times New Roman"/>
          <w:szCs w:val="24"/>
        </w:rPr>
      </w:pPr>
      <w:r w:rsidRPr="004F61D7">
        <w:rPr>
          <w:rFonts w:cs="Times New Roman"/>
          <w:szCs w:val="24"/>
        </w:rPr>
        <w:tab/>
        <w:t>To address these issues in Arizona, on September 18, 2019, Chief Justice Brutinel issued AO 2019-114, establishing the Task Force. Chief Justice Brutinel ordered that the Task Force may:</w:t>
      </w:r>
    </w:p>
    <w:p w14:paraId="7CCCCBE4" w14:textId="77777777" w:rsidR="004F61D7" w:rsidRPr="004F61D7" w:rsidRDefault="004F61D7" w:rsidP="004F61D7">
      <w:pPr>
        <w:spacing w:line="360" w:lineRule="auto"/>
        <w:jc w:val="both"/>
        <w:rPr>
          <w:rFonts w:cs="Times New Roman"/>
          <w:szCs w:val="24"/>
        </w:rPr>
      </w:pPr>
    </w:p>
    <w:p w14:paraId="75B726F9" w14:textId="21DCDDF6" w:rsidR="004F61D7" w:rsidRPr="004F61D7" w:rsidRDefault="00E178A8" w:rsidP="004F61D7">
      <w:pPr>
        <w:pStyle w:val="ListParagraph"/>
        <w:numPr>
          <w:ilvl w:val="0"/>
          <w:numId w:val="9"/>
        </w:numPr>
        <w:spacing w:line="360" w:lineRule="auto"/>
        <w:jc w:val="both"/>
        <w:rPr>
          <w:rFonts w:ascii="Times New Roman" w:hAnsi="Times New Roman" w:cs="Times New Roman"/>
        </w:rPr>
      </w:pPr>
      <w:r w:rsidRPr="004F61D7">
        <w:rPr>
          <w:rFonts w:ascii="Times New Roman" w:hAnsi="Times New Roman" w:cs="Times New Roman"/>
        </w:rPr>
        <w:t>Review examples of disinformation and misleading campaigns targeting the U.S. and Arizona justice systems;</w:t>
      </w:r>
    </w:p>
    <w:p w14:paraId="313BE083" w14:textId="77777777" w:rsidR="004F61D7" w:rsidRPr="004F61D7" w:rsidRDefault="004F61D7" w:rsidP="004F61D7">
      <w:pPr>
        <w:pStyle w:val="ListParagraph"/>
        <w:spacing w:line="360" w:lineRule="auto"/>
        <w:jc w:val="both"/>
        <w:rPr>
          <w:rFonts w:ascii="Times New Roman" w:hAnsi="Times New Roman" w:cs="Times New Roman"/>
        </w:rPr>
      </w:pPr>
    </w:p>
    <w:p w14:paraId="42A338D3" w14:textId="1075F98D" w:rsidR="00B11DFA" w:rsidRDefault="00E178A8" w:rsidP="00B11DFA">
      <w:pPr>
        <w:pStyle w:val="ListParagraph"/>
        <w:numPr>
          <w:ilvl w:val="0"/>
          <w:numId w:val="9"/>
        </w:numPr>
        <w:spacing w:line="360" w:lineRule="auto"/>
        <w:jc w:val="both"/>
        <w:rPr>
          <w:rFonts w:ascii="Times New Roman" w:hAnsi="Times New Roman" w:cs="Times New Roman"/>
        </w:rPr>
      </w:pPr>
      <w:r w:rsidRPr="004F61D7">
        <w:rPr>
          <w:rFonts w:ascii="Times New Roman" w:hAnsi="Times New Roman" w:cs="Times New Roman"/>
        </w:rPr>
        <w:t>Consider the need for local and national responses and information sharing related to disinformation and ways to communicate accurate information;</w:t>
      </w:r>
    </w:p>
    <w:p w14:paraId="18F3571D" w14:textId="77777777" w:rsidR="00391B0A" w:rsidRPr="00391B0A" w:rsidRDefault="00391B0A" w:rsidP="00391B0A">
      <w:pPr>
        <w:pStyle w:val="ListParagraph"/>
        <w:spacing w:line="360" w:lineRule="auto"/>
        <w:jc w:val="both"/>
        <w:rPr>
          <w:rFonts w:ascii="Times New Roman" w:hAnsi="Times New Roman" w:cs="Times New Roman"/>
        </w:rPr>
      </w:pPr>
    </w:p>
    <w:p w14:paraId="6D5277D5" w14:textId="7546E950" w:rsidR="004F61D7" w:rsidRDefault="00E178A8" w:rsidP="004F61D7">
      <w:pPr>
        <w:pStyle w:val="ListParagraph"/>
        <w:numPr>
          <w:ilvl w:val="0"/>
          <w:numId w:val="9"/>
        </w:numPr>
        <w:spacing w:line="360" w:lineRule="auto"/>
        <w:jc w:val="both"/>
        <w:rPr>
          <w:rFonts w:ascii="Times New Roman" w:hAnsi="Times New Roman" w:cs="Times New Roman"/>
        </w:rPr>
      </w:pPr>
      <w:r w:rsidRPr="004F61D7">
        <w:rPr>
          <w:rFonts w:ascii="Times New Roman" w:hAnsi="Times New Roman" w:cs="Times New Roman"/>
        </w:rPr>
        <w:t>Consider a centralized point of contact to assist in identifying disinformation and having it removed while respecting individual opinions and First Amendment rights;</w:t>
      </w:r>
    </w:p>
    <w:p w14:paraId="3C71A3FD" w14:textId="77777777" w:rsidR="007C0C67" w:rsidRPr="004F61D7" w:rsidRDefault="007C0C67" w:rsidP="007C0C67">
      <w:pPr>
        <w:pStyle w:val="ListParagraph"/>
        <w:spacing w:line="360" w:lineRule="auto"/>
        <w:jc w:val="both"/>
        <w:rPr>
          <w:rFonts w:ascii="Times New Roman" w:hAnsi="Times New Roman" w:cs="Times New Roman"/>
        </w:rPr>
      </w:pPr>
    </w:p>
    <w:p w14:paraId="52CB9F83" w14:textId="5A28AE75" w:rsidR="004F61D7" w:rsidRDefault="00E178A8" w:rsidP="004F61D7">
      <w:pPr>
        <w:pStyle w:val="ListParagraph"/>
        <w:numPr>
          <w:ilvl w:val="0"/>
          <w:numId w:val="9"/>
        </w:numPr>
        <w:spacing w:line="360" w:lineRule="auto"/>
        <w:jc w:val="both"/>
        <w:rPr>
          <w:rFonts w:ascii="Times New Roman" w:hAnsi="Times New Roman" w:cs="Times New Roman"/>
        </w:rPr>
      </w:pPr>
      <w:r w:rsidRPr="004F61D7">
        <w:rPr>
          <w:rFonts w:ascii="Times New Roman" w:hAnsi="Times New Roman" w:cs="Times New Roman"/>
        </w:rPr>
        <w:t>Consider state or local legislation that would require foreign agents to identify their content to the public;</w:t>
      </w:r>
    </w:p>
    <w:p w14:paraId="65B9ACDF" w14:textId="77777777" w:rsidR="004F61D7" w:rsidRPr="004F61D7" w:rsidRDefault="004F61D7" w:rsidP="004F61D7">
      <w:pPr>
        <w:pStyle w:val="ListParagraph"/>
        <w:spacing w:line="360" w:lineRule="auto"/>
        <w:jc w:val="both"/>
        <w:rPr>
          <w:rFonts w:ascii="Times New Roman" w:hAnsi="Times New Roman" w:cs="Times New Roman"/>
        </w:rPr>
      </w:pPr>
    </w:p>
    <w:p w14:paraId="28A40EF2" w14:textId="1F29D635" w:rsidR="004F61D7" w:rsidRDefault="00E178A8" w:rsidP="004F61D7">
      <w:pPr>
        <w:pStyle w:val="ListParagraph"/>
        <w:numPr>
          <w:ilvl w:val="0"/>
          <w:numId w:val="9"/>
        </w:numPr>
        <w:spacing w:line="360" w:lineRule="auto"/>
        <w:jc w:val="both"/>
        <w:rPr>
          <w:rFonts w:ascii="Times New Roman" w:hAnsi="Times New Roman" w:cs="Times New Roman"/>
        </w:rPr>
      </w:pPr>
      <w:r w:rsidRPr="004F61D7">
        <w:rPr>
          <w:rFonts w:ascii="Times New Roman" w:hAnsi="Times New Roman" w:cs="Times New Roman"/>
        </w:rPr>
        <w:t>Propose approaches to public education and communication that accurately reflect the roles and processes of courts;</w:t>
      </w:r>
    </w:p>
    <w:p w14:paraId="230B7803" w14:textId="77777777" w:rsidR="004F61D7" w:rsidRPr="004F61D7" w:rsidRDefault="004F61D7" w:rsidP="004F61D7">
      <w:pPr>
        <w:pStyle w:val="ListParagraph"/>
        <w:spacing w:line="360" w:lineRule="auto"/>
        <w:jc w:val="both"/>
        <w:rPr>
          <w:rFonts w:ascii="Times New Roman" w:hAnsi="Times New Roman" w:cs="Times New Roman"/>
        </w:rPr>
      </w:pPr>
    </w:p>
    <w:p w14:paraId="122304E4" w14:textId="426C6900" w:rsidR="004F61D7" w:rsidRDefault="00E178A8" w:rsidP="004F61D7">
      <w:pPr>
        <w:pStyle w:val="ListParagraph"/>
        <w:numPr>
          <w:ilvl w:val="0"/>
          <w:numId w:val="9"/>
        </w:numPr>
        <w:spacing w:line="360" w:lineRule="auto"/>
        <w:jc w:val="both"/>
        <w:rPr>
          <w:rFonts w:ascii="Times New Roman" w:hAnsi="Times New Roman" w:cs="Times New Roman"/>
        </w:rPr>
      </w:pPr>
      <w:r w:rsidRPr="004F61D7">
        <w:rPr>
          <w:rFonts w:ascii="Times New Roman" w:hAnsi="Times New Roman" w:cs="Times New Roman"/>
        </w:rPr>
        <w:lastRenderedPageBreak/>
        <w:t>Suggest technology and resources that can identify disinformation campaigns early enough to counter them with accurate information;</w:t>
      </w:r>
    </w:p>
    <w:p w14:paraId="54050847" w14:textId="77777777" w:rsidR="004F61D7" w:rsidRPr="004F61D7" w:rsidRDefault="004F61D7" w:rsidP="004F61D7">
      <w:pPr>
        <w:pStyle w:val="ListParagraph"/>
        <w:spacing w:line="360" w:lineRule="auto"/>
        <w:jc w:val="both"/>
        <w:rPr>
          <w:rFonts w:ascii="Times New Roman" w:hAnsi="Times New Roman" w:cs="Times New Roman"/>
        </w:rPr>
      </w:pPr>
    </w:p>
    <w:p w14:paraId="681AFF9B" w14:textId="3E53063C" w:rsidR="00E178A8" w:rsidRPr="004F61D7" w:rsidRDefault="00E178A8" w:rsidP="004F61D7">
      <w:pPr>
        <w:pStyle w:val="ListParagraph"/>
        <w:numPr>
          <w:ilvl w:val="0"/>
          <w:numId w:val="9"/>
        </w:numPr>
        <w:spacing w:line="360" w:lineRule="auto"/>
        <w:jc w:val="both"/>
        <w:rPr>
          <w:rFonts w:ascii="Times New Roman" w:hAnsi="Times New Roman" w:cs="Times New Roman"/>
        </w:rPr>
      </w:pPr>
      <w:r w:rsidRPr="004F61D7">
        <w:rPr>
          <w:rFonts w:ascii="Times New Roman" w:hAnsi="Times New Roman" w:cs="Times New Roman"/>
        </w:rPr>
        <w:t>Identify public and private individuals and organizations that could share information to identify disinformation and respond with accurate information.</w:t>
      </w:r>
    </w:p>
    <w:p w14:paraId="6ECCC143" w14:textId="77777777" w:rsidR="00E178A8" w:rsidRPr="004F61D7" w:rsidRDefault="00E178A8" w:rsidP="004F61D7">
      <w:pPr>
        <w:pStyle w:val="ListParagraph"/>
        <w:spacing w:line="360" w:lineRule="auto"/>
        <w:jc w:val="both"/>
        <w:rPr>
          <w:rFonts w:ascii="Times New Roman" w:hAnsi="Times New Roman" w:cs="Times New Roman"/>
        </w:rPr>
      </w:pPr>
    </w:p>
    <w:p w14:paraId="401F0D05" w14:textId="567B13A3" w:rsidR="00E178A8" w:rsidRPr="004F61D7" w:rsidRDefault="00E178A8" w:rsidP="004F61D7">
      <w:pPr>
        <w:spacing w:line="360" w:lineRule="auto"/>
        <w:ind w:firstLine="720"/>
        <w:jc w:val="both"/>
        <w:rPr>
          <w:rFonts w:cs="Times New Roman"/>
          <w:szCs w:val="24"/>
        </w:rPr>
      </w:pPr>
      <w:r w:rsidRPr="004F61D7">
        <w:rPr>
          <w:rFonts w:cs="Times New Roman"/>
          <w:szCs w:val="24"/>
        </w:rPr>
        <w:t xml:space="preserve">AO 2019-114 further directed the Task Force to submit a Report to the Arizona Judicial Council (“AJC”) by October 1, 2020, “offering options to help ensure that accurate, verifiable facts and information remain available to the public.” That </w:t>
      </w:r>
      <w:r w:rsidR="00850A89">
        <w:rPr>
          <w:rFonts w:cs="Times New Roman"/>
          <w:szCs w:val="24"/>
        </w:rPr>
        <w:t xml:space="preserve">original </w:t>
      </w:r>
      <w:r w:rsidRPr="004F61D7">
        <w:rPr>
          <w:rFonts w:cs="Times New Roman"/>
          <w:szCs w:val="24"/>
        </w:rPr>
        <w:t>Report</w:t>
      </w:r>
      <w:r w:rsidR="00850A89">
        <w:rPr>
          <w:rFonts w:cs="Times New Roman"/>
          <w:szCs w:val="24"/>
        </w:rPr>
        <w:t xml:space="preserve"> is available at </w:t>
      </w:r>
      <w:hyperlink r:id="rId18" w:history="1">
        <w:r w:rsidR="00850A89" w:rsidRPr="0015257F">
          <w:rPr>
            <w:rStyle w:val="Hyperlink"/>
            <w:rFonts w:cs="Times New Roman"/>
            <w:szCs w:val="24"/>
          </w:rPr>
          <w:t>https://www.azcourts.gov/Portals/74/DisinformationTF/CDTFReport%20FINAL2020.pdf</w:t>
        </w:r>
      </w:hyperlink>
      <w:r w:rsidR="00850A89">
        <w:rPr>
          <w:rFonts w:cs="Times New Roman"/>
          <w:szCs w:val="24"/>
        </w:rPr>
        <w:t>.</w:t>
      </w:r>
    </w:p>
    <w:p w14:paraId="7C0CF983" w14:textId="23B8EB13" w:rsidR="00A93756" w:rsidRDefault="00A93756">
      <w:pPr>
        <w:rPr>
          <w:rFonts w:cs="Times New Roman"/>
          <w:b/>
        </w:rPr>
      </w:pPr>
      <w:r>
        <w:rPr>
          <w:rFonts w:cs="Times New Roman"/>
          <w:b/>
        </w:rPr>
        <w:br w:type="page"/>
      </w:r>
    </w:p>
    <w:p w14:paraId="74896846" w14:textId="07586CB9" w:rsidR="002264EE" w:rsidRPr="00F757D5" w:rsidRDefault="00A93756" w:rsidP="002264EE">
      <w:pPr>
        <w:spacing w:line="360" w:lineRule="auto"/>
        <w:jc w:val="center"/>
        <w:rPr>
          <w:rFonts w:cs="Times New Roman"/>
          <w:b/>
        </w:rPr>
      </w:pPr>
      <w:r>
        <w:rPr>
          <w:rFonts w:cs="Times New Roman"/>
          <w:b/>
        </w:rPr>
        <w:lastRenderedPageBreak/>
        <w:t>SUMMARY OF IMPLEMENTED</w:t>
      </w:r>
      <w:r w:rsidR="002264EE" w:rsidRPr="00F757D5">
        <w:rPr>
          <w:rFonts w:cs="Times New Roman"/>
          <w:b/>
        </w:rPr>
        <w:t xml:space="preserve"> RECOMMENDATIONS</w:t>
      </w:r>
    </w:p>
    <w:p w14:paraId="2DA2391A" w14:textId="77777777" w:rsidR="00255973" w:rsidRDefault="002264EE" w:rsidP="00255973">
      <w:pPr>
        <w:pStyle w:val="ListParagraph"/>
        <w:numPr>
          <w:ilvl w:val="0"/>
          <w:numId w:val="10"/>
        </w:numPr>
        <w:spacing w:line="360" w:lineRule="auto"/>
        <w:rPr>
          <w:rFonts w:ascii="Times New Roman" w:hAnsi="Times New Roman" w:cs="Times New Roman"/>
          <w:b/>
          <w:bCs/>
        </w:rPr>
      </w:pPr>
      <w:r w:rsidRPr="002264EE">
        <w:rPr>
          <w:rFonts w:ascii="Times New Roman" w:hAnsi="Times New Roman" w:cs="Times New Roman"/>
          <w:b/>
          <w:bCs/>
        </w:rPr>
        <w:t>Background</w:t>
      </w:r>
    </w:p>
    <w:p w14:paraId="7B64356B" w14:textId="11DBDB69" w:rsidR="00177F82" w:rsidRDefault="00255973" w:rsidP="00A03C32">
      <w:pPr>
        <w:spacing w:line="360" w:lineRule="auto"/>
        <w:jc w:val="both"/>
        <w:rPr>
          <w:rFonts w:cs="Times New Roman"/>
        </w:rPr>
      </w:pPr>
      <w:r>
        <w:rPr>
          <w:rFonts w:cs="Times New Roman"/>
        </w:rPr>
        <w:tab/>
      </w:r>
      <w:r w:rsidR="00095371">
        <w:rPr>
          <w:rFonts w:cs="Times New Roman"/>
        </w:rPr>
        <w:t xml:space="preserve">From the nine broad recommendations, the Task Force made 27 total </w:t>
      </w:r>
      <w:r w:rsidR="005160B4">
        <w:rPr>
          <w:rFonts w:cs="Times New Roman"/>
        </w:rPr>
        <w:t>recommendations</w:t>
      </w:r>
      <w:r w:rsidR="00095371">
        <w:rPr>
          <w:rFonts w:cs="Times New Roman"/>
        </w:rPr>
        <w:t xml:space="preserve"> for countering disinformation. Some of the </w:t>
      </w:r>
      <w:r w:rsidR="005160B4">
        <w:rPr>
          <w:rFonts w:cs="Times New Roman"/>
        </w:rPr>
        <w:t>recommendations</w:t>
      </w:r>
      <w:r w:rsidR="00095371">
        <w:rPr>
          <w:rFonts w:cs="Times New Roman"/>
        </w:rPr>
        <w:t xml:space="preserve"> were to create partnerships, to track disinform</w:t>
      </w:r>
      <w:r w:rsidR="005160B4">
        <w:rPr>
          <w:rFonts w:cs="Times New Roman"/>
        </w:rPr>
        <w:t>ation</w:t>
      </w:r>
      <w:r w:rsidR="00095371">
        <w:rPr>
          <w:rFonts w:cs="Times New Roman"/>
        </w:rPr>
        <w:t xml:space="preserve"> trends, and others called for tangible materials, </w:t>
      </w:r>
      <w:r w:rsidR="005160B4">
        <w:rPr>
          <w:rFonts w:cs="Times New Roman"/>
        </w:rPr>
        <w:t>such</w:t>
      </w:r>
      <w:r w:rsidR="00095371">
        <w:rPr>
          <w:rFonts w:cs="Times New Roman"/>
        </w:rPr>
        <w:t xml:space="preserve"> as written handouts and instructional outreach</w:t>
      </w:r>
      <w:r w:rsidR="00177F82">
        <w:rPr>
          <w:rFonts w:cs="Times New Roman"/>
        </w:rPr>
        <w:t xml:space="preserve">. The broad category recommendations include research, </w:t>
      </w:r>
      <w:r w:rsidR="005160B4">
        <w:rPr>
          <w:rFonts w:cs="Times New Roman"/>
        </w:rPr>
        <w:t>partnerships</w:t>
      </w:r>
      <w:r w:rsidR="00177F82">
        <w:rPr>
          <w:rFonts w:cs="Times New Roman"/>
        </w:rPr>
        <w:t>, outreach, and judicial branch resources.</w:t>
      </w:r>
    </w:p>
    <w:p w14:paraId="09819653" w14:textId="535CFAB5" w:rsidR="004E6F95" w:rsidRDefault="00177F82" w:rsidP="00177F82">
      <w:pPr>
        <w:spacing w:line="360" w:lineRule="auto"/>
        <w:ind w:firstLine="720"/>
        <w:jc w:val="both"/>
        <w:rPr>
          <w:rFonts w:cs="Times New Roman"/>
        </w:rPr>
      </w:pPr>
      <w:r>
        <w:rPr>
          <w:rFonts w:cs="Times New Roman"/>
        </w:rPr>
        <w:t>The Ta</w:t>
      </w:r>
      <w:r w:rsidR="005160B4">
        <w:rPr>
          <w:rFonts w:cs="Times New Roman"/>
        </w:rPr>
        <w:t>s</w:t>
      </w:r>
      <w:r>
        <w:rPr>
          <w:rFonts w:cs="Times New Roman"/>
        </w:rPr>
        <w:t xml:space="preserve">k Force’s research included tracking </w:t>
      </w:r>
      <w:r w:rsidR="005160B4">
        <w:rPr>
          <w:rFonts w:cs="Times New Roman"/>
        </w:rPr>
        <w:t>trends</w:t>
      </w:r>
      <w:r>
        <w:rPr>
          <w:rFonts w:cs="Times New Roman"/>
        </w:rPr>
        <w:t xml:space="preserve"> in </w:t>
      </w:r>
      <w:r w:rsidR="005160B4">
        <w:rPr>
          <w:rFonts w:cs="Times New Roman"/>
        </w:rPr>
        <w:t>misinformation</w:t>
      </w:r>
      <w:r>
        <w:rPr>
          <w:rFonts w:cs="Times New Roman"/>
        </w:rPr>
        <w:t xml:space="preserve"> and disinformation and the technology to follow and respond to those trends. The partnerships category involved connecting with a representative from the local American Board of Trial Advocates (ABOT</w:t>
      </w:r>
      <w:r w:rsidR="004E6F95">
        <w:rPr>
          <w:rFonts w:cs="Times New Roman"/>
        </w:rPr>
        <w:t>A</w:t>
      </w:r>
      <w:r>
        <w:rPr>
          <w:rFonts w:cs="Times New Roman"/>
        </w:rPr>
        <w:t xml:space="preserve">), the American College of Trial Lawyers (ACTL), The National Center for State Courts (NCSC), the Arizona Judges </w:t>
      </w:r>
      <w:r w:rsidR="004E6F95">
        <w:rPr>
          <w:rFonts w:cs="Times New Roman"/>
        </w:rPr>
        <w:t>Association</w:t>
      </w:r>
      <w:r>
        <w:rPr>
          <w:rFonts w:cs="Times New Roman"/>
        </w:rPr>
        <w:t xml:space="preserve">, the Arizona Bar Foundation, the Public Information and Messaging workgroup of the Arizona Supreme Court’s </w:t>
      </w:r>
      <w:r w:rsidR="004E6F95">
        <w:rPr>
          <w:rFonts w:cs="Times New Roman"/>
        </w:rPr>
        <w:t>Commission</w:t>
      </w:r>
      <w:r>
        <w:rPr>
          <w:rFonts w:cs="Times New Roman"/>
        </w:rPr>
        <w:t xml:space="preserve"> on Access to Justice, the</w:t>
      </w:r>
      <w:r w:rsidR="004E6F95">
        <w:rPr>
          <w:rFonts w:cs="Times New Roman"/>
        </w:rPr>
        <w:t xml:space="preserve"> Arizona Council for Social Studies, and the Arizona Department of Education’s Civic Education and Community Engagement program. The Task Force’s outreach efforts included connecting with the Arizona Broadcasters Association, creating a one-page information sheet on </w:t>
      </w:r>
      <w:r w:rsidR="005160B4">
        <w:rPr>
          <w:rFonts w:cs="Times New Roman"/>
        </w:rPr>
        <w:t>misinformation</w:t>
      </w:r>
      <w:r w:rsidR="004E6F95">
        <w:rPr>
          <w:rFonts w:cs="Times New Roman"/>
        </w:rPr>
        <w:t xml:space="preserve"> and disinformation in English and </w:t>
      </w:r>
      <w:r w:rsidR="005160B4">
        <w:rPr>
          <w:rFonts w:cs="Times New Roman"/>
        </w:rPr>
        <w:t>Spanish</w:t>
      </w:r>
      <w:r w:rsidR="004E6F95">
        <w:rPr>
          <w:rFonts w:cs="Times New Roman"/>
        </w:rPr>
        <w:t xml:space="preserve">, redesigning the Arizona Supreme Court’s outreach website, and developing a feedback survey courts can use locally. The internal judicial </w:t>
      </w:r>
      <w:r w:rsidR="005160B4">
        <w:rPr>
          <w:rFonts w:cs="Times New Roman"/>
        </w:rPr>
        <w:t>branch</w:t>
      </w:r>
      <w:r w:rsidR="004E6F95">
        <w:rPr>
          <w:rFonts w:cs="Times New Roman"/>
        </w:rPr>
        <w:t xml:space="preserve"> resources that were developed include a court branding guide, a disinformation </w:t>
      </w:r>
      <w:r w:rsidR="005160B4">
        <w:rPr>
          <w:rFonts w:cs="Times New Roman"/>
        </w:rPr>
        <w:t>playbook</w:t>
      </w:r>
      <w:r w:rsidR="004E6F95">
        <w:rPr>
          <w:rFonts w:cs="Times New Roman"/>
        </w:rPr>
        <w:t>, media contacts, a guide to reporting potential disinformation to social media platforms, and a list of designated court public information officers and their courts’ websites and social media outlets.</w:t>
      </w:r>
      <w:r w:rsidR="004E3D03">
        <w:rPr>
          <w:rFonts w:cs="Times New Roman"/>
        </w:rPr>
        <w:t xml:space="preserve"> The Task Force’s specific updates will follow the original recommendations from the October 2020 Report.</w:t>
      </w:r>
    </w:p>
    <w:p w14:paraId="0DFB4CA5" w14:textId="77777777" w:rsidR="004E3D03" w:rsidRDefault="00255973" w:rsidP="00A03C32">
      <w:pPr>
        <w:spacing w:line="360" w:lineRule="auto"/>
        <w:jc w:val="both"/>
        <w:rPr>
          <w:rFonts w:cs="Times New Roman"/>
        </w:rPr>
      </w:pPr>
      <w:r>
        <w:rPr>
          <w:rFonts w:cs="Times New Roman"/>
        </w:rPr>
        <w:tab/>
      </w:r>
      <w:r w:rsidRPr="009E3474">
        <w:rPr>
          <w:rFonts w:cs="Times New Roman"/>
        </w:rPr>
        <w:t xml:space="preserve">The </w:t>
      </w:r>
      <w:r w:rsidR="004E3D03">
        <w:rPr>
          <w:rFonts w:cs="Times New Roman"/>
        </w:rPr>
        <w:t xml:space="preserve">October 2020 Report </w:t>
      </w:r>
      <w:r w:rsidRPr="009E3474">
        <w:rPr>
          <w:rFonts w:cs="Times New Roman"/>
        </w:rPr>
        <w:t>assert</w:t>
      </w:r>
      <w:r w:rsidR="004E3D03">
        <w:rPr>
          <w:rFonts w:cs="Times New Roman"/>
        </w:rPr>
        <w:t>ed:</w:t>
      </w:r>
    </w:p>
    <w:p w14:paraId="6F4C01E3" w14:textId="4B07BED3" w:rsidR="00255973" w:rsidRDefault="004E3D03" w:rsidP="004E3D03">
      <w:pPr>
        <w:spacing w:line="360" w:lineRule="auto"/>
        <w:ind w:left="1080" w:right="1440"/>
        <w:jc w:val="both"/>
        <w:rPr>
          <w:rFonts w:cs="Times New Roman"/>
        </w:rPr>
      </w:pPr>
      <w:r>
        <w:rPr>
          <w:rFonts w:cs="Times New Roman"/>
        </w:rPr>
        <w:t>…</w:t>
      </w:r>
      <w:r w:rsidR="00255973" w:rsidRPr="00255973">
        <w:rPr>
          <w:rFonts w:cs="Times New Roman"/>
        </w:rPr>
        <w:t>that the judicial branch must work tirelessly to assure that America’s courts remain the model for the world, to recognize that courts are not perfect, that the law is constantly evolving, and the justice system must adapt accordingly. To achieve this, courts need honest, dedicated critics and monitors of court proceedings. Courts must also oppose malicious campaigns, foreign and domestic, intended to weaken the</w:t>
      </w:r>
      <w:r w:rsidR="007911DC">
        <w:rPr>
          <w:rFonts w:cs="Times New Roman"/>
        </w:rPr>
        <w:t xml:space="preserve"> U.S. </w:t>
      </w:r>
      <w:r w:rsidR="00255973" w:rsidRPr="00255973">
        <w:rPr>
          <w:rFonts w:cs="Times New Roman"/>
        </w:rPr>
        <w:t xml:space="preserve">through discrediting and defaming courts as a co-equal branch of government. Considering the current inadequacy of civic education and </w:t>
      </w:r>
      <w:r w:rsidR="00255973" w:rsidRPr="00255973">
        <w:rPr>
          <w:rFonts w:cs="Times New Roman"/>
        </w:rPr>
        <w:lastRenderedPageBreak/>
        <w:t>understanding, the Task Force asserts that proactive measures are necessary to achieve this goal of protecting the rule of law.</w:t>
      </w:r>
    </w:p>
    <w:p w14:paraId="033082FE" w14:textId="20812135" w:rsidR="004E3D03" w:rsidRDefault="004E3D03" w:rsidP="00A03C32">
      <w:pPr>
        <w:spacing w:line="360" w:lineRule="auto"/>
        <w:jc w:val="both"/>
        <w:rPr>
          <w:rFonts w:cs="Times New Roman"/>
        </w:rPr>
      </w:pPr>
      <w:r>
        <w:rPr>
          <w:rFonts w:cs="Times New Roman"/>
        </w:rPr>
        <w:tab/>
        <w:t>These assertions remain true, as the Task Force noted that attacks on the judiciary continued throughout 2021, directed from private groups and individuals as well as from public officials. When outcomes are unfavorable to an individual, a cause or movement, judges and courts continue being characterized by some as partisan, corrupt, and as having an agenda. Such comments in the media are rarely countered with reminders that the judicial branch was designed to operate with fidelity to the law and without regard to popular opinion or majority demands.</w:t>
      </w:r>
    </w:p>
    <w:p w14:paraId="5CE0BAAF" w14:textId="6AECD634" w:rsidR="0074346C" w:rsidRDefault="00255973" w:rsidP="00A03C32">
      <w:pPr>
        <w:spacing w:line="360" w:lineRule="auto"/>
        <w:jc w:val="both"/>
        <w:rPr>
          <w:rFonts w:cs="Times New Roman"/>
        </w:rPr>
      </w:pPr>
      <w:r>
        <w:rPr>
          <w:rFonts w:cs="Times New Roman"/>
        </w:rPr>
        <w:tab/>
      </w:r>
      <w:r w:rsidR="004E3D03">
        <w:rPr>
          <w:rFonts w:cs="Times New Roman"/>
        </w:rPr>
        <w:t>Like th</w:t>
      </w:r>
      <w:r w:rsidRPr="00255973">
        <w:rPr>
          <w:rFonts w:cs="Times New Roman"/>
        </w:rPr>
        <w:t xml:space="preserve">e Task Force’s </w:t>
      </w:r>
      <w:r w:rsidR="004E3D03">
        <w:rPr>
          <w:rFonts w:cs="Times New Roman"/>
        </w:rPr>
        <w:t>October 2020 Report</w:t>
      </w:r>
      <w:r w:rsidRPr="00255973">
        <w:rPr>
          <w:rFonts w:cs="Times New Roman"/>
        </w:rPr>
        <w:t xml:space="preserve">, </w:t>
      </w:r>
      <w:r w:rsidR="004E3D03">
        <w:rPr>
          <w:rFonts w:cs="Times New Roman"/>
        </w:rPr>
        <w:t>implementation in 2021</w:t>
      </w:r>
      <w:r w:rsidR="00C354F9">
        <w:rPr>
          <w:rFonts w:cs="Times New Roman"/>
        </w:rPr>
        <w:t xml:space="preserve"> focused on </w:t>
      </w:r>
      <w:r w:rsidRPr="00255973">
        <w:rPr>
          <w:rFonts w:cs="Times New Roman"/>
        </w:rPr>
        <w:t>education and community outreach</w:t>
      </w:r>
      <w:r w:rsidR="00C354F9">
        <w:rPr>
          <w:rFonts w:cs="Times New Roman"/>
        </w:rPr>
        <w:t xml:space="preserve">, encouraging </w:t>
      </w:r>
      <w:r w:rsidRPr="00255973">
        <w:rPr>
          <w:rFonts w:cs="Times New Roman"/>
        </w:rPr>
        <w:t>judges and judicial branch staff</w:t>
      </w:r>
      <w:r w:rsidR="00C354F9">
        <w:rPr>
          <w:rFonts w:cs="Times New Roman"/>
        </w:rPr>
        <w:t xml:space="preserve"> to </w:t>
      </w:r>
      <w:r w:rsidRPr="00255973">
        <w:rPr>
          <w:rFonts w:cs="Times New Roman"/>
        </w:rPr>
        <w:t>more effectively reach and engage their neighbors</w:t>
      </w:r>
      <w:r w:rsidR="005160B4">
        <w:rPr>
          <w:rFonts w:cs="Times New Roman"/>
        </w:rPr>
        <w:t xml:space="preserve">. This direct community outreach includes </w:t>
      </w:r>
      <w:r w:rsidR="00C354F9">
        <w:rPr>
          <w:rFonts w:cs="Times New Roman"/>
        </w:rPr>
        <w:t xml:space="preserve">speaking </w:t>
      </w:r>
      <w:r w:rsidR="005160B4">
        <w:rPr>
          <w:rFonts w:cs="Times New Roman"/>
        </w:rPr>
        <w:t>engagements</w:t>
      </w:r>
      <w:r w:rsidR="00C354F9">
        <w:rPr>
          <w:rFonts w:cs="Times New Roman"/>
        </w:rPr>
        <w:t xml:space="preserve"> and in providing clear written </w:t>
      </w:r>
      <w:r w:rsidR="005160B4">
        <w:rPr>
          <w:rFonts w:cs="Times New Roman"/>
        </w:rPr>
        <w:t>explanations</w:t>
      </w:r>
      <w:r w:rsidR="00C354F9">
        <w:rPr>
          <w:rFonts w:cs="Times New Roman"/>
        </w:rPr>
        <w:t xml:space="preserve"> in plain </w:t>
      </w:r>
      <w:r w:rsidR="005160B4">
        <w:rPr>
          <w:rFonts w:cs="Times New Roman"/>
        </w:rPr>
        <w:t>English</w:t>
      </w:r>
      <w:r w:rsidRPr="00255973">
        <w:rPr>
          <w:rFonts w:cs="Times New Roman"/>
        </w:rPr>
        <w:t>.</w:t>
      </w:r>
      <w:r w:rsidR="00C354F9">
        <w:rPr>
          <w:rFonts w:cs="Times New Roman"/>
        </w:rPr>
        <w:t xml:space="preserve"> </w:t>
      </w:r>
      <w:r w:rsidRPr="00255973">
        <w:rPr>
          <w:rFonts w:cs="Times New Roman"/>
        </w:rPr>
        <w:t xml:space="preserve">The Task Force </w:t>
      </w:r>
      <w:r w:rsidR="00C354F9">
        <w:rPr>
          <w:rFonts w:cs="Times New Roman"/>
        </w:rPr>
        <w:t>correctly viewed the October 2020</w:t>
      </w:r>
      <w:r w:rsidRPr="00255973">
        <w:rPr>
          <w:rFonts w:cs="Times New Roman"/>
        </w:rPr>
        <w:t xml:space="preserve"> Report as a first step.</w:t>
      </w:r>
      <w:r w:rsidR="00C354F9">
        <w:rPr>
          <w:rFonts w:cs="Times New Roman"/>
        </w:rPr>
        <w:t xml:space="preserve"> This </w:t>
      </w:r>
      <w:r w:rsidR="00C86161">
        <w:rPr>
          <w:rFonts w:cs="Times New Roman"/>
        </w:rPr>
        <w:t>C</w:t>
      </w:r>
      <w:r w:rsidR="005160B4">
        <w:rPr>
          <w:rFonts w:cs="Times New Roman"/>
        </w:rPr>
        <w:t>oncluding</w:t>
      </w:r>
      <w:r w:rsidR="00C354F9">
        <w:rPr>
          <w:rFonts w:cs="Times New Roman"/>
        </w:rPr>
        <w:t xml:space="preserve"> Report is another step, identifying specific materials the Task Force has prepared</w:t>
      </w:r>
      <w:r w:rsidR="0074346C">
        <w:rPr>
          <w:rFonts w:cs="Times New Roman"/>
        </w:rPr>
        <w:t xml:space="preserve"> and what courts, judges, and employees can do to maintain public trust and confidence going forward.</w:t>
      </w:r>
    </w:p>
    <w:p w14:paraId="13D9B81B" w14:textId="77777777" w:rsidR="00DA6DBB" w:rsidRDefault="00DA6DBB" w:rsidP="00A03C32">
      <w:pPr>
        <w:spacing w:line="360" w:lineRule="auto"/>
        <w:jc w:val="both"/>
        <w:rPr>
          <w:rFonts w:cs="Times New Roman"/>
        </w:rPr>
      </w:pPr>
    </w:p>
    <w:p w14:paraId="1BC59536" w14:textId="2A1DE238" w:rsidR="00325A35" w:rsidRDefault="00A03C32" w:rsidP="00325A35">
      <w:pPr>
        <w:pStyle w:val="ListParagraph"/>
        <w:numPr>
          <w:ilvl w:val="0"/>
          <w:numId w:val="10"/>
        </w:numPr>
        <w:spacing w:line="360" w:lineRule="auto"/>
        <w:jc w:val="both"/>
        <w:rPr>
          <w:rFonts w:ascii="Times New Roman" w:hAnsi="Times New Roman" w:cs="Times New Roman"/>
          <w:b/>
          <w:bCs/>
        </w:rPr>
      </w:pPr>
      <w:r w:rsidRPr="00253D76">
        <w:rPr>
          <w:rFonts w:ascii="Times New Roman" w:hAnsi="Times New Roman" w:cs="Times New Roman"/>
          <w:b/>
          <w:bCs/>
        </w:rPr>
        <w:t>Task Force Recommendations</w:t>
      </w:r>
    </w:p>
    <w:p w14:paraId="577C57BB" w14:textId="77777777" w:rsidR="00B16D20" w:rsidRPr="00B16D20" w:rsidRDefault="00B16D20" w:rsidP="00B16D20">
      <w:pPr>
        <w:pStyle w:val="ListParagraph"/>
        <w:spacing w:line="360" w:lineRule="auto"/>
        <w:jc w:val="both"/>
        <w:rPr>
          <w:rFonts w:ascii="Times New Roman" w:hAnsi="Times New Roman" w:cs="Times New Roman"/>
          <w:b/>
          <w:bCs/>
        </w:rPr>
      </w:pPr>
    </w:p>
    <w:p w14:paraId="087EA332" w14:textId="1DC938CF" w:rsidR="00A03C32" w:rsidRPr="00652193" w:rsidRDefault="00652193" w:rsidP="009F1B8B">
      <w:pPr>
        <w:spacing w:line="360" w:lineRule="auto"/>
        <w:jc w:val="both"/>
        <w:rPr>
          <w:rFonts w:cs="Times New Roman"/>
        </w:rPr>
      </w:pPr>
      <w:r>
        <w:rPr>
          <w:rFonts w:cs="Times New Roman"/>
        </w:rPr>
        <w:t>The original Task Force recommendations follow, with information on how the 2021 Task Force implemented or followed up on the recommendation.</w:t>
      </w:r>
    </w:p>
    <w:p w14:paraId="716F47D0" w14:textId="4C6F44F4" w:rsidR="00620CFC" w:rsidRDefault="00A03C32" w:rsidP="00DA6DBB">
      <w:pPr>
        <w:pStyle w:val="ListParagraph"/>
        <w:numPr>
          <w:ilvl w:val="0"/>
          <w:numId w:val="18"/>
        </w:numPr>
        <w:spacing w:line="360" w:lineRule="auto"/>
        <w:jc w:val="both"/>
        <w:rPr>
          <w:rFonts w:ascii="Times New Roman" w:hAnsi="Times New Roman" w:cs="Times New Roman"/>
        </w:rPr>
      </w:pPr>
      <w:r w:rsidRPr="00034A67">
        <w:rPr>
          <w:rFonts w:ascii="Times New Roman" w:hAnsi="Times New Roman" w:cs="Times New Roman"/>
        </w:rPr>
        <w:t>That the A</w:t>
      </w:r>
      <w:r w:rsidR="00652193">
        <w:rPr>
          <w:rFonts w:ascii="Times New Roman" w:hAnsi="Times New Roman" w:cs="Times New Roman"/>
        </w:rPr>
        <w:t xml:space="preserve">dministrative </w:t>
      </w:r>
      <w:r w:rsidRPr="00034A67">
        <w:rPr>
          <w:rFonts w:ascii="Times New Roman" w:hAnsi="Times New Roman" w:cs="Times New Roman"/>
        </w:rPr>
        <w:t>O</w:t>
      </w:r>
      <w:r w:rsidR="00652193">
        <w:rPr>
          <w:rFonts w:ascii="Times New Roman" w:hAnsi="Times New Roman" w:cs="Times New Roman"/>
        </w:rPr>
        <w:t xml:space="preserve">ffice of the </w:t>
      </w:r>
      <w:r w:rsidRPr="00034A67">
        <w:rPr>
          <w:rFonts w:ascii="Times New Roman" w:hAnsi="Times New Roman" w:cs="Times New Roman"/>
        </w:rPr>
        <w:t>C</w:t>
      </w:r>
      <w:r w:rsidR="00652193">
        <w:rPr>
          <w:rFonts w:ascii="Times New Roman" w:hAnsi="Times New Roman" w:cs="Times New Roman"/>
        </w:rPr>
        <w:t>ourts</w:t>
      </w:r>
      <w:r w:rsidRPr="00034A67">
        <w:rPr>
          <w:rFonts w:ascii="Times New Roman" w:hAnsi="Times New Roman" w:cs="Times New Roman"/>
        </w:rPr>
        <w:t xml:space="preserve"> empanel a “redesign team” to redesign the structure of </w:t>
      </w:r>
      <w:r w:rsidR="00652193">
        <w:rPr>
          <w:rFonts w:ascii="Times New Roman" w:hAnsi="Times New Roman" w:cs="Times New Roman"/>
        </w:rPr>
        <w:t xml:space="preserve">Our </w:t>
      </w:r>
      <w:r w:rsidRPr="00034A67">
        <w:rPr>
          <w:rFonts w:ascii="Times New Roman" w:hAnsi="Times New Roman" w:cs="Times New Roman"/>
        </w:rPr>
        <w:t>C</w:t>
      </w:r>
      <w:r w:rsidR="00652193">
        <w:rPr>
          <w:rFonts w:ascii="Times New Roman" w:hAnsi="Times New Roman" w:cs="Times New Roman"/>
        </w:rPr>
        <w:t xml:space="preserve">ourts </w:t>
      </w:r>
      <w:r w:rsidRPr="00034A67">
        <w:rPr>
          <w:rFonts w:ascii="Times New Roman" w:hAnsi="Times New Roman" w:cs="Times New Roman"/>
        </w:rPr>
        <w:t>A</w:t>
      </w:r>
      <w:r w:rsidR="00652193">
        <w:rPr>
          <w:rFonts w:ascii="Times New Roman" w:hAnsi="Times New Roman" w:cs="Times New Roman"/>
        </w:rPr>
        <w:t>rizona (OCA)</w:t>
      </w:r>
      <w:r w:rsidRPr="00034A67">
        <w:rPr>
          <w:rFonts w:ascii="Times New Roman" w:hAnsi="Times New Roman" w:cs="Times New Roman"/>
        </w:rPr>
        <w:t xml:space="preserve"> and develop ways to best leverage OCA to provide support and assistance to the many organizations that offer civic education resources throughout the state.</w:t>
      </w:r>
    </w:p>
    <w:p w14:paraId="318804B1" w14:textId="37D7EF7A" w:rsidR="00652193" w:rsidRPr="00652193" w:rsidRDefault="00652193" w:rsidP="00652193">
      <w:pPr>
        <w:spacing w:line="360" w:lineRule="auto"/>
        <w:ind w:left="360"/>
        <w:jc w:val="both"/>
        <w:rPr>
          <w:rFonts w:cs="Times New Roman"/>
        </w:rPr>
      </w:pPr>
      <w:r>
        <w:rPr>
          <w:rFonts w:cs="Times New Roman"/>
        </w:rPr>
        <w:t>The Task Force developed a redesign of the former “Our Courts Arizona” community outreach program, renaming the program “Community Outreach.” This rebranding makes the intent recognizable at a glance and encompasses outreach and education in its various forms and applications.</w:t>
      </w:r>
      <w:r w:rsidR="009F1B8B">
        <w:rPr>
          <w:rFonts w:cs="Times New Roman"/>
        </w:rPr>
        <w:t xml:space="preserve"> The updated website will reflect a more contemporary design of tiles, links, videos, and other </w:t>
      </w:r>
      <w:r w:rsidR="009308F0">
        <w:rPr>
          <w:rFonts w:cs="Times New Roman"/>
        </w:rPr>
        <w:t xml:space="preserve">intuitive </w:t>
      </w:r>
      <w:r w:rsidR="009F1B8B">
        <w:rPr>
          <w:rFonts w:cs="Times New Roman"/>
        </w:rPr>
        <w:t>resources for on-demand content and to make it easier for the public to connect with Arizona’s courts.</w:t>
      </w:r>
    </w:p>
    <w:p w14:paraId="4C1E4288" w14:textId="77777777" w:rsidR="00034A67" w:rsidRPr="00034A67" w:rsidRDefault="00034A67" w:rsidP="00034A67">
      <w:pPr>
        <w:pStyle w:val="ListParagraph"/>
        <w:spacing w:line="360" w:lineRule="auto"/>
        <w:jc w:val="both"/>
        <w:rPr>
          <w:rFonts w:ascii="Times New Roman" w:hAnsi="Times New Roman" w:cs="Times New Roman"/>
        </w:rPr>
      </w:pPr>
    </w:p>
    <w:p w14:paraId="5F29319B" w14:textId="6998E837" w:rsidR="00620CFC" w:rsidRDefault="00A03C32" w:rsidP="00DA6DBB">
      <w:pPr>
        <w:pStyle w:val="ListParagraph"/>
        <w:numPr>
          <w:ilvl w:val="0"/>
          <w:numId w:val="18"/>
        </w:numPr>
        <w:spacing w:line="360" w:lineRule="auto"/>
        <w:jc w:val="both"/>
        <w:rPr>
          <w:rFonts w:ascii="Times New Roman" w:hAnsi="Times New Roman" w:cs="Times New Roman"/>
        </w:rPr>
      </w:pPr>
      <w:r w:rsidRPr="00034A67">
        <w:rPr>
          <w:rFonts w:ascii="Times New Roman" w:hAnsi="Times New Roman" w:cs="Times New Roman"/>
        </w:rPr>
        <w:lastRenderedPageBreak/>
        <w:t>That the redesigned OCA recommend a liaison to the Arizona Council for Social Studies</w:t>
      </w:r>
      <w:r w:rsidR="009F1B8B">
        <w:rPr>
          <w:rFonts w:ascii="Times New Roman" w:hAnsi="Times New Roman" w:cs="Times New Roman"/>
        </w:rPr>
        <w:t xml:space="preserve"> (ACSS)</w:t>
      </w:r>
      <w:r w:rsidRPr="00034A67">
        <w:rPr>
          <w:rFonts w:ascii="Times New Roman" w:hAnsi="Times New Roman" w:cs="Times New Roman"/>
        </w:rPr>
        <w:t xml:space="preserve"> and the Arizona Department of Education’s Civic Education </w:t>
      </w:r>
      <w:r w:rsidR="009F1B8B">
        <w:rPr>
          <w:rFonts w:ascii="Times New Roman" w:hAnsi="Times New Roman" w:cs="Times New Roman"/>
        </w:rPr>
        <w:t xml:space="preserve">and </w:t>
      </w:r>
      <w:r w:rsidRPr="00034A67">
        <w:rPr>
          <w:rFonts w:ascii="Times New Roman" w:hAnsi="Times New Roman" w:cs="Times New Roman"/>
        </w:rPr>
        <w:t>Community Engagement Program</w:t>
      </w:r>
      <w:r w:rsidR="009F1B8B">
        <w:rPr>
          <w:rFonts w:ascii="Times New Roman" w:hAnsi="Times New Roman" w:cs="Times New Roman"/>
        </w:rPr>
        <w:t xml:space="preserve"> (CE2)</w:t>
      </w:r>
      <w:r w:rsidRPr="00034A67">
        <w:rPr>
          <w:rFonts w:ascii="Times New Roman" w:hAnsi="Times New Roman" w:cs="Times New Roman"/>
        </w:rPr>
        <w:t xml:space="preserve"> or any other body whose mission fits with the mission of OCA</w:t>
      </w:r>
      <w:r w:rsidR="009F1B8B">
        <w:rPr>
          <w:rFonts w:ascii="Times New Roman" w:hAnsi="Times New Roman" w:cs="Times New Roman"/>
        </w:rPr>
        <w:t>.</w:t>
      </w:r>
    </w:p>
    <w:p w14:paraId="0E6921C5" w14:textId="32E8BB6D" w:rsidR="009F1B8B" w:rsidRPr="009F1B8B" w:rsidRDefault="009F1B8B" w:rsidP="009F1B8B">
      <w:pPr>
        <w:spacing w:line="360" w:lineRule="auto"/>
        <w:ind w:left="360"/>
        <w:jc w:val="both"/>
        <w:rPr>
          <w:rFonts w:cs="Times New Roman"/>
        </w:rPr>
      </w:pPr>
      <w:r>
        <w:rPr>
          <w:rFonts w:cs="Times New Roman"/>
        </w:rPr>
        <w:t>The Task Force completed this goal by having a liaison attend regular meetings of ACSS and CE2 throughout 2021. This partnership is anticipated to continue going froward, either with a representative from Arizona’s Administrative Office of the Courts, or with a representative from one of Arizona’s court public information officers.</w:t>
      </w:r>
    </w:p>
    <w:p w14:paraId="3B445C22" w14:textId="77777777" w:rsidR="00034A67" w:rsidRPr="00034A67" w:rsidRDefault="00034A67" w:rsidP="00034A67">
      <w:pPr>
        <w:pStyle w:val="ListParagraph"/>
        <w:spacing w:line="360" w:lineRule="auto"/>
        <w:jc w:val="both"/>
        <w:rPr>
          <w:rFonts w:ascii="Times New Roman" w:hAnsi="Times New Roman" w:cs="Times New Roman"/>
        </w:rPr>
      </w:pPr>
    </w:p>
    <w:p w14:paraId="5CCF97A4" w14:textId="256B19CC" w:rsidR="00A03C32" w:rsidRDefault="00A03C32" w:rsidP="00DA6DBB">
      <w:pPr>
        <w:pStyle w:val="ListParagraph"/>
        <w:numPr>
          <w:ilvl w:val="0"/>
          <w:numId w:val="18"/>
        </w:numPr>
        <w:spacing w:line="360" w:lineRule="auto"/>
        <w:jc w:val="both"/>
        <w:rPr>
          <w:rFonts w:ascii="Times New Roman" w:hAnsi="Times New Roman" w:cs="Times New Roman"/>
        </w:rPr>
      </w:pPr>
      <w:r w:rsidRPr="00034A67">
        <w:rPr>
          <w:rFonts w:ascii="Times New Roman" w:hAnsi="Times New Roman" w:cs="Times New Roman"/>
        </w:rPr>
        <w:t>That OCA coordinate with K-12 schools, universities, community groups, and other youth and adult programs to present information about courts, the judicial branch, and how media literacy protects democracy.</w:t>
      </w:r>
    </w:p>
    <w:p w14:paraId="18C95F62" w14:textId="3F49236F" w:rsidR="009F1B8B" w:rsidRPr="009F1B8B" w:rsidRDefault="001104EB" w:rsidP="009F1B8B">
      <w:pPr>
        <w:spacing w:line="360" w:lineRule="auto"/>
        <w:ind w:left="360"/>
        <w:jc w:val="both"/>
        <w:rPr>
          <w:rFonts w:cs="Times New Roman"/>
        </w:rPr>
      </w:pPr>
      <w:r>
        <w:rPr>
          <w:rFonts w:cs="Times New Roman"/>
        </w:rPr>
        <w:t xml:space="preserve">The redesigned Community Outreach website will allow judicial branch employees to </w:t>
      </w:r>
      <w:r w:rsidR="005160B4">
        <w:rPr>
          <w:rFonts w:cs="Times New Roman"/>
        </w:rPr>
        <w:t>volunteer</w:t>
      </w:r>
      <w:r>
        <w:rPr>
          <w:rFonts w:cs="Times New Roman"/>
        </w:rPr>
        <w:t xml:space="preserve"> for outreach and for schools and community groups to request a judicial branch presenter.</w:t>
      </w:r>
    </w:p>
    <w:p w14:paraId="22F95E39" w14:textId="77777777" w:rsidR="00A03C32" w:rsidRPr="00DA6DBB" w:rsidRDefault="00A03C32" w:rsidP="00DA6DBB">
      <w:pPr>
        <w:spacing w:line="360" w:lineRule="auto"/>
        <w:jc w:val="both"/>
        <w:rPr>
          <w:rFonts w:cs="Times New Roman"/>
        </w:rPr>
      </w:pPr>
    </w:p>
    <w:p w14:paraId="7E0021C5" w14:textId="372EFD69" w:rsidR="001104EB" w:rsidRDefault="00A03C32" w:rsidP="0020735B">
      <w:pPr>
        <w:pStyle w:val="ListParagraph"/>
        <w:numPr>
          <w:ilvl w:val="0"/>
          <w:numId w:val="18"/>
        </w:numPr>
        <w:spacing w:line="360" w:lineRule="auto"/>
        <w:jc w:val="both"/>
        <w:rPr>
          <w:rFonts w:ascii="Times New Roman" w:hAnsi="Times New Roman" w:cs="Times New Roman"/>
        </w:rPr>
      </w:pPr>
      <w:r w:rsidRPr="0020735B">
        <w:rPr>
          <w:rFonts w:ascii="Times New Roman" w:hAnsi="Times New Roman" w:cs="Times New Roman"/>
        </w:rPr>
        <w:t xml:space="preserve">That individual courts designate a person or people to serve the function of a </w:t>
      </w:r>
      <w:r w:rsidR="001104EB">
        <w:rPr>
          <w:rFonts w:ascii="Times New Roman" w:hAnsi="Times New Roman" w:cs="Times New Roman"/>
        </w:rPr>
        <w:t>public information officer (</w:t>
      </w:r>
      <w:r w:rsidRPr="0020735B">
        <w:rPr>
          <w:rFonts w:ascii="Times New Roman" w:hAnsi="Times New Roman" w:cs="Times New Roman"/>
        </w:rPr>
        <w:t>PIO</w:t>
      </w:r>
      <w:r w:rsidR="001104EB">
        <w:rPr>
          <w:rFonts w:ascii="Times New Roman" w:hAnsi="Times New Roman" w:cs="Times New Roman"/>
        </w:rPr>
        <w:t>)</w:t>
      </w:r>
      <w:r w:rsidRPr="0020735B">
        <w:rPr>
          <w:rFonts w:ascii="Times New Roman" w:hAnsi="Times New Roman" w:cs="Times New Roman"/>
        </w:rPr>
        <w:t xml:space="preserve"> who will be the liaison between an individual court and its judicial officers, court employees, local justice partners, the media, and the public</w:t>
      </w:r>
      <w:r w:rsidR="001104EB">
        <w:rPr>
          <w:rFonts w:ascii="Times New Roman" w:hAnsi="Times New Roman" w:cs="Times New Roman"/>
        </w:rPr>
        <w:t>.</w:t>
      </w:r>
    </w:p>
    <w:p w14:paraId="5890B44D" w14:textId="617CEF4A" w:rsidR="001104EB" w:rsidRDefault="001104EB" w:rsidP="001104EB">
      <w:pPr>
        <w:spacing w:line="360" w:lineRule="auto"/>
        <w:ind w:left="360"/>
        <w:jc w:val="both"/>
        <w:rPr>
          <w:rFonts w:cs="Times New Roman"/>
        </w:rPr>
      </w:pPr>
      <w:r>
        <w:rPr>
          <w:rFonts w:cs="Times New Roman"/>
        </w:rPr>
        <w:t xml:space="preserve">[enter update. TF identified individual court PIOs through its survey of judges and court </w:t>
      </w:r>
      <w:r w:rsidR="005160B4">
        <w:rPr>
          <w:rFonts w:cs="Times New Roman"/>
        </w:rPr>
        <w:t>administrators</w:t>
      </w:r>
      <w:r>
        <w:rPr>
          <w:rFonts w:cs="Times New Roman"/>
        </w:rPr>
        <w:t xml:space="preserve">. The AOC will </w:t>
      </w:r>
      <w:r w:rsidR="005160B4">
        <w:rPr>
          <w:rFonts w:cs="Times New Roman"/>
        </w:rPr>
        <w:t>maintain</w:t>
      </w:r>
      <w:r>
        <w:rPr>
          <w:rFonts w:cs="Times New Roman"/>
        </w:rPr>
        <w:t xml:space="preserve"> that list]</w:t>
      </w:r>
    </w:p>
    <w:p w14:paraId="29BA749B" w14:textId="16ABD17F" w:rsidR="0020735B" w:rsidRPr="001104EB" w:rsidRDefault="00A03C32" w:rsidP="001104EB">
      <w:pPr>
        <w:spacing w:line="360" w:lineRule="auto"/>
        <w:ind w:left="360"/>
        <w:jc w:val="both"/>
        <w:rPr>
          <w:rFonts w:cs="Times New Roman"/>
        </w:rPr>
      </w:pPr>
      <w:r w:rsidRPr="001104EB">
        <w:rPr>
          <w:rFonts w:cs="Times New Roman"/>
        </w:rPr>
        <w:t xml:space="preserve"> </w:t>
      </w:r>
    </w:p>
    <w:p w14:paraId="57CB5ED3" w14:textId="6CA30E4C" w:rsidR="0020735B" w:rsidRDefault="00A03C32" w:rsidP="00DD2407">
      <w:pPr>
        <w:pStyle w:val="ListParagraph"/>
        <w:numPr>
          <w:ilvl w:val="0"/>
          <w:numId w:val="18"/>
        </w:numPr>
        <w:spacing w:line="360" w:lineRule="auto"/>
        <w:jc w:val="both"/>
        <w:rPr>
          <w:rFonts w:ascii="Times New Roman" w:hAnsi="Times New Roman" w:cs="Times New Roman"/>
        </w:rPr>
      </w:pPr>
      <w:r w:rsidRPr="0020735B">
        <w:rPr>
          <w:rFonts w:ascii="Times New Roman" w:hAnsi="Times New Roman" w:cs="Times New Roman"/>
        </w:rPr>
        <w:t>That every court establish and maintain a court-specific website or webpage to provide accurate information and access to justice 24 hours a day, 7 days a week through local or statewide resources</w:t>
      </w:r>
      <w:r w:rsidR="001104EB">
        <w:rPr>
          <w:rFonts w:ascii="Times New Roman" w:hAnsi="Times New Roman" w:cs="Times New Roman"/>
        </w:rPr>
        <w:t>.</w:t>
      </w:r>
    </w:p>
    <w:p w14:paraId="46685F70" w14:textId="11ECF852" w:rsidR="001104EB" w:rsidRPr="001104EB" w:rsidRDefault="001104EB" w:rsidP="001104EB">
      <w:pPr>
        <w:spacing w:line="360" w:lineRule="auto"/>
        <w:ind w:left="360"/>
        <w:jc w:val="both"/>
        <w:rPr>
          <w:rFonts w:cs="Times New Roman"/>
        </w:rPr>
      </w:pPr>
      <w:r>
        <w:rPr>
          <w:rFonts w:cs="Times New Roman"/>
        </w:rPr>
        <w:t>[enter update. The TF made this recommendation to court leaders through email, meetings, and the judicial conference. Most courts have a website – either their own or through a city or county account]</w:t>
      </w:r>
    </w:p>
    <w:p w14:paraId="6CA587B6" w14:textId="77777777" w:rsidR="00B11DFA" w:rsidRPr="0020735B" w:rsidRDefault="00B11DFA" w:rsidP="00B11DFA">
      <w:pPr>
        <w:pStyle w:val="ListParagraph"/>
        <w:spacing w:line="360" w:lineRule="auto"/>
        <w:jc w:val="both"/>
        <w:rPr>
          <w:rFonts w:ascii="Times New Roman" w:hAnsi="Times New Roman" w:cs="Times New Roman"/>
        </w:rPr>
      </w:pPr>
    </w:p>
    <w:p w14:paraId="44B10F35" w14:textId="2ACC9254" w:rsidR="0020735B" w:rsidRDefault="00A03C32" w:rsidP="00DD2407">
      <w:pPr>
        <w:pStyle w:val="ListParagraph"/>
        <w:numPr>
          <w:ilvl w:val="0"/>
          <w:numId w:val="18"/>
        </w:numPr>
        <w:spacing w:line="360" w:lineRule="auto"/>
        <w:jc w:val="both"/>
        <w:rPr>
          <w:rFonts w:ascii="Times New Roman" w:hAnsi="Times New Roman" w:cs="Times New Roman"/>
        </w:rPr>
      </w:pPr>
      <w:r w:rsidRPr="0020735B">
        <w:rPr>
          <w:rFonts w:ascii="Times New Roman" w:hAnsi="Times New Roman" w:cs="Times New Roman"/>
        </w:rPr>
        <w:t xml:space="preserve">That every court establish and maintain at least one social media account, such as Facebook, Twitter, Instagram, or YouTube, to keep the public and media informed about court events; to notify the community quickly and efficiently in emergencies; and as a tool </w:t>
      </w:r>
      <w:r w:rsidRPr="0020735B">
        <w:rPr>
          <w:rFonts w:ascii="Times New Roman" w:hAnsi="Times New Roman" w:cs="Times New Roman"/>
        </w:rPr>
        <w:lastRenderedPageBreak/>
        <w:t>to timely counteract disinformation, to provide accurate information, and to help the public better understand court policies and procedures. Even if an individual court cannot immediately use these social media channels, it should secure them to prevent the name being taken by others.</w:t>
      </w:r>
    </w:p>
    <w:p w14:paraId="051678A3" w14:textId="01877965" w:rsidR="001104EB" w:rsidRPr="001104EB" w:rsidRDefault="001104EB" w:rsidP="001104EB">
      <w:pPr>
        <w:spacing w:line="360" w:lineRule="auto"/>
        <w:ind w:left="360"/>
        <w:jc w:val="both"/>
        <w:rPr>
          <w:rFonts w:cs="Times New Roman"/>
        </w:rPr>
      </w:pPr>
      <w:r>
        <w:rPr>
          <w:rFonts w:cs="Times New Roman"/>
        </w:rPr>
        <w:t>[enter update. TF made recommendation. Many have something they can use]</w:t>
      </w:r>
    </w:p>
    <w:p w14:paraId="7C9403E3" w14:textId="77777777" w:rsidR="0020735B" w:rsidRPr="0020735B" w:rsidRDefault="0020735B" w:rsidP="0020735B">
      <w:pPr>
        <w:pStyle w:val="ListParagraph"/>
        <w:spacing w:line="360" w:lineRule="auto"/>
        <w:jc w:val="both"/>
        <w:rPr>
          <w:rFonts w:ascii="Times New Roman" w:hAnsi="Times New Roman" w:cs="Times New Roman"/>
        </w:rPr>
      </w:pPr>
    </w:p>
    <w:p w14:paraId="23691DA6" w14:textId="07BB9148" w:rsidR="0020735B" w:rsidRDefault="00A03C32" w:rsidP="00DD2407">
      <w:pPr>
        <w:pStyle w:val="ListParagraph"/>
        <w:numPr>
          <w:ilvl w:val="0"/>
          <w:numId w:val="18"/>
        </w:numPr>
        <w:spacing w:line="360" w:lineRule="auto"/>
        <w:jc w:val="both"/>
        <w:rPr>
          <w:rFonts w:ascii="Times New Roman" w:hAnsi="Times New Roman" w:cs="Times New Roman"/>
        </w:rPr>
      </w:pPr>
      <w:r w:rsidRPr="0020735B">
        <w:rPr>
          <w:rFonts w:ascii="Times New Roman" w:hAnsi="Times New Roman" w:cs="Times New Roman"/>
        </w:rPr>
        <w:t>That the AOC conduct court-led learning events for the media and that individual courts do so to the extent possible.</w:t>
      </w:r>
    </w:p>
    <w:p w14:paraId="41C138B8" w14:textId="6A986C0D" w:rsidR="00182CA9" w:rsidRPr="00182CA9" w:rsidRDefault="00182CA9" w:rsidP="00182CA9">
      <w:pPr>
        <w:spacing w:line="360" w:lineRule="auto"/>
        <w:ind w:left="360"/>
        <w:jc w:val="both"/>
        <w:rPr>
          <w:rFonts w:cs="Times New Roman"/>
        </w:rPr>
      </w:pPr>
      <w:r>
        <w:rPr>
          <w:rFonts w:cs="Times New Roman"/>
        </w:rPr>
        <w:t>[enter update. WG chair KLG and AOC PIO are coordinating this for early 2022]</w:t>
      </w:r>
    </w:p>
    <w:p w14:paraId="4754B6E8" w14:textId="77777777" w:rsidR="0020735B" w:rsidRPr="0020735B" w:rsidRDefault="0020735B" w:rsidP="0020735B">
      <w:pPr>
        <w:pStyle w:val="ListParagraph"/>
        <w:spacing w:line="360" w:lineRule="auto"/>
        <w:jc w:val="both"/>
        <w:rPr>
          <w:rFonts w:ascii="Times New Roman" w:hAnsi="Times New Roman" w:cs="Times New Roman"/>
        </w:rPr>
      </w:pPr>
    </w:p>
    <w:p w14:paraId="1D8C623F" w14:textId="74762DA6" w:rsidR="0020735B" w:rsidRDefault="00A03C32" w:rsidP="00DD2407">
      <w:pPr>
        <w:pStyle w:val="ListParagraph"/>
        <w:numPr>
          <w:ilvl w:val="0"/>
          <w:numId w:val="18"/>
        </w:numPr>
        <w:spacing w:line="360" w:lineRule="auto"/>
        <w:jc w:val="both"/>
        <w:rPr>
          <w:rFonts w:ascii="Times New Roman" w:hAnsi="Times New Roman" w:cs="Times New Roman"/>
        </w:rPr>
      </w:pPr>
      <w:r w:rsidRPr="0020735B">
        <w:rPr>
          <w:rFonts w:ascii="Times New Roman" w:hAnsi="Times New Roman" w:cs="Times New Roman"/>
        </w:rPr>
        <w:t>Producing court-based educational videos regarding media literacy and misinformation and disinformation in the courts and justice system. The videos could be aired to prospective jurors, placed on court websites, distributed through social media, broadcast for tour groups or at court-based speaking engagements, and provided to schools. The production of these videos could be through the AOC, the AZFLSE, individual courts, grant-funded projects, or others’ content approved for republication.</w:t>
      </w:r>
    </w:p>
    <w:p w14:paraId="74C22DF7" w14:textId="72CC9D25" w:rsidR="00182CA9" w:rsidRPr="00182CA9" w:rsidRDefault="00182CA9" w:rsidP="00182CA9">
      <w:pPr>
        <w:spacing w:line="360" w:lineRule="auto"/>
        <w:ind w:left="360"/>
        <w:jc w:val="both"/>
        <w:rPr>
          <w:rFonts w:cs="Times New Roman"/>
        </w:rPr>
      </w:pPr>
      <w:r>
        <w:rPr>
          <w:rFonts w:cs="Times New Roman"/>
        </w:rPr>
        <w:t>[enter update. Some products are in development or will be with stakeholders]</w:t>
      </w:r>
    </w:p>
    <w:p w14:paraId="20BF80AD" w14:textId="77777777" w:rsidR="0020735B" w:rsidRPr="0020735B" w:rsidRDefault="0020735B" w:rsidP="0020735B">
      <w:pPr>
        <w:pStyle w:val="ListParagraph"/>
        <w:spacing w:line="360" w:lineRule="auto"/>
        <w:jc w:val="both"/>
        <w:rPr>
          <w:rFonts w:ascii="Times New Roman" w:hAnsi="Times New Roman" w:cs="Times New Roman"/>
        </w:rPr>
      </w:pPr>
    </w:p>
    <w:p w14:paraId="3600C4D9" w14:textId="52E18D76" w:rsidR="0020735B" w:rsidRDefault="00A03C32" w:rsidP="00DD2407">
      <w:pPr>
        <w:pStyle w:val="ListParagraph"/>
        <w:numPr>
          <w:ilvl w:val="0"/>
          <w:numId w:val="18"/>
        </w:numPr>
        <w:spacing w:line="360" w:lineRule="auto"/>
        <w:jc w:val="both"/>
        <w:rPr>
          <w:rFonts w:ascii="Times New Roman" w:hAnsi="Times New Roman" w:cs="Times New Roman"/>
        </w:rPr>
      </w:pPr>
      <w:r w:rsidRPr="0020735B">
        <w:rPr>
          <w:rFonts w:ascii="Times New Roman" w:hAnsi="Times New Roman" w:cs="Times New Roman"/>
        </w:rPr>
        <w:t>That, where available, courts include media literacy messages on their telephone on-hold messages. For example, encouraging listeners to contact courts directly to verify information.</w:t>
      </w:r>
    </w:p>
    <w:p w14:paraId="31FCDAE2" w14:textId="4B8299F1" w:rsidR="00DB1946" w:rsidRPr="00DB1946" w:rsidRDefault="00DB1946" w:rsidP="00DB1946">
      <w:pPr>
        <w:spacing w:line="360" w:lineRule="auto"/>
        <w:ind w:left="360"/>
        <w:jc w:val="both"/>
        <w:rPr>
          <w:rFonts w:cs="Times New Roman"/>
        </w:rPr>
      </w:pPr>
      <w:r>
        <w:rPr>
          <w:rFonts w:cs="Times New Roman"/>
        </w:rPr>
        <w:t xml:space="preserve">[enter update. TF made this </w:t>
      </w:r>
      <w:r w:rsidR="005160B4">
        <w:rPr>
          <w:rFonts w:cs="Times New Roman"/>
        </w:rPr>
        <w:t>recommendation</w:t>
      </w:r>
      <w:r>
        <w:rPr>
          <w:rFonts w:cs="Times New Roman"/>
        </w:rPr>
        <w:t xml:space="preserve"> to court </w:t>
      </w:r>
      <w:r w:rsidR="005160B4">
        <w:rPr>
          <w:rFonts w:cs="Times New Roman"/>
        </w:rPr>
        <w:t>leadership</w:t>
      </w:r>
      <w:r>
        <w:rPr>
          <w:rFonts w:cs="Times New Roman"/>
        </w:rPr>
        <w:t>]</w:t>
      </w:r>
    </w:p>
    <w:p w14:paraId="37544465" w14:textId="77777777" w:rsidR="0020735B" w:rsidRPr="0020735B" w:rsidRDefault="0020735B" w:rsidP="0020735B">
      <w:pPr>
        <w:pStyle w:val="ListParagraph"/>
        <w:spacing w:line="360" w:lineRule="auto"/>
        <w:jc w:val="both"/>
        <w:rPr>
          <w:rFonts w:ascii="Times New Roman" w:hAnsi="Times New Roman" w:cs="Times New Roman"/>
        </w:rPr>
      </w:pPr>
    </w:p>
    <w:p w14:paraId="614B192A" w14:textId="54E02826" w:rsidR="0020735B" w:rsidRDefault="00A03C32" w:rsidP="0020735B">
      <w:pPr>
        <w:pStyle w:val="ListParagraph"/>
        <w:numPr>
          <w:ilvl w:val="0"/>
          <w:numId w:val="18"/>
        </w:numPr>
        <w:spacing w:line="360" w:lineRule="auto"/>
        <w:jc w:val="both"/>
        <w:rPr>
          <w:rFonts w:ascii="Times New Roman" w:hAnsi="Times New Roman" w:cs="Times New Roman"/>
        </w:rPr>
      </w:pPr>
      <w:r w:rsidRPr="0020735B">
        <w:rPr>
          <w:rFonts w:ascii="Times New Roman" w:hAnsi="Times New Roman" w:cs="Times New Roman"/>
        </w:rPr>
        <w:t>Preparing a court employee guide giving suggestions for when and how to respond to disinformation and identifying when responding might accentuate or further broadcast inaccurate information and cause more harm or confusion than good. Resources for producing this include a court’s internal education and training division, if any, the AOC’s education services division, the NCSC, or CCPIO.</w:t>
      </w:r>
    </w:p>
    <w:p w14:paraId="36710E8D" w14:textId="4A1307AF" w:rsidR="00DB1946" w:rsidRDefault="00DB1946" w:rsidP="00DB1946">
      <w:pPr>
        <w:spacing w:line="360" w:lineRule="auto"/>
        <w:ind w:left="360"/>
        <w:jc w:val="both"/>
        <w:rPr>
          <w:rFonts w:cs="Times New Roman"/>
        </w:rPr>
      </w:pPr>
      <w:r>
        <w:rPr>
          <w:rFonts w:cs="Times New Roman"/>
        </w:rPr>
        <w:t xml:space="preserve">[enter update. TF made recommendation </w:t>
      </w:r>
      <w:r w:rsidR="009308F0">
        <w:rPr>
          <w:rFonts w:cs="Times New Roman"/>
        </w:rPr>
        <w:t xml:space="preserve">to include </w:t>
      </w:r>
      <w:r>
        <w:rPr>
          <w:rFonts w:cs="Times New Roman"/>
        </w:rPr>
        <w:t xml:space="preserve">this info in new employee orientation. </w:t>
      </w:r>
      <w:r w:rsidR="005160B4">
        <w:rPr>
          <w:rFonts w:cs="Times New Roman"/>
        </w:rPr>
        <w:t>Recommended</w:t>
      </w:r>
      <w:r>
        <w:rPr>
          <w:rFonts w:cs="Times New Roman"/>
        </w:rPr>
        <w:t xml:space="preserve"> to court leadership and to AOC Ed Services]</w:t>
      </w:r>
    </w:p>
    <w:p w14:paraId="5AF15D48" w14:textId="77777777" w:rsidR="00DB1946" w:rsidRPr="00DB1946" w:rsidRDefault="00DB1946" w:rsidP="00DB1946">
      <w:pPr>
        <w:spacing w:line="360" w:lineRule="auto"/>
        <w:ind w:left="360"/>
        <w:jc w:val="both"/>
        <w:rPr>
          <w:rFonts w:cs="Times New Roman"/>
        </w:rPr>
      </w:pPr>
    </w:p>
    <w:p w14:paraId="6541E365" w14:textId="789469FF" w:rsidR="0020735B" w:rsidRDefault="00A03C32" w:rsidP="00DD2407">
      <w:pPr>
        <w:pStyle w:val="ListParagraph"/>
        <w:numPr>
          <w:ilvl w:val="0"/>
          <w:numId w:val="18"/>
        </w:numPr>
        <w:spacing w:line="360" w:lineRule="auto"/>
        <w:jc w:val="both"/>
        <w:rPr>
          <w:rFonts w:ascii="Times New Roman" w:hAnsi="Times New Roman" w:cs="Times New Roman"/>
        </w:rPr>
      </w:pPr>
      <w:r w:rsidRPr="0020735B">
        <w:rPr>
          <w:rFonts w:ascii="Times New Roman" w:hAnsi="Times New Roman" w:cs="Times New Roman"/>
        </w:rPr>
        <w:lastRenderedPageBreak/>
        <w:t>That courts have a way by which the public and court staff can offer feedback on what they find troubling, misleading, or inaccurate about a court or its procedures.</w:t>
      </w:r>
      <w:r w:rsidR="0034352C" w:rsidRPr="0020735B">
        <w:rPr>
          <w:rFonts w:ascii="Times New Roman" w:hAnsi="Times New Roman" w:cs="Times New Roman"/>
        </w:rPr>
        <w:t xml:space="preserve"> </w:t>
      </w:r>
      <w:r w:rsidRPr="0020735B">
        <w:rPr>
          <w:rFonts w:ascii="Times New Roman" w:hAnsi="Times New Roman" w:cs="Times New Roman"/>
        </w:rPr>
        <w:t xml:space="preserve">A designated court staff member, in consultation with judicial </w:t>
      </w:r>
      <w:r w:rsidR="0034352C" w:rsidRPr="0020735B">
        <w:rPr>
          <w:rFonts w:ascii="Times New Roman" w:hAnsi="Times New Roman" w:cs="Times New Roman"/>
        </w:rPr>
        <w:t>leadership,</w:t>
      </w:r>
      <w:r w:rsidR="00D142EF">
        <w:rPr>
          <w:rStyle w:val="FootnoteReference"/>
          <w:rFonts w:ascii="Times New Roman" w:hAnsi="Times New Roman" w:cs="Times New Roman"/>
        </w:rPr>
        <w:footnoteReference w:id="6"/>
      </w:r>
      <w:r w:rsidR="0034352C" w:rsidRPr="0020735B">
        <w:rPr>
          <w:rFonts w:ascii="Times New Roman" w:hAnsi="Times New Roman" w:cs="Times New Roman"/>
        </w:rPr>
        <w:t xml:space="preserve"> should</w:t>
      </w:r>
      <w:r w:rsidRPr="0020735B">
        <w:rPr>
          <w:rFonts w:ascii="Times New Roman" w:hAnsi="Times New Roman" w:cs="Times New Roman"/>
        </w:rPr>
        <w:t xml:space="preserve"> resolve legitimate concerns and use the opportunity to clarify the fundamental concept of the role of justice and courts in society. An anonymous submission option is recommended</w:t>
      </w:r>
      <w:r w:rsidR="0020735B">
        <w:rPr>
          <w:rFonts w:ascii="Times New Roman" w:hAnsi="Times New Roman" w:cs="Times New Roman"/>
        </w:rPr>
        <w:t>.</w:t>
      </w:r>
    </w:p>
    <w:p w14:paraId="70B3497B" w14:textId="415FB3B9" w:rsidR="00DB1946" w:rsidRPr="00DB1946" w:rsidRDefault="00DB1946" w:rsidP="00DB1946">
      <w:pPr>
        <w:spacing w:line="360" w:lineRule="auto"/>
        <w:ind w:left="360"/>
        <w:jc w:val="both"/>
        <w:rPr>
          <w:rFonts w:cs="Times New Roman"/>
        </w:rPr>
      </w:pPr>
      <w:r>
        <w:rPr>
          <w:rFonts w:cs="Times New Roman"/>
        </w:rPr>
        <w:t>[enter update. Options for QR code survey in courts were recommended]</w:t>
      </w:r>
    </w:p>
    <w:p w14:paraId="626D6FD4" w14:textId="77777777" w:rsidR="0020735B" w:rsidRPr="0020735B" w:rsidRDefault="0020735B" w:rsidP="0020735B">
      <w:pPr>
        <w:pStyle w:val="ListParagraph"/>
        <w:spacing w:line="360" w:lineRule="auto"/>
        <w:jc w:val="both"/>
        <w:rPr>
          <w:rFonts w:ascii="Times New Roman" w:hAnsi="Times New Roman" w:cs="Times New Roman"/>
        </w:rPr>
      </w:pPr>
    </w:p>
    <w:p w14:paraId="563E2C8C" w14:textId="0F7E86CB" w:rsidR="00714B50" w:rsidRDefault="00A03C32" w:rsidP="00DD2407">
      <w:pPr>
        <w:pStyle w:val="ListParagraph"/>
        <w:numPr>
          <w:ilvl w:val="0"/>
          <w:numId w:val="18"/>
        </w:numPr>
        <w:spacing w:line="360" w:lineRule="auto"/>
        <w:jc w:val="both"/>
        <w:rPr>
          <w:rFonts w:ascii="Times New Roman" w:hAnsi="Times New Roman" w:cs="Times New Roman"/>
        </w:rPr>
      </w:pPr>
      <w:r w:rsidRPr="0020735B">
        <w:rPr>
          <w:rFonts w:ascii="Times New Roman" w:hAnsi="Times New Roman" w:cs="Times New Roman"/>
        </w:rPr>
        <w:t xml:space="preserve">That the AOC create a court-based “playbook” incorporating the concepts in this Report. Like a continuity of operations plan, this playbook could include sample response language, templated “letters to the editor,” guidance for social media postings, guidance on interacting with the media in response to a disinformation incident, and contact information for the AOC, NCSC, local bar associations, CCPIO, ABOTA, and others. Information from the playbook could be taught in judicial education classes and included in learning materials. Arizona’s playbook should incorporate work done in this field by the NCSC and the ABA’s 2018 publication, </w:t>
      </w:r>
      <w:r w:rsidRPr="00714B50">
        <w:rPr>
          <w:rFonts w:ascii="Times New Roman" w:hAnsi="Times New Roman" w:cs="Times New Roman"/>
          <w:i/>
          <w:iCs/>
        </w:rPr>
        <w:t>Rapid Response to Fake News, Misleading Statements, and Unjust Criticism of the Judiciary</w:t>
      </w:r>
      <w:r w:rsidR="00714B50">
        <w:rPr>
          <w:rStyle w:val="FootnoteReference"/>
          <w:rFonts w:ascii="Times New Roman" w:hAnsi="Times New Roman" w:cs="Times New Roman"/>
          <w:i/>
          <w:iCs/>
        </w:rPr>
        <w:footnoteReference w:id="7"/>
      </w:r>
      <w:r w:rsidR="0034352C" w:rsidRPr="0020735B">
        <w:rPr>
          <w:rFonts w:ascii="Times New Roman" w:hAnsi="Times New Roman" w:cs="Times New Roman"/>
        </w:rPr>
        <w:t xml:space="preserve"> </w:t>
      </w:r>
      <w:r w:rsidRPr="0020735B">
        <w:rPr>
          <w:rFonts w:ascii="Times New Roman" w:hAnsi="Times New Roman" w:cs="Times New Roman"/>
        </w:rPr>
        <w:t xml:space="preserve">which contains tips and recommendations for responding “rapidly and appropriately” to “inaccurate, unjustified, and simply false criticism of judges.” </w:t>
      </w:r>
    </w:p>
    <w:p w14:paraId="0405D146" w14:textId="4D027A7F" w:rsidR="00DB1946" w:rsidRPr="00DB1946" w:rsidRDefault="00DB1946" w:rsidP="00DB1946">
      <w:pPr>
        <w:spacing w:line="360" w:lineRule="auto"/>
        <w:ind w:left="360"/>
        <w:jc w:val="both"/>
        <w:rPr>
          <w:rFonts w:cs="Times New Roman"/>
        </w:rPr>
      </w:pPr>
      <w:r>
        <w:rPr>
          <w:rFonts w:cs="Times New Roman"/>
        </w:rPr>
        <w:t>[enter update. WG is finalizing the playbook. AOC will maintain going forward]</w:t>
      </w:r>
    </w:p>
    <w:p w14:paraId="2A3FD485" w14:textId="77777777" w:rsidR="00714B50" w:rsidRPr="00714B50" w:rsidRDefault="00714B50" w:rsidP="00714B50">
      <w:pPr>
        <w:pStyle w:val="ListParagraph"/>
        <w:rPr>
          <w:rFonts w:ascii="Times New Roman" w:hAnsi="Times New Roman" w:cs="Times New Roman"/>
        </w:rPr>
      </w:pPr>
    </w:p>
    <w:p w14:paraId="3AE9CBC6" w14:textId="73224103" w:rsidR="0020735B" w:rsidRDefault="00A03C32" w:rsidP="00DD2407">
      <w:pPr>
        <w:pStyle w:val="ListParagraph"/>
        <w:numPr>
          <w:ilvl w:val="0"/>
          <w:numId w:val="18"/>
        </w:numPr>
        <w:spacing w:line="360" w:lineRule="auto"/>
        <w:jc w:val="both"/>
        <w:rPr>
          <w:rFonts w:ascii="Times New Roman" w:hAnsi="Times New Roman" w:cs="Times New Roman"/>
        </w:rPr>
      </w:pPr>
      <w:r w:rsidRPr="00714B50">
        <w:rPr>
          <w:rFonts w:ascii="Times New Roman" w:hAnsi="Times New Roman" w:cs="Times New Roman"/>
        </w:rPr>
        <w:t>Incorporating information from the resources in this Report into an online and print mini guide to recognizing misinformation and disinformation as it applies to the judiciary. The mini guide should be made available at law libraries and public libraries, self-help centers, and through community partners.</w:t>
      </w:r>
      <w:r w:rsidR="0034352C" w:rsidRPr="00714B50">
        <w:rPr>
          <w:rFonts w:ascii="Times New Roman" w:hAnsi="Times New Roman" w:cs="Times New Roman"/>
        </w:rPr>
        <w:t xml:space="preserve"> </w:t>
      </w:r>
      <w:r w:rsidRPr="00714B50">
        <w:rPr>
          <w:rFonts w:ascii="Times New Roman" w:hAnsi="Times New Roman" w:cs="Times New Roman"/>
        </w:rPr>
        <w:t>It should provide tips for researching and verifying information received through social media and daily news broadcasts and publications, online or otherwise.</w:t>
      </w:r>
      <w:r w:rsidR="0034352C" w:rsidRPr="00714B50">
        <w:rPr>
          <w:rFonts w:ascii="Times New Roman" w:hAnsi="Times New Roman" w:cs="Times New Roman"/>
        </w:rPr>
        <w:t xml:space="preserve"> </w:t>
      </w:r>
      <w:r w:rsidRPr="00714B50">
        <w:rPr>
          <w:rFonts w:ascii="Times New Roman" w:hAnsi="Times New Roman" w:cs="Times New Roman"/>
        </w:rPr>
        <w:t xml:space="preserve">A helpful outline for developing a mini guide appears in Jeanne Mejeur’s 2013 article, </w:t>
      </w:r>
      <w:r w:rsidRPr="00714B50">
        <w:rPr>
          <w:rFonts w:ascii="Times New Roman" w:hAnsi="Times New Roman" w:cs="Times New Roman"/>
          <w:i/>
          <w:iCs/>
        </w:rPr>
        <w:t>How to Score a Perfect 10</w:t>
      </w:r>
      <w:r w:rsidRPr="00714B50">
        <w:rPr>
          <w:rFonts w:ascii="Times New Roman" w:hAnsi="Times New Roman" w:cs="Times New Roman"/>
        </w:rPr>
        <w:t>.</w:t>
      </w:r>
      <w:r w:rsidR="00714B50">
        <w:rPr>
          <w:rStyle w:val="FootnoteReference"/>
          <w:rFonts w:ascii="Times New Roman" w:hAnsi="Times New Roman" w:cs="Times New Roman"/>
        </w:rPr>
        <w:footnoteReference w:id="8"/>
      </w:r>
      <w:r w:rsidRPr="00714B50">
        <w:rPr>
          <w:rFonts w:ascii="Times New Roman" w:hAnsi="Times New Roman" w:cs="Times New Roman"/>
        </w:rPr>
        <w:t xml:space="preserve"> </w:t>
      </w:r>
    </w:p>
    <w:p w14:paraId="0424F8FE" w14:textId="2AB30AA6" w:rsidR="00DB1946" w:rsidRPr="00DB1946" w:rsidRDefault="00DB1946" w:rsidP="00DB1946">
      <w:pPr>
        <w:spacing w:line="360" w:lineRule="auto"/>
        <w:ind w:left="360"/>
        <w:jc w:val="both"/>
        <w:rPr>
          <w:rFonts w:cs="Times New Roman"/>
        </w:rPr>
      </w:pPr>
      <w:r>
        <w:rPr>
          <w:rFonts w:cs="Times New Roman"/>
        </w:rPr>
        <w:t>[update. TF completed one-pager in English and Spanish. AOC will maintain and distribute.]</w:t>
      </w:r>
    </w:p>
    <w:p w14:paraId="48AB397E" w14:textId="77777777" w:rsidR="0020735B" w:rsidRPr="0020735B" w:rsidRDefault="0020735B" w:rsidP="0020735B">
      <w:pPr>
        <w:pStyle w:val="ListParagraph"/>
        <w:spacing w:line="360" w:lineRule="auto"/>
        <w:jc w:val="both"/>
        <w:rPr>
          <w:rFonts w:ascii="Times New Roman" w:hAnsi="Times New Roman" w:cs="Times New Roman"/>
        </w:rPr>
      </w:pPr>
    </w:p>
    <w:p w14:paraId="1BD1D3A5" w14:textId="31AC47C4" w:rsidR="0020735B" w:rsidRDefault="00A03C32" w:rsidP="00DD2407">
      <w:pPr>
        <w:pStyle w:val="ListParagraph"/>
        <w:numPr>
          <w:ilvl w:val="0"/>
          <w:numId w:val="18"/>
        </w:numPr>
        <w:spacing w:line="360" w:lineRule="auto"/>
        <w:jc w:val="both"/>
        <w:rPr>
          <w:rFonts w:ascii="Times New Roman" w:hAnsi="Times New Roman" w:cs="Times New Roman"/>
        </w:rPr>
      </w:pPr>
      <w:r w:rsidRPr="0020735B">
        <w:rPr>
          <w:rFonts w:ascii="Times New Roman" w:hAnsi="Times New Roman" w:cs="Times New Roman"/>
        </w:rPr>
        <w:t>That where individual courts can do so, they develop and implement court-wide standards and guidelines for court documents and communication, commonly called “branding” or “brand identity.”</w:t>
      </w:r>
      <w:r w:rsidR="0034352C" w:rsidRPr="0020735B">
        <w:rPr>
          <w:rFonts w:ascii="Times New Roman" w:hAnsi="Times New Roman" w:cs="Times New Roman"/>
        </w:rPr>
        <w:t xml:space="preserve"> </w:t>
      </w:r>
      <w:r w:rsidRPr="0020735B">
        <w:rPr>
          <w:rFonts w:ascii="Times New Roman" w:hAnsi="Times New Roman" w:cs="Times New Roman"/>
        </w:rPr>
        <w:t>Branding provides a consistent, unique collection of fonts, colors, and seals applied to court-provided communication.</w:t>
      </w:r>
      <w:r w:rsidR="0034352C" w:rsidRPr="0020735B">
        <w:rPr>
          <w:rFonts w:ascii="Times New Roman" w:hAnsi="Times New Roman" w:cs="Times New Roman"/>
        </w:rPr>
        <w:t xml:space="preserve"> </w:t>
      </w:r>
      <w:r w:rsidRPr="0020735B">
        <w:rPr>
          <w:rFonts w:ascii="Times New Roman" w:hAnsi="Times New Roman" w:cs="Times New Roman"/>
        </w:rPr>
        <w:t>Branding makes fake or fraudulent documents and records easier to identify as inconsistent with court standards. A city or county’s communications division can often help the court design its branding.</w:t>
      </w:r>
    </w:p>
    <w:p w14:paraId="3949EC4A" w14:textId="46E09C0E" w:rsidR="00DB1946" w:rsidRPr="00DB1946" w:rsidRDefault="00DB1946" w:rsidP="00DB1946">
      <w:pPr>
        <w:spacing w:line="360" w:lineRule="auto"/>
        <w:ind w:left="360"/>
        <w:jc w:val="both"/>
        <w:rPr>
          <w:rFonts w:cs="Times New Roman"/>
        </w:rPr>
      </w:pPr>
      <w:r>
        <w:rPr>
          <w:rFonts w:cs="Times New Roman"/>
        </w:rPr>
        <w:t>[update. The AOC will update and maintain this resource.]</w:t>
      </w:r>
    </w:p>
    <w:p w14:paraId="75A888DE" w14:textId="77777777" w:rsidR="0020735B" w:rsidRPr="0020735B" w:rsidRDefault="0020735B" w:rsidP="0020735B">
      <w:pPr>
        <w:pStyle w:val="ListParagraph"/>
        <w:spacing w:line="360" w:lineRule="auto"/>
        <w:jc w:val="both"/>
        <w:rPr>
          <w:rFonts w:ascii="Times New Roman" w:hAnsi="Times New Roman" w:cs="Times New Roman"/>
        </w:rPr>
      </w:pPr>
    </w:p>
    <w:p w14:paraId="117FDFE8" w14:textId="31CFAE36" w:rsidR="00A03C32" w:rsidRDefault="00A03C32" w:rsidP="00DD2407">
      <w:pPr>
        <w:pStyle w:val="ListParagraph"/>
        <w:numPr>
          <w:ilvl w:val="0"/>
          <w:numId w:val="18"/>
        </w:numPr>
        <w:spacing w:line="360" w:lineRule="auto"/>
        <w:jc w:val="both"/>
        <w:rPr>
          <w:rFonts w:ascii="Times New Roman" w:hAnsi="Times New Roman" w:cs="Times New Roman"/>
        </w:rPr>
      </w:pPr>
      <w:r w:rsidRPr="0020735B">
        <w:rPr>
          <w:rFonts w:ascii="Times New Roman" w:hAnsi="Times New Roman" w:cs="Times New Roman"/>
        </w:rPr>
        <w:t>That the AOC and individual courts add prominent language to standardized court forms and other court-produced documents directing people to verify information from official court records.</w:t>
      </w:r>
      <w:r w:rsidR="0034352C" w:rsidRPr="0020735B">
        <w:rPr>
          <w:rFonts w:ascii="Times New Roman" w:hAnsi="Times New Roman" w:cs="Times New Roman"/>
        </w:rPr>
        <w:t xml:space="preserve"> </w:t>
      </w:r>
      <w:r w:rsidRPr="0020735B">
        <w:rPr>
          <w:rFonts w:ascii="Times New Roman" w:hAnsi="Times New Roman" w:cs="Times New Roman"/>
        </w:rPr>
        <w:t>For example, a header or footer with language such as: “To verify the accuracy of this document, contact the court named above/below.”</w:t>
      </w:r>
    </w:p>
    <w:p w14:paraId="075B2164" w14:textId="1E4CDA67" w:rsidR="00DB1946" w:rsidRPr="00DB1946" w:rsidRDefault="00DB1946" w:rsidP="00DB1946">
      <w:pPr>
        <w:spacing w:line="360" w:lineRule="auto"/>
        <w:ind w:left="360"/>
        <w:jc w:val="both"/>
        <w:rPr>
          <w:rFonts w:cs="Times New Roman"/>
        </w:rPr>
      </w:pPr>
      <w:r>
        <w:rPr>
          <w:rFonts w:cs="Times New Roman"/>
        </w:rPr>
        <w:t xml:space="preserve">[update. The TF made this recommendation to court </w:t>
      </w:r>
      <w:r w:rsidR="005160B4">
        <w:rPr>
          <w:rFonts w:cs="Times New Roman"/>
        </w:rPr>
        <w:t>leadership</w:t>
      </w:r>
      <w:r>
        <w:rPr>
          <w:rFonts w:cs="Times New Roman"/>
        </w:rPr>
        <w:t xml:space="preserve"> and provided sample text]</w:t>
      </w:r>
    </w:p>
    <w:p w14:paraId="47BBE70F" w14:textId="77777777" w:rsidR="00A03C32" w:rsidRPr="00DA6DBB" w:rsidRDefault="00A03C32" w:rsidP="00DA6DBB">
      <w:pPr>
        <w:spacing w:line="360" w:lineRule="auto"/>
        <w:jc w:val="both"/>
        <w:rPr>
          <w:rFonts w:cs="Times New Roman"/>
        </w:rPr>
      </w:pPr>
    </w:p>
    <w:p w14:paraId="674C0CE7" w14:textId="1E88F1D9" w:rsidR="00754323" w:rsidRPr="00DB1946" w:rsidRDefault="00A03C32" w:rsidP="00207D35">
      <w:pPr>
        <w:pStyle w:val="ListParagraph"/>
        <w:numPr>
          <w:ilvl w:val="0"/>
          <w:numId w:val="18"/>
        </w:numPr>
        <w:spacing w:line="360" w:lineRule="auto"/>
        <w:jc w:val="both"/>
        <w:rPr>
          <w:rFonts w:ascii="Times New Roman" w:hAnsi="Times New Roman" w:cs="Times New Roman"/>
        </w:rPr>
      </w:pPr>
      <w:r w:rsidRPr="00207D35">
        <w:rPr>
          <w:rFonts w:ascii="Times New Roman" w:hAnsi="Times New Roman" w:cs="Times New Roman"/>
        </w:rPr>
        <w:t>Rule 2.10(E):</w:t>
      </w:r>
      <w:r w:rsidR="00F92AC0" w:rsidRPr="00207D35">
        <w:rPr>
          <w:rStyle w:val="FootnoteReference"/>
          <w:rFonts w:ascii="Times New Roman" w:hAnsi="Times New Roman" w:cs="Times New Roman"/>
        </w:rPr>
        <w:footnoteReference w:id="9"/>
      </w:r>
      <w:r w:rsidR="0034352C" w:rsidRPr="00207D35">
        <w:rPr>
          <w:rFonts w:ascii="Times New Roman" w:hAnsi="Times New Roman" w:cs="Times New Roman"/>
        </w:rPr>
        <w:t xml:space="preserve"> </w:t>
      </w:r>
      <w:r w:rsidRPr="00207D35">
        <w:rPr>
          <w:rFonts w:ascii="Times New Roman" w:hAnsi="Times New Roman" w:cs="Times New Roman"/>
          <w:i/>
          <w:iCs/>
        </w:rPr>
        <w:t>Subject to the requirements of paragraph (A), a judge may respond directly or through a third party to allegations in the media or elsewhere concerning the judge’s conduct in a matter</w:t>
      </w:r>
      <w:r w:rsidRPr="00207D35">
        <w:rPr>
          <w:rFonts w:ascii="Times New Roman" w:hAnsi="Times New Roman" w:cs="Times New Roman"/>
        </w:rPr>
        <w:t xml:space="preserve"> </w:t>
      </w:r>
      <w:r w:rsidRPr="00207D35">
        <w:rPr>
          <w:rFonts w:ascii="Times New Roman" w:hAnsi="Times New Roman" w:cs="Times New Roman"/>
          <w:u w:val="single"/>
        </w:rPr>
        <w:t>or to false, misleading, or unsubstantiated allegations or attacks upon the judge’s reputation from whatever source in writing, via social media or broadcast media or otherwise.</w:t>
      </w:r>
    </w:p>
    <w:p w14:paraId="06B2C6CF" w14:textId="1856DB1D" w:rsidR="00DB1946" w:rsidRPr="00DB1946" w:rsidRDefault="00EB763B" w:rsidP="00DB1946">
      <w:pPr>
        <w:spacing w:line="360" w:lineRule="auto"/>
        <w:ind w:left="360"/>
        <w:jc w:val="both"/>
        <w:rPr>
          <w:rFonts w:cs="Times New Roman"/>
        </w:rPr>
      </w:pPr>
      <w:r>
        <w:rPr>
          <w:rFonts w:cs="Times New Roman"/>
        </w:rPr>
        <w:t xml:space="preserve">The Arizona Supreme Court adopted the Task Force’s proposed rule and comment changes on August 25, 2021, with a January 1, 2022 effective date. The markup language is available at </w:t>
      </w:r>
      <w:hyperlink r:id="rId19" w:history="1">
        <w:r w:rsidRPr="0015257F">
          <w:rPr>
            <w:rStyle w:val="Hyperlink"/>
            <w:rFonts w:cs="Times New Roman"/>
          </w:rPr>
          <w:t>https://www.azcourts.gov/Portals/20/2021%20Rules/R-21-0001%20Rules%20Order.pdf</w:t>
        </w:r>
      </w:hyperlink>
      <w:r>
        <w:rPr>
          <w:rFonts w:cs="Times New Roman"/>
        </w:rPr>
        <w:t>. Conforming changes to the Arizona Code of Judicial Administration as they apply to elected clerks of court and to judicial branch employees w</w:t>
      </w:r>
      <w:r w:rsidR="00595BA9">
        <w:rPr>
          <w:rFonts w:cs="Times New Roman"/>
        </w:rPr>
        <w:t>ill go before the Court in December 2021 with an effective date of January 1, 2022 if approved by the Court.</w:t>
      </w:r>
    </w:p>
    <w:p w14:paraId="7BF8AA5F" w14:textId="77777777" w:rsidR="00754323" w:rsidRPr="00754323" w:rsidRDefault="00754323" w:rsidP="00754323">
      <w:pPr>
        <w:pStyle w:val="ListParagraph"/>
        <w:spacing w:line="360" w:lineRule="auto"/>
        <w:jc w:val="both"/>
        <w:rPr>
          <w:rFonts w:ascii="Times New Roman" w:hAnsi="Times New Roman" w:cs="Times New Roman"/>
        </w:rPr>
      </w:pPr>
    </w:p>
    <w:p w14:paraId="7117588F" w14:textId="30A1A8F6" w:rsidR="00A03C32" w:rsidRPr="00595BA9" w:rsidRDefault="00A03C32" w:rsidP="00DD2407">
      <w:pPr>
        <w:pStyle w:val="ListParagraph"/>
        <w:numPr>
          <w:ilvl w:val="0"/>
          <w:numId w:val="18"/>
        </w:numPr>
        <w:spacing w:line="360" w:lineRule="auto"/>
        <w:jc w:val="both"/>
        <w:rPr>
          <w:rFonts w:ascii="Times New Roman" w:hAnsi="Times New Roman" w:cs="Times New Roman"/>
        </w:rPr>
      </w:pPr>
      <w:r w:rsidRPr="00207D35">
        <w:rPr>
          <w:rFonts w:ascii="Times New Roman" w:hAnsi="Times New Roman" w:cs="Times New Roman"/>
        </w:rPr>
        <w:lastRenderedPageBreak/>
        <w:t>Rule 2.10,</w:t>
      </w:r>
      <w:r w:rsidR="00F92AC0" w:rsidRPr="00207D35">
        <w:rPr>
          <w:rStyle w:val="FootnoteReference"/>
          <w:rFonts w:ascii="Times New Roman" w:hAnsi="Times New Roman" w:cs="Times New Roman"/>
        </w:rPr>
        <w:footnoteReference w:id="10"/>
      </w:r>
      <w:r w:rsidR="0034352C" w:rsidRPr="00207D35">
        <w:rPr>
          <w:rFonts w:ascii="Times New Roman" w:hAnsi="Times New Roman" w:cs="Times New Roman"/>
        </w:rPr>
        <w:t xml:space="preserve"> </w:t>
      </w:r>
      <w:r w:rsidRPr="00207D35">
        <w:rPr>
          <w:rFonts w:ascii="Times New Roman" w:hAnsi="Times New Roman" w:cs="Times New Roman"/>
        </w:rPr>
        <w:t>Comment 3:</w:t>
      </w:r>
      <w:r w:rsidR="0034352C" w:rsidRPr="00207D35">
        <w:rPr>
          <w:rFonts w:ascii="Times New Roman" w:hAnsi="Times New Roman" w:cs="Times New Roman"/>
        </w:rPr>
        <w:t xml:space="preserve"> </w:t>
      </w:r>
      <w:r w:rsidRPr="00207D35">
        <w:rPr>
          <w:rFonts w:ascii="Times New Roman" w:hAnsi="Times New Roman" w:cs="Times New Roman"/>
          <w:i/>
          <w:iCs/>
        </w:rPr>
        <w:t>Depending upon the circumstances, the judge should consider whether it may be preferable for a third party, rather than the judge, to respond or issue statements in connections with allegations concerning the judge’s conduct in a matter</w:t>
      </w:r>
      <w:r w:rsidRPr="00207D35">
        <w:rPr>
          <w:rFonts w:ascii="Times New Roman" w:hAnsi="Times New Roman" w:cs="Times New Roman"/>
        </w:rPr>
        <w:t xml:space="preserve"> </w:t>
      </w:r>
      <w:r w:rsidRPr="00207D35">
        <w:rPr>
          <w:rFonts w:ascii="Times New Roman" w:hAnsi="Times New Roman" w:cs="Times New Roman"/>
          <w:u w:val="single"/>
        </w:rPr>
        <w:t>or to false, misleading, or unsubstantiated allegations or attacks upon the judge’s reputation.</w:t>
      </w:r>
    </w:p>
    <w:p w14:paraId="44DBB89D" w14:textId="07A6523E" w:rsidR="00595BA9" w:rsidRPr="00595BA9" w:rsidRDefault="00595BA9" w:rsidP="00595BA9">
      <w:pPr>
        <w:spacing w:line="360" w:lineRule="auto"/>
        <w:ind w:left="360"/>
        <w:jc w:val="both"/>
        <w:rPr>
          <w:rFonts w:cs="Times New Roman"/>
        </w:rPr>
      </w:pPr>
      <w:r>
        <w:rPr>
          <w:rFonts w:cs="Times New Roman"/>
        </w:rPr>
        <w:t xml:space="preserve">The Arizona Supreme Court adopted the Task Force’s proposed rule and comment changes on August 25, 2021, with a January 1, 2022 effective date. The markup language is available at </w:t>
      </w:r>
      <w:hyperlink r:id="rId20" w:history="1">
        <w:r w:rsidRPr="0015257F">
          <w:rPr>
            <w:rStyle w:val="Hyperlink"/>
            <w:rFonts w:cs="Times New Roman"/>
          </w:rPr>
          <w:t>https://www.azcourts.gov/Portals/20/2021%20Rules/R-21-0001%20Rules%20Order.pdf</w:t>
        </w:r>
      </w:hyperlink>
      <w:r>
        <w:rPr>
          <w:rFonts w:cs="Times New Roman"/>
        </w:rPr>
        <w:t>. Conforming changes to the Arizona Code of Judicial Administration as they apply to elected clerks of court and to judicial branch employees will go before the Court in December 2021 with an effective date of January 1, 2022 if approved by the Court.</w:t>
      </w:r>
    </w:p>
    <w:p w14:paraId="27AD5A9D" w14:textId="77777777" w:rsidR="00A03C32" w:rsidRPr="00DA6DBB" w:rsidRDefault="00A03C32" w:rsidP="00DA6DBB">
      <w:pPr>
        <w:spacing w:line="360" w:lineRule="auto"/>
        <w:jc w:val="both"/>
        <w:rPr>
          <w:rFonts w:cs="Times New Roman"/>
        </w:rPr>
      </w:pPr>
    </w:p>
    <w:p w14:paraId="195973BB" w14:textId="610B35E0" w:rsidR="00F3271D" w:rsidRDefault="00A03C32" w:rsidP="00DD2407">
      <w:pPr>
        <w:pStyle w:val="ListParagraph"/>
        <w:numPr>
          <w:ilvl w:val="0"/>
          <w:numId w:val="18"/>
        </w:numPr>
        <w:spacing w:line="360" w:lineRule="auto"/>
        <w:jc w:val="both"/>
        <w:rPr>
          <w:rFonts w:ascii="Times New Roman" w:hAnsi="Times New Roman" w:cs="Times New Roman"/>
        </w:rPr>
      </w:pPr>
      <w:r w:rsidRPr="00F3271D">
        <w:rPr>
          <w:rFonts w:ascii="Times New Roman" w:hAnsi="Times New Roman" w:cs="Times New Roman"/>
        </w:rPr>
        <w:t>That a Rapid Response Team be coordinated through a law school clinic, bar association, or other entity familiar with court-related issues and that would be in contact with courts and judicial branch individuals, but with independent authority and controls. The recommended makeup of a Rapid Response Team would include attorneys; public, non-attorney members; academics; members of the media; court public information officers or the clerk, administrator, or other designee who fills this role; and retired judges; or other disciplines as appropriate.</w:t>
      </w:r>
    </w:p>
    <w:p w14:paraId="061EAB8B" w14:textId="20DF3EC4" w:rsidR="00987830" w:rsidRPr="00987830" w:rsidRDefault="00987830" w:rsidP="00987830">
      <w:pPr>
        <w:spacing w:line="360" w:lineRule="auto"/>
        <w:ind w:left="360"/>
        <w:jc w:val="both"/>
        <w:rPr>
          <w:rFonts w:cs="Times New Roman"/>
        </w:rPr>
      </w:pPr>
      <w:r>
        <w:rPr>
          <w:rFonts w:cs="Times New Roman"/>
        </w:rPr>
        <w:t>[update that the Arizona Judges Association will take on the role of Rapid Response Team for Arizona’s judiciary. The AJA will remain in contact with the AOC’s PIO to identify and respond to disinformation and the AOC PIO will remain in contact with NCSC for updates and tracking.</w:t>
      </w:r>
    </w:p>
    <w:p w14:paraId="50A653FF" w14:textId="77777777" w:rsidR="00914905" w:rsidRPr="00F3271D" w:rsidRDefault="00914905" w:rsidP="00914905">
      <w:pPr>
        <w:pStyle w:val="ListParagraph"/>
        <w:spacing w:line="360" w:lineRule="auto"/>
        <w:jc w:val="both"/>
        <w:rPr>
          <w:rFonts w:ascii="Times New Roman" w:hAnsi="Times New Roman" w:cs="Times New Roman"/>
        </w:rPr>
      </w:pPr>
    </w:p>
    <w:p w14:paraId="794D99F1" w14:textId="292B30CB" w:rsidR="00F3271D" w:rsidRDefault="00A03C32" w:rsidP="00DD2407">
      <w:pPr>
        <w:pStyle w:val="ListParagraph"/>
        <w:numPr>
          <w:ilvl w:val="0"/>
          <w:numId w:val="18"/>
        </w:numPr>
        <w:spacing w:line="360" w:lineRule="auto"/>
        <w:jc w:val="both"/>
        <w:rPr>
          <w:rFonts w:ascii="Times New Roman" w:hAnsi="Times New Roman" w:cs="Times New Roman"/>
        </w:rPr>
      </w:pPr>
      <w:r w:rsidRPr="00F3271D">
        <w:rPr>
          <w:rFonts w:ascii="Times New Roman" w:hAnsi="Times New Roman" w:cs="Times New Roman"/>
        </w:rPr>
        <w:t>That a comment to Arizona Code of Judicial Conduct Rule 2.10 should be published to provide guidance as to when and how such instances should be addressed.</w:t>
      </w:r>
    </w:p>
    <w:p w14:paraId="1B5CAF0C" w14:textId="6BAA3F46" w:rsidR="00987830" w:rsidRPr="00987830" w:rsidRDefault="00987830" w:rsidP="00987830">
      <w:pPr>
        <w:spacing w:line="360" w:lineRule="auto"/>
        <w:ind w:left="360"/>
        <w:jc w:val="both"/>
        <w:rPr>
          <w:rFonts w:cs="Times New Roman"/>
        </w:rPr>
      </w:pPr>
      <w:r>
        <w:rPr>
          <w:rFonts w:cs="Times New Roman"/>
        </w:rPr>
        <w:t xml:space="preserve">This recommendation was </w:t>
      </w:r>
      <w:r w:rsidR="005160B4">
        <w:rPr>
          <w:rFonts w:cs="Times New Roman"/>
        </w:rPr>
        <w:t>completed</w:t>
      </w:r>
      <w:r>
        <w:rPr>
          <w:rFonts w:cs="Times New Roman"/>
        </w:rPr>
        <w:t xml:space="preserve"> through recommendations 16 and 17, with proposed updates to the codes of conduct for judges, clerks, and judicial branch </w:t>
      </w:r>
      <w:r w:rsidR="005160B4">
        <w:rPr>
          <w:rFonts w:cs="Times New Roman"/>
        </w:rPr>
        <w:t>employees</w:t>
      </w:r>
      <w:r>
        <w:rPr>
          <w:rFonts w:cs="Times New Roman"/>
        </w:rPr>
        <w:t xml:space="preserve">. Part of the changes to the judicial code included removing references to pending or </w:t>
      </w:r>
      <w:r w:rsidR="005160B4">
        <w:rPr>
          <w:rFonts w:cs="Times New Roman"/>
        </w:rPr>
        <w:t>impending</w:t>
      </w:r>
      <w:r>
        <w:rPr>
          <w:rFonts w:cs="Times New Roman"/>
        </w:rPr>
        <w:t xml:space="preserve"> matters, </w:t>
      </w:r>
      <w:r>
        <w:rPr>
          <w:rFonts w:cs="Times New Roman"/>
        </w:rPr>
        <w:lastRenderedPageBreak/>
        <w:t>clarifying that misinformation and disinformation can be responded to or corrected at any time that would otherwise be appropriate under the codes of conduct.</w:t>
      </w:r>
    </w:p>
    <w:p w14:paraId="54299E3C" w14:textId="77777777" w:rsidR="00293700" w:rsidRPr="00293700" w:rsidRDefault="00293700" w:rsidP="00293700">
      <w:pPr>
        <w:pStyle w:val="ListParagraph"/>
        <w:spacing w:line="360" w:lineRule="auto"/>
        <w:jc w:val="both"/>
        <w:rPr>
          <w:rFonts w:ascii="Times New Roman" w:hAnsi="Times New Roman" w:cs="Times New Roman"/>
        </w:rPr>
      </w:pPr>
    </w:p>
    <w:p w14:paraId="5C84A27E" w14:textId="7B68F0C2" w:rsidR="00A03C32" w:rsidRDefault="00A03C32" w:rsidP="00DD2407">
      <w:pPr>
        <w:pStyle w:val="ListParagraph"/>
        <w:numPr>
          <w:ilvl w:val="0"/>
          <w:numId w:val="18"/>
        </w:numPr>
        <w:spacing w:line="360" w:lineRule="auto"/>
        <w:jc w:val="both"/>
        <w:rPr>
          <w:rFonts w:ascii="Times New Roman" w:hAnsi="Times New Roman" w:cs="Times New Roman"/>
        </w:rPr>
      </w:pPr>
      <w:r w:rsidRPr="00F3271D">
        <w:rPr>
          <w:rFonts w:ascii="Times New Roman" w:hAnsi="Times New Roman" w:cs="Times New Roman"/>
        </w:rPr>
        <w:t>That the AOC encourage and seek the participation of the NCSC to investigate the scope and the possibility of establishing a multi-state Local/National Disinformation Study Network consisting of cooperating groups from several states.</w:t>
      </w:r>
    </w:p>
    <w:p w14:paraId="03E94D06" w14:textId="27BDB995" w:rsidR="00374ECE" w:rsidRPr="00374ECE" w:rsidRDefault="00374ECE" w:rsidP="00374ECE">
      <w:pPr>
        <w:spacing w:line="360" w:lineRule="auto"/>
        <w:ind w:left="360"/>
        <w:jc w:val="both"/>
        <w:rPr>
          <w:rFonts w:cs="Times New Roman"/>
        </w:rPr>
      </w:pPr>
      <w:r>
        <w:rPr>
          <w:rFonts w:cs="Times New Roman"/>
        </w:rPr>
        <w:t xml:space="preserve">[update. The Task Force confirmed with the NCSC that Arizona remains available to coordinate and participate in further misinformation and </w:t>
      </w:r>
      <w:r w:rsidR="005160B4">
        <w:rPr>
          <w:rFonts w:cs="Times New Roman"/>
        </w:rPr>
        <w:t>disinformation</w:t>
      </w:r>
      <w:r>
        <w:rPr>
          <w:rFonts w:cs="Times New Roman"/>
        </w:rPr>
        <w:t xml:space="preserve"> studies.]</w:t>
      </w:r>
    </w:p>
    <w:p w14:paraId="675A9BE8" w14:textId="77777777" w:rsidR="00A03C32" w:rsidRPr="00DA6DBB" w:rsidRDefault="00A03C32" w:rsidP="00DA6DBB">
      <w:pPr>
        <w:spacing w:line="360" w:lineRule="auto"/>
        <w:jc w:val="both"/>
        <w:rPr>
          <w:rFonts w:cs="Times New Roman"/>
        </w:rPr>
      </w:pPr>
    </w:p>
    <w:p w14:paraId="68E0D4AF" w14:textId="0AEC14D4" w:rsidR="00F3271D" w:rsidRDefault="00A03C32" w:rsidP="00DD2407">
      <w:pPr>
        <w:pStyle w:val="ListParagraph"/>
        <w:numPr>
          <w:ilvl w:val="0"/>
          <w:numId w:val="18"/>
        </w:numPr>
        <w:spacing w:line="360" w:lineRule="auto"/>
        <w:jc w:val="both"/>
        <w:rPr>
          <w:rFonts w:ascii="Times New Roman" w:hAnsi="Times New Roman" w:cs="Times New Roman"/>
        </w:rPr>
      </w:pPr>
      <w:r w:rsidRPr="00F3271D">
        <w:rPr>
          <w:rFonts w:ascii="Times New Roman" w:hAnsi="Times New Roman" w:cs="Times New Roman"/>
        </w:rPr>
        <w:t>That the AOC extend its partnership with the NCSC and establish a workgroup specifically tasked to work with them in this critical endeavor.</w:t>
      </w:r>
    </w:p>
    <w:p w14:paraId="1DE7BA3F" w14:textId="78D9FC4D" w:rsidR="00237140" w:rsidRPr="00237140" w:rsidRDefault="00237140" w:rsidP="00237140">
      <w:pPr>
        <w:spacing w:line="360" w:lineRule="auto"/>
        <w:ind w:left="360"/>
        <w:jc w:val="both"/>
        <w:rPr>
          <w:rFonts w:cs="Times New Roman"/>
        </w:rPr>
      </w:pPr>
      <w:r>
        <w:rPr>
          <w:rFonts w:cs="Times New Roman"/>
        </w:rPr>
        <w:t xml:space="preserve">Like recommendation 20 above, the Task Force confirmed with the NCSC that Arizona remains available to coordinate and participate in a workgroup tasked with further review of misinformation and </w:t>
      </w:r>
      <w:r w:rsidR="005160B4">
        <w:rPr>
          <w:rFonts w:cs="Times New Roman"/>
        </w:rPr>
        <w:t>disinformation</w:t>
      </w:r>
      <w:r>
        <w:rPr>
          <w:rFonts w:cs="Times New Roman"/>
        </w:rPr>
        <w:t xml:space="preserve"> issues, locally and nationally.</w:t>
      </w:r>
    </w:p>
    <w:p w14:paraId="7DB61358" w14:textId="77777777" w:rsidR="00F3271D" w:rsidRPr="00F3271D" w:rsidRDefault="00F3271D" w:rsidP="00F3271D">
      <w:pPr>
        <w:pStyle w:val="ListParagraph"/>
        <w:spacing w:line="360" w:lineRule="auto"/>
        <w:jc w:val="both"/>
        <w:rPr>
          <w:rFonts w:ascii="Times New Roman" w:hAnsi="Times New Roman" w:cs="Times New Roman"/>
        </w:rPr>
      </w:pPr>
    </w:p>
    <w:p w14:paraId="21C17B2E" w14:textId="4FDD3D02" w:rsidR="00F3271D" w:rsidRDefault="00A03C32" w:rsidP="00DD2407">
      <w:pPr>
        <w:pStyle w:val="ListParagraph"/>
        <w:numPr>
          <w:ilvl w:val="0"/>
          <w:numId w:val="18"/>
        </w:numPr>
        <w:spacing w:line="360" w:lineRule="auto"/>
        <w:jc w:val="both"/>
        <w:rPr>
          <w:rFonts w:ascii="Times New Roman" w:hAnsi="Times New Roman" w:cs="Times New Roman"/>
        </w:rPr>
      </w:pPr>
      <w:r w:rsidRPr="00F3271D">
        <w:rPr>
          <w:rFonts w:ascii="Times New Roman" w:hAnsi="Times New Roman" w:cs="Times New Roman"/>
        </w:rPr>
        <w:t>That the AOC partner with ABOTA in countering disinformation in Arizona’s courts.</w:t>
      </w:r>
    </w:p>
    <w:p w14:paraId="757A5329" w14:textId="61BE0511" w:rsidR="00237140" w:rsidRPr="00237140" w:rsidRDefault="00237140" w:rsidP="00237140">
      <w:pPr>
        <w:spacing w:line="360" w:lineRule="auto"/>
        <w:ind w:left="360"/>
        <w:jc w:val="both"/>
        <w:rPr>
          <w:rFonts w:cs="Times New Roman"/>
        </w:rPr>
      </w:pPr>
      <w:r>
        <w:rPr>
          <w:rFonts w:cs="Times New Roman"/>
        </w:rPr>
        <w:t>[update. The Task Force established a local connection with ABOTA and ACTL. In October 2021, a judicial decision in a controversial issue drew criticism from the executive branch of government. ACTL issued a statement in response. See Appendix xx (add ACTL letter)]</w:t>
      </w:r>
    </w:p>
    <w:p w14:paraId="1E15F73E" w14:textId="4D110A35" w:rsidR="00F3271D" w:rsidRPr="00F3271D" w:rsidRDefault="00A03C32" w:rsidP="00F3271D">
      <w:pPr>
        <w:pStyle w:val="ListParagraph"/>
        <w:spacing w:line="360" w:lineRule="auto"/>
        <w:jc w:val="both"/>
        <w:rPr>
          <w:rFonts w:ascii="Times New Roman" w:hAnsi="Times New Roman" w:cs="Times New Roman"/>
        </w:rPr>
      </w:pPr>
      <w:r w:rsidRPr="00F3271D">
        <w:rPr>
          <w:rFonts w:ascii="Times New Roman" w:hAnsi="Times New Roman" w:cs="Times New Roman"/>
        </w:rPr>
        <w:t xml:space="preserve"> </w:t>
      </w:r>
    </w:p>
    <w:p w14:paraId="68EFA06D" w14:textId="51D53CA2" w:rsidR="00A03C32" w:rsidRDefault="00A03C32" w:rsidP="00DA6DBB">
      <w:pPr>
        <w:pStyle w:val="ListParagraph"/>
        <w:numPr>
          <w:ilvl w:val="0"/>
          <w:numId w:val="18"/>
        </w:numPr>
        <w:spacing w:line="360" w:lineRule="auto"/>
        <w:jc w:val="both"/>
        <w:rPr>
          <w:rFonts w:ascii="Times New Roman" w:hAnsi="Times New Roman" w:cs="Times New Roman"/>
        </w:rPr>
      </w:pPr>
      <w:r w:rsidRPr="00F3271D">
        <w:rPr>
          <w:rFonts w:ascii="Times New Roman" w:hAnsi="Times New Roman" w:cs="Times New Roman"/>
        </w:rPr>
        <w:t>That Task Force members stay involved in the work required to bring the NCSC, ABOTA, and Arizona’s courts together in establishing and pursuing these efforts.</w:t>
      </w:r>
    </w:p>
    <w:p w14:paraId="7C83FC6C" w14:textId="7ABDA2A8" w:rsidR="00237140" w:rsidRPr="00237140" w:rsidRDefault="00237140" w:rsidP="00237140">
      <w:pPr>
        <w:spacing w:line="360" w:lineRule="auto"/>
        <w:ind w:left="360"/>
        <w:jc w:val="both"/>
        <w:rPr>
          <w:rFonts w:cs="Times New Roman"/>
        </w:rPr>
      </w:pPr>
      <w:r>
        <w:rPr>
          <w:rFonts w:cs="Times New Roman"/>
        </w:rPr>
        <w:t>[update. Task Force members have indi</w:t>
      </w:r>
      <w:r w:rsidR="005160B4">
        <w:rPr>
          <w:rFonts w:cs="Times New Roman"/>
        </w:rPr>
        <w:t>vidu</w:t>
      </w:r>
      <w:r>
        <w:rPr>
          <w:rFonts w:cs="Times New Roman"/>
        </w:rPr>
        <w:t xml:space="preserve">ally committed to taking part in follow-up efforts after the Task Force’s conclusion. Examples include the </w:t>
      </w:r>
      <w:r w:rsidR="005160B4">
        <w:rPr>
          <w:rFonts w:cs="Times New Roman"/>
        </w:rPr>
        <w:t>Rapid</w:t>
      </w:r>
      <w:r>
        <w:rPr>
          <w:rFonts w:cs="Times New Roman"/>
        </w:rPr>
        <w:t xml:space="preserve"> Response Team efforts of the Arizona Judges Association, considering statements like th</w:t>
      </w:r>
      <w:r w:rsidR="009308F0">
        <w:rPr>
          <w:rFonts w:cs="Times New Roman"/>
        </w:rPr>
        <w:t>e one</w:t>
      </w:r>
      <w:r>
        <w:rPr>
          <w:rFonts w:cs="Times New Roman"/>
        </w:rPr>
        <w:t xml:space="preserve"> published by ACTL in Appendix xx, and taking part in community outreach efforts.</w:t>
      </w:r>
      <w:r w:rsidR="009308F0">
        <w:rPr>
          <w:rFonts w:cs="Times New Roman"/>
        </w:rPr>
        <w:t>]</w:t>
      </w:r>
    </w:p>
    <w:p w14:paraId="0AD79D34" w14:textId="77777777" w:rsidR="006E313B" w:rsidRPr="006E313B" w:rsidRDefault="006E313B" w:rsidP="00DA6DBB">
      <w:pPr>
        <w:spacing w:line="360" w:lineRule="auto"/>
        <w:jc w:val="both"/>
        <w:rPr>
          <w:rFonts w:cs="Times New Roman"/>
          <w:b/>
          <w:bCs/>
        </w:rPr>
      </w:pPr>
    </w:p>
    <w:p w14:paraId="4A58B46B" w14:textId="27D0341A" w:rsidR="006E313B" w:rsidRDefault="00A03C32" w:rsidP="00DD2407">
      <w:pPr>
        <w:pStyle w:val="ListParagraph"/>
        <w:numPr>
          <w:ilvl w:val="0"/>
          <w:numId w:val="18"/>
        </w:numPr>
        <w:spacing w:line="360" w:lineRule="auto"/>
        <w:jc w:val="both"/>
        <w:rPr>
          <w:rFonts w:ascii="Times New Roman" w:hAnsi="Times New Roman" w:cs="Times New Roman"/>
        </w:rPr>
      </w:pPr>
      <w:r w:rsidRPr="006E313B">
        <w:rPr>
          <w:rFonts w:ascii="Times New Roman" w:hAnsi="Times New Roman" w:cs="Times New Roman"/>
        </w:rPr>
        <w:t>That the Task Force continue monitoring the ongoing technology developments and long-term solutions for identifying and countering disinformation campaigns.</w:t>
      </w:r>
    </w:p>
    <w:p w14:paraId="796B8310" w14:textId="5A325533" w:rsidR="00682BFC" w:rsidRPr="00682BFC" w:rsidRDefault="00682BFC" w:rsidP="00682BFC">
      <w:pPr>
        <w:spacing w:line="360" w:lineRule="auto"/>
        <w:ind w:left="360"/>
        <w:jc w:val="both"/>
        <w:rPr>
          <w:rFonts w:cs="Times New Roman"/>
        </w:rPr>
      </w:pPr>
      <w:r>
        <w:rPr>
          <w:rFonts w:cs="Times New Roman"/>
        </w:rPr>
        <w:t>[update. Reviewed for technology throughout 2021. Add Fred’s language here, if any.]</w:t>
      </w:r>
    </w:p>
    <w:p w14:paraId="19C3D13C" w14:textId="77777777" w:rsidR="00293700" w:rsidRPr="006E313B" w:rsidRDefault="00293700" w:rsidP="00293700">
      <w:pPr>
        <w:pStyle w:val="ListParagraph"/>
        <w:spacing w:line="360" w:lineRule="auto"/>
        <w:jc w:val="both"/>
        <w:rPr>
          <w:rFonts w:ascii="Times New Roman" w:hAnsi="Times New Roman" w:cs="Times New Roman"/>
        </w:rPr>
      </w:pPr>
    </w:p>
    <w:p w14:paraId="0579953F" w14:textId="21028B97" w:rsidR="00A03C32" w:rsidRDefault="00A03C32" w:rsidP="00DD2407">
      <w:pPr>
        <w:pStyle w:val="ListParagraph"/>
        <w:numPr>
          <w:ilvl w:val="0"/>
          <w:numId w:val="18"/>
        </w:numPr>
        <w:spacing w:line="360" w:lineRule="auto"/>
        <w:jc w:val="both"/>
        <w:rPr>
          <w:rFonts w:ascii="Times New Roman" w:hAnsi="Times New Roman" w:cs="Times New Roman"/>
        </w:rPr>
      </w:pPr>
      <w:r w:rsidRPr="006E313B">
        <w:rPr>
          <w:rFonts w:ascii="Times New Roman" w:hAnsi="Times New Roman" w:cs="Times New Roman"/>
        </w:rPr>
        <w:lastRenderedPageBreak/>
        <w:t>That the AOC, and individual courts if applicable, establish an opt-in system for the public to provide contact information such as email addresses or a phone number to receive text messages, thus allowing Arizona’s courts to more easily and quickly share information and to correct inaccuracies or disinformation.</w:t>
      </w:r>
    </w:p>
    <w:p w14:paraId="79B1DD98" w14:textId="1A656EAA" w:rsidR="006B3EC1" w:rsidRPr="006B3EC1" w:rsidRDefault="006B3EC1" w:rsidP="006B3EC1">
      <w:pPr>
        <w:spacing w:line="360" w:lineRule="auto"/>
        <w:ind w:left="360"/>
        <w:jc w:val="both"/>
        <w:rPr>
          <w:rFonts w:cs="Times New Roman"/>
        </w:rPr>
      </w:pPr>
      <w:r>
        <w:rPr>
          <w:rFonts w:cs="Times New Roman"/>
        </w:rPr>
        <w:t xml:space="preserve">[update. The AOC is doing this through email updates the public can sign up to receive, </w:t>
      </w:r>
      <w:r w:rsidR="005160B4">
        <w:rPr>
          <w:rFonts w:cs="Times New Roman"/>
        </w:rPr>
        <w:t>plus</w:t>
      </w:r>
      <w:r>
        <w:rPr>
          <w:rFonts w:cs="Times New Roman"/>
        </w:rPr>
        <w:t xml:space="preserve"> social media outreach. Other courts are doing or considering similar outreach.]</w:t>
      </w:r>
    </w:p>
    <w:p w14:paraId="5F76EBFB" w14:textId="77777777" w:rsidR="006E313B" w:rsidRDefault="006E313B" w:rsidP="00DA6DBB">
      <w:pPr>
        <w:spacing w:line="360" w:lineRule="auto"/>
        <w:jc w:val="both"/>
        <w:rPr>
          <w:rFonts w:cs="Times New Roman"/>
        </w:rPr>
      </w:pPr>
    </w:p>
    <w:p w14:paraId="52A686F3" w14:textId="31CB5D12" w:rsidR="00A03C32" w:rsidRDefault="00A03C32" w:rsidP="00DA6DBB">
      <w:pPr>
        <w:pStyle w:val="ListParagraph"/>
        <w:numPr>
          <w:ilvl w:val="0"/>
          <w:numId w:val="18"/>
        </w:numPr>
        <w:spacing w:line="360" w:lineRule="auto"/>
        <w:jc w:val="both"/>
        <w:rPr>
          <w:rFonts w:ascii="Times New Roman" w:hAnsi="Times New Roman" w:cs="Times New Roman"/>
        </w:rPr>
      </w:pPr>
      <w:r w:rsidRPr="006E313B">
        <w:rPr>
          <w:rFonts w:ascii="Times New Roman" w:hAnsi="Times New Roman" w:cs="Times New Roman"/>
        </w:rPr>
        <w:t>That the AOC approach an Arizona Executive Branch agency by March 2021 to secure a commitment that they compile publicly-available registration information from the USDOJ and publish Arizona-related information to that state agency’s website. The Task Force identified the Arizona Department of Homeland Security and the Department of Public Safety as potential agencies to post this information, as both are statewide agencies responsible for monitoring and protecting the state’s security interests. The Arizona Secretary of State’s office was identified as another option, given its statewide responsibilities for elections and registering lobbyists.</w:t>
      </w:r>
    </w:p>
    <w:p w14:paraId="61BE572D" w14:textId="4FF18CAD" w:rsidR="00467841" w:rsidRPr="00467841" w:rsidRDefault="00467841" w:rsidP="00467841">
      <w:pPr>
        <w:spacing w:line="360" w:lineRule="auto"/>
        <w:ind w:left="360"/>
        <w:jc w:val="both"/>
        <w:rPr>
          <w:rFonts w:cs="Times New Roman"/>
        </w:rPr>
      </w:pPr>
      <w:r>
        <w:rPr>
          <w:rFonts w:cs="Times New Roman"/>
        </w:rPr>
        <w:t xml:space="preserve">[update. The Task Force contacted the AZ Dept of Homeland Security, who contacted the AZ DPS to further review what </w:t>
      </w:r>
      <w:r w:rsidR="005160B4">
        <w:rPr>
          <w:rFonts w:cs="Times New Roman"/>
        </w:rPr>
        <w:t>information</w:t>
      </w:r>
      <w:r>
        <w:rPr>
          <w:rFonts w:cs="Times New Roman"/>
        </w:rPr>
        <w:t xml:space="preserve"> could be drawn down, if any, and whether the effort to maintain would justify the public demand and utility.]</w:t>
      </w:r>
    </w:p>
    <w:p w14:paraId="08BE998D" w14:textId="77777777" w:rsidR="00DD2407" w:rsidRDefault="00DD2407" w:rsidP="00AC2D69">
      <w:pPr>
        <w:jc w:val="both"/>
        <w:rPr>
          <w:rFonts w:cs="Times New Roman"/>
          <w:b/>
          <w:bCs/>
        </w:rPr>
      </w:pPr>
    </w:p>
    <w:p w14:paraId="60F6F73E" w14:textId="784D46C0" w:rsidR="00A03C32" w:rsidRDefault="00A03C32" w:rsidP="00DD2407">
      <w:pPr>
        <w:pStyle w:val="ListParagraph"/>
        <w:numPr>
          <w:ilvl w:val="0"/>
          <w:numId w:val="18"/>
        </w:numPr>
        <w:spacing w:line="360" w:lineRule="auto"/>
        <w:jc w:val="both"/>
        <w:rPr>
          <w:rFonts w:ascii="Times New Roman" w:hAnsi="Times New Roman" w:cs="Times New Roman"/>
        </w:rPr>
      </w:pPr>
      <w:r w:rsidRPr="006E313B">
        <w:rPr>
          <w:rFonts w:ascii="Times New Roman" w:hAnsi="Times New Roman" w:cs="Times New Roman"/>
        </w:rPr>
        <w:t xml:space="preserve">That the term of Arizona’s </w:t>
      </w:r>
      <w:r w:rsidR="00FA1864">
        <w:rPr>
          <w:rFonts w:ascii="Times New Roman" w:hAnsi="Times New Roman" w:cs="Times New Roman"/>
        </w:rPr>
        <w:t xml:space="preserve">Task Force on </w:t>
      </w:r>
      <w:r w:rsidRPr="006E313B">
        <w:rPr>
          <w:rFonts w:ascii="Times New Roman" w:hAnsi="Times New Roman" w:cs="Times New Roman"/>
        </w:rPr>
        <w:t>Countering Disinformation be extended through December 2021.</w:t>
      </w:r>
    </w:p>
    <w:p w14:paraId="47A02DF5" w14:textId="7EB8D4F8" w:rsidR="00467841" w:rsidRPr="00467841" w:rsidRDefault="00467841" w:rsidP="00467841">
      <w:pPr>
        <w:spacing w:line="360" w:lineRule="auto"/>
        <w:ind w:left="360"/>
        <w:jc w:val="both"/>
        <w:rPr>
          <w:rFonts w:cs="Times New Roman"/>
        </w:rPr>
      </w:pPr>
      <w:r>
        <w:rPr>
          <w:rFonts w:cs="Times New Roman"/>
        </w:rPr>
        <w:t xml:space="preserve">The Task Force’s term was extended for the 2021 calendar year to complete its review and implementation of its recommendations. This </w:t>
      </w:r>
      <w:r w:rsidR="005160B4">
        <w:rPr>
          <w:rFonts w:cs="Times New Roman"/>
        </w:rPr>
        <w:t>Concluding</w:t>
      </w:r>
      <w:r>
        <w:rPr>
          <w:rFonts w:cs="Times New Roman"/>
        </w:rPr>
        <w:t xml:space="preserve"> Report summarizes the outcomes of that additional review and implementation.</w:t>
      </w:r>
    </w:p>
    <w:p w14:paraId="1347691E" w14:textId="77777777" w:rsidR="00FD6A73" w:rsidRPr="00DA6DBB" w:rsidRDefault="00FD6A73" w:rsidP="00DA6DBB">
      <w:pPr>
        <w:spacing w:line="360" w:lineRule="auto"/>
        <w:jc w:val="both"/>
        <w:rPr>
          <w:rFonts w:cs="Times New Roman"/>
        </w:rPr>
      </w:pPr>
    </w:p>
    <w:p w14:paraId="7E475BD8" w14:textId="2FE2FF42" w:rsidR="00A03C32" w:rsidRPr="00A9726B" w:rsidRDefault="00A03C32" w:rsidP="00A9726B">
      <w:pPr>
        <w:pStyle w:val="ListParagraph"/>
        <w:numPr>
          <w:ilvl w:val="0"/>
          <w:numId w:val="10"/>
        </w:numPr>
        <w:spacing w:line="360" w:lineRule="auto"/>
        <w:jc w:val="both"/>
        <w:rPr>
          <w:rFonts w:ascii="Times New Roman" w:hAnsi="Times New Roman" w:cs="Times New Roman"/>
          <w:b/>
          <w:bCs/>
        </w:rPr>
      </w:pPr>
      <w:r w:rsidRPr="00A9726B">
        <w:rPr>
          <w:rFonts w:ascii="Times New Roman" w:hAnsi="Times New Roman" w:cs="Times New Roman"/>
          <w:b/>
          <w:bCs/>
        </w:rPr>
        <w:t xml:space="preserve">Conclusion </w:t>
      </w:r>
    </w:p>
    <w:p w14:paraId="129B7791" w14:textId="3F50938F" w:rsidR="00A03C32" w:rsidRPr="00DA6DBB" w:rsidRDefault="00A9726B" w:rsidP="00DA6DBB">
      <w:pPr>
        <w:spacing w:line="360" w:lineRule="auto"/>
        <w:jc w:val="both"/>
        <w:rPr>
          <w:rFonts w:cs="Times New Roman"/>
        </w:rPr>
      </w:pPr>
      <w:r>
        <w:rPr>
          <w:rFonts w:cs="Times New Roman"/>
        </w:rPr>
        <w:tab/>
      </w:r>
      <w:r w:rsidR="00467841">
        <w:rPr>
          <w:rFonts w:cs="Times New Roman"/>
        </w:rPr>
        <w:t>The conclusion from the Task Force’s October 2020 Report citing the</w:t>
      </w:r>
      <w:r w:rsidR="00A03C32" w:rsidRPr="00DA6DBB">
        <w:rPr>
          <w:rFonts w:cs="Times New Roman"/>
        </w:rPr>
        <w:t xml:space="preserve"> NCSC’s 2019 annual </w:t>
      </w:r>
      <w:r w:rsidR="00A03C32" w:rsidRPr="00A9726B">
        <w:rPr>
          <w:rFonts w:cs="Times New Roman"/>
          <w:i/>
          <w:iCs/>
        </w:rPr>
        <w:t>State of the State Courts</w:t>
      </w:r>
      <w:r w:rsidR="003D383E">
        <w:rPr>
          <w:rFonts w:cs="Times New Roman"/>
          <w:iCs/>
        </w:rPr>
        <w:t xml:space="preserve"> survey,</w:t>
      </w:r>
      <w:r>
        <w:rPr>
          <w:rStyle w:val="FootnoteReference"/>
          <w:rFonts w:cs="Times New Roman"/>
          <w:i/>
          <w:iCs/>
        </w:rPr>
        <w:footnoteReference w:id="11"/>
      </w:r>
      <w:r w:rsidR="00A03C32" w:rsidRPr="00DA6DBB">
        <w:rPr>
          <w:rFonts w:cs="Times New Roman"/>
        </w:rPr>
        <w:t xml:space="preserve"> </w:t>
      </w:r>
      <w:r w:rsidR="00467841">
        <w:rPr>
          <w:rFonts w:cs="Times New Roman"/>
        </w:rPr>
        <w:t xml:space="preserve">remain: </w:t>
      </w:r>
      <w:r w:rsidRPr="00DA6DBB">
        <w:rPr>
          <w:rFonts w:cs="Times New Roman"/>
        </w:rPr>
        <w:t>Americans</w:t>
      </w:r>
      <w:r w:rsidR="00A03C32" w:rsidRPr="00DA6DBB">
        <w:rPr>
          <w:rFonts w:cs="Times New Roman"/>
        </w:rPr>
        <w:t xml:space="preserve"> are “increasingly distrustful of many pillars of our society, including government,” and admit to a “decreased confidence in all levels of the </w:t>
      </w:r>
      <w:r w:rsidR="00A03C32" w:rsidRPr="00DA6DBB">
        <w:rPr>
          <w:rFonts w:cs="Times New Roman"/>
        </w:rPr>
        <w:lastRenderedPageBreak/>
        <w:t xml:space="preserve">court system.” </w:t>
      </w:r>
      <w:r w:rsidR="004726B2">
        <w:rPr>
          <w:rFonts w:cs="Times New Roman"/>
        </w:rPr>
        <w:t>The proposed solutions from the 2020 Report remain the recommended course of action for courts:</w:t>
      </w:r>
    </w:p>
    <w:p w14:paraId="741A28C5" w14:textId="5F73B30E" w:rsidR="00A03C32" w:rsidRPr="00DA6DBB" w:rsidRDefault="00A9726B" w:rsidP="00C24120">
      <w:pPr>
        <w:spacing w:line="360" w:lineRule="auto"/>
        <w:ind w:left="720" w:right="720"/>
        <w:jc w:val="both"/>
        <w:rPr>
          <w:rFonts w:cs="Times New Roman"/>
        </w:rPr>
      </w:pPr>
      <w:r>
        <w:rPr>
          <w:rFonts w:cs="Times New Roman"/>
        </w:rPr>
        <w:tab/>
      </w:r>
      <w:r w:rsidR="00A03C32" w:rsidRPr="00DA6DBB">
        <w:rPr>
          <w:rFonts w:cs="Times New Roman"/>
        </w:rPr>
        <w:t xml:space="preserve">Courts must actively inform the public about court processes and procedures. Recognizing the power and influence of online information, courts can help the public make better-informed decisions about what they encounter online, and to be more critical consumers of online content. </w:t>
      </w:r>
      <w:r>
        <w:rPr>
          <w:rFonts w:cs="Times New Roman"/>
        </w:rPr>
        <w:tab/>
      </w:r>
      <w:r w:rsidR="00A03C32" w:rsidRPr="00DA6DBB">
        <w:rPr>
          <w:rFonts w:cs="Times New Roman"/>
        </w:rPr>
        <w:t xml:space="preserve">Courts must do better explaining rulings, procedures, and requirements so those who are unaware of the nuances of the law do not disparage the court, or an individual judge’s integrity, based solely on the outcome of a matter. Courts must use their untapped or unexplored resources in responding to or rejecting inaccurate criticism of courts or the judiciary while respecting the expression of individual opinions and the exercise of First Amendment rights. This balanced approach encourages constructive criticism that can improve the judicial system while guarding against campaigns intended to do harm. </w:t>
      </w:r>
    </w:p>
    <w:p w14:paraId="162A75D2" w14:textId="72B5B374" w:rsidR="00A03C32" w:rsidRPr="00DA6DBB" w:rsidRDefault="00A9726B" w:rsidP="00C24120">
      <w:pPr>
        <w:spacing w:line="360" w:lineRule="auto"/>
        <w:ind w:left="720" w:right="720"/>
        <w:jc w:val="both"/>
        <w:rPr>
          <w:rFonts w:cs="Times New Roman"/>
        </w:rPr>
      </w:pPr>
      <w:r>
        <w:rPr>
          <w:rFonts w:cs="Times New Roman"/>
        </w:rPr>
        <w:tab/>
      </w:r>
      <w:r w:rsidR="00A03C32" w:rsidRPr="00DA6DBB">
        <w:rPr>
          <w:rFonts w:cs="Times New Roman"/>
        </w:rPr>
        <w:t>Courts must recognize that their societal role as unbiased, impartial, and fair arbiters of the law requires consistent, truthful, accurate messages. Courts must also ensure that their audience – litigants, reporters, and the public – understand their communication. Nuanced legal issues and specific obligations and restrictions placed on the judiciary through laws, rules, codes, and canons must be clearly explained.</w:t>
      </w:r>
    </w:p>
    <w:p w14:paraId="1528F78A" w14:textId="5DAEDEE6" w:rsidR="00A03C32" w:rsidRPr="00DA6DBB" w:rsidRDefault="004726B2" w:rsidP="00DA6DBB">
      <w:pPr>
        <w:spacing w:line="360" w:lineRule="auto"/>
        <w:jc w:val="both"/>
        <w:rPr>
          <w:rFonts w:cs="Times New Roman"/>
        </w:rPr>
      </w:pPr>
      <w:r>
        <w:rPr>
          <w:rFonts w:cs="Times New Roman"/>
        </w:rPr>
        <w:tab/>
        <w:t>Differences of opinion and disagreement remain between the judicial branch and individuals and interest groups. The need to continue civil debate and to pursue improvements to the judiciary also remain. Through improved outreach, clear</w:t>
      </w:r>
      <w:r w:rsidR="00C24120">
        <w:rPr>
          <w:rFonts w:cs="Times New Roman"/>
        </w:rPr>
        <w:t>er</w:t>
      </w:r>
      <w:r>
        <w:rPr>
          <w:rFonts w:cs="Times New Roman"/>
        </w:rPr>
        <w:t xml:space="preserve"> and more prevalent communication from </w:t>
      </w:r>
      <w:r w:rsidR="00C24120">
        <w:rPr>
          <w:rFonts w:cs="Times New Roman"/>
        </w:rPr>
        <w:t>c</w:t>
      </w:r>
      <w:r>
        <w:rPr>
          <w:rFonts w:cs="Times New Roman"/>
        </w:rPr>
        <w:t>ourt</w:t>
      </w:r>
      <w:r w:rsidR="00C24120">
        <w:rPr>
          <w:rFonts w:cs="Times New Roman"/>
        </w:rPr>
        <w:t>s</w:t>
      </w:r>
      <w:r>
        <w:rPr>
          <w:rFonts w:cs="Times New Roman"/>
        </w:rPr>
        <w:t>, better recognition of misinformation</w:t>
      </w:r>
      <w:r w:rsidR="00C24120">
        <w:rPr>
          <w:rFonts w:cs="Times New Roman"/>
        </w:rPr>
        <w:t xml:space="preserve"> </w:t>
      </w:r>
      <w:r>
        <w:rPr>
          <w:rFonts w:cs="Times New Roman"/>
        </w:rPr>
        <w:t xml:space="preserve">and disinformation, </w:t>
      </w:r>
      <w:r w:rsidR="00C24120">
        <w:rPr>
          <w:rFonts w:cs="Times New Roman"/>
        </w:rPr>
        <w:t xml:space="preserve">and </w:t>
      </w:r>
      <w:r>
        <w:rPr>
          <w:rFonts w:cs="Times New Roman"/>
        </w:rPr>
        <w:t>faster responses to misinformation and disinformation</w:t>
      </w:r>
      <w:r w:rsidR="00C24120">
        <w:rPr>
          <w:rFonts w:cs="Times New Roman"/>
        </w:rPr>
        <w:t>, Arizona’s judicial branch is poised to interact more effectively with the communities it serves.</w:t>
      </w:r>
    </w:p>
    <w:sectPr w:rsidR="00A03C32" w:rsidRPr="00DA6DBB" w:rsidSect="005B3319">
      <w:type w:val="continuous"/>
      <w:pgSz w:w="12240" w:h="15840"/>
      <w:pgMar w:top="1440" w:right="1440" w:bottom="36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6DE01" w14:textId="77777777" w:rsidR="00D506A3" w:rsidRDefault="00D506A3" w:rsidP="00176880">
      <w:r>
        <w:separator/>
      </w:r>
    </w:p>
  </w:endnote>
  <w:endnote w:type="continuationSeparator" w:id="0">
    <w:p w14:paraId="08069ADD" w14:textId="77777777" w:rsidR="00D506A3" w:rsidRDefault="00D506A3" w:rsidP="00176880">
      <w:r>
        <w:continuationSeparator/>
      </w:r>
    </w:p>
  </w:endnote>
  <w:endnote w:type="continuationNotice" w:id="1">
    <w:p w14:paraId="5B14BD3E" w14:textId="77777777" w:rsidR="00D506A3" w:rsidRDefault="00D50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9C553" w14:textId="77777777" w:rsidR="00D65E39" w:rsidRDefault="00D65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AEF3D" w14:textId="77777777" w:rsidR="00D65E39" w:rsidRDefault="00D65E3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4BDEB18" w14:textId="77777777" w:rsidR="00D65E39" w:rsidRDefault="00D65E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4F30B" w14:textId="77777777" w:rsidR="00D65E39" w:rsidRDefault="00D65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0393F" w14:textId="77777777" w:rsidR="00D506A3" w:rsidRDefault="00D506A3" w:rsidP="00176880">
      <w:r>
        <w:separator/>
      </w:r>
    </w:p>
  </w:footnote>
  <w:footnote w:type="continuationSeparator" w:id="0">
    <w:p w14:paraId="19370BA7" w14:textId="77777777" w:rsidR="00D506A3" w:rsidRDefault="00D506A3" w:rsidP="00176880">
      <w:r>
        <w:continuationSeparator/>
      </w:r>
    </w:p>
  </w:footnote>
  <w:footnote w:type="continuationNotice" w:id="1">
    <w:p w14:paraId="3834D588" w14:textId="77777777" w:rsidR="00D506A3" w:rsidRDefault="00D506A3"/>
  </w:footnote>
  <w:footnote w:id="2">
    <w:p w14:paraId="49540060" w14:textId="47FABBD3" w:rsidR="00D65E39" w:rsidRPr="007C0C67" w:rsidRDefault="00D65E39">
      <w:pPr>
        <w:pStyle w:val="FootnoteText"/>
        <w:rPr>
          <w:rFonts w:ascii="Times New Roman" w:hAnsi="Times New Roman" w:cs="Times New Roman"/>
        </w:rPr>
      </w:pPr>
      <w:r w:rsidRPr="007C0C67">
        <w:rPr>
          <w:rStyle w:val="FootnoteReference"/>
          <w:rFonts w:ascii="Times New Roman" w:hAnsi="Times New Roman" w:cs="Times New Roman"/>
        </w:rPr>
        <w:footnoteRef/>
      </w:r>
      <w:r w:rsidRPr="007C0C67">
        <w:rPr>
          <w:rFonts w:ascii="Times New Roman" w:hAnsi="Times New Roman" w:cs="Times New Roman"/>
        </w:rPr>
        <w:t xml:space="preserve"> </w:t>
      </w:r>
      <w:r w:rsidRPr="007C0C67">
        <w:rPr>
          <w:rFonts w:ascii="Times New Roman" w:hAnsi="Times New Roman" w:cs="Times New Roman"/>
          <w:i/>
          <w:iCs/>
        </w:rPr>
        <w:t>Justice for the Future, Planning for Excellence</w:t>
      </w:r>
      <w:r w:rsidRPr="007C0C67">
        <w:rPr>
          <w:rFonts w:ascii="Times New Roman" w:hAnsi="Times New Roman" w:cs="Times New Roman"/>
        </w:rPr>
        <w:t xml:space="preserve">, </w:t>
      </w:r>
      <w:r>
        <w:rPr>
          <w:rFonts w:ascii="Times New Roman" w:hAnsi="Times New Roman" w:cs="Times New Roman"/>
        </w:rPr>
        <w:t>at</w:t>
      </w:r>
      <w:r w:rsidRPr="007C0C67">
        <w:rPr>
          <w:rFonts w:ascii="Times New Roman" w:hAnsi="Times New Roman" w:cs="Times New Roman"/>
        </w:rPr>
        <w:t xml:space="preserve"> </w:t>
      </w:r>
      <w:hyperlink r:id="rId1" w:history="1">
        <w:r w:rsidRPr="007C0C67">
          <w:rPr>
            <w:rStyle w:val="Hyperlink"/>
            <w:rFonts w:ascii="Times New Roman" w:hAnsi="Times New Roman" w:cs="Times New Roman"/>
          </w:rPr>
          <w:t>https://www.azcourts.gov/AZ-Courts/Strategic-Agenda</w:t>
        </w:r>
      </w:hyperlink>
    </w:p>
  </w:footnote>
  <w:footnote w:id="3">
    <w:p w14:paraId="357C0FBA" w14:textId="106E995A" w:rsidR="00D65E39" w:rsidRPr="007C0C67" w:rsidRDefault="00D65E39">
      <w:pPr>
        <w:pStyle w:val="FootnoteText"/>
        <w:rPr>
          <w:rFonts w:ascii="Times New Roman" w:hAnsi="Times New Roman" w:cs="Times New Roman"/>
        </w:rPr>
      </w:pPr>
      <w:r w:rsidRPr="007C0C67">
        <w:rPr>
          <w:rStyle w:val="FootnoteReference"/>
          <w:rFonts w:ascii="Times New Roman" w:hAnsi="Times New Roman" w:cs="Times New Roman"/>
        </w:rPr>
        <w:footnoteRef/>
      </w:r>
      <w:r w:rsidRPr="007C0C67">
        <w:rPr>
          <w:rFonts w:ascii="Times New Roman" w:hAnsi="Times New Roman" w:cs="Times New Roman"/>
        </w:rPr>
        <w:t xml:space="preserve"> For this Report, the Task Force defined disinformation as </w:t>
      </w:r>
      <w:r w:rsidRPr="007C0C67">
        <w:rPr>
          <w:rFonts w:ascii="Times New Roman" w:hAnsi="Times New Roman" w:cs="Times New Roman"/>
          <w:i/>
        </w:rPr>
        <w:t>“False, inaccurate or misleading information that is deliberately spread to the public with the intent to undermine the democratic process, sow discord, profit financially, or create distrust of government institutions or public officials. Disinformation should not be confused with misinformation, which is false information shared by those who do not recognize it as such, or with legitimate criticism, protest or censure of government actions, institutions or processes.”</w:t>
      </w:r>
    </w:p>
  </w:footnote>
  <w:footnote w:id="4">
    <w:p w14:paraId="27350599" w14:textId="5F170893" w:rsidR="00D65E39" w:rsidRPr="007C0C67" w:rsidRDefault="00D65E39">
      <w:pPr>
        <w:pStyle w:val="FootnoteText"/>
        <w:rPr>
          <w:rFonts w:ascii="Times New Roman" w:hAnsi="Times New Roman" w:cs="Times New Roman"/>
        </w:rPr>
      </w:pPr>
      <w:r w:rsidRPr="007C0C67">
        <w:rPr>
          <w:rStyle w:val="FootnoteReference"/>
          <w:rFonts w:ascii="Times New Roman" w:hAnsi="Times New Roman" w:cs="Times New Roman"/>
        </w:rPr>
        <w:footnoteRef/>
      </w:r>
      <w:r w:rsidRPr="007C0C67">
        <w:rPr>
          <w:rFonts w:ascii="Times New Roman" w:hAnsi="Times New Roman" w:cs="Times New Roman"/>
        </w:rPr>
        <w:t xml:space="preserve"> “Information environment” is </w:t>
      </w:r>
      <w:r>
        <w:rPr>
          <w:rFonts w:ascii="Times New Roman" w:hAnsi="Times New Roman" w:cs="Times New Roman"/>
        </w:rPr>
        <w:t>used here</w:t>
      </w:r>
      <w:r w:rsidRPr="007C0C67">
        <w:rPr>
          <w:rFonts w:ascii="Times New Roman" w:hAnsi="Times New Roman" w:cs="Times New Roman"/>
        </w:rPr>
        <w:t xml:space="preserve"> to capture all forms of communication, including traditional print, radio, and TV media, social media, other online outlets, pamphlets, artificial intelligence and bots, in-person discussions and beyond.</w:t>
      </w:r>
    </w:p>
  </w:footnote>
  <w:footnote w:id="5">
    <w:p w14:paraId="455EC840" w14:textId="2C64FC5E" w:rsidR="00D65E39" w:rsidRPr="00FE0CF4" w:rsidRDefault="00D65E39">
      <w:pPr>
        <w:pStyle w:val="FootnoteText"/>
        <w:rPr>
          <w:rFonts w:ascii="Times New Roman" w:hAnsi="Times New Roman" w:cs="Times New Roman"/>
        </w:rPr>
      </w:pPr>
      <w:r w:rsidRPr="00FE0CF4">
        <w:rPr>
          <w:rStyle w:val="FootnoteReference"/>
          <w:rFonts w:ascii="Times New Roman" w:hAnsi="Times New Roman" w:cs="Times New Roman"/>
        </w:rPr>
        <w:footnoteRef/>
      </w:r>
      <w:r w:rsidRPr="00FE0CF4">
        <w:rPr>
          <w:rFonts w:ascii="Times New Roman" w:hAnsi="Times New Roman" w:cs="Times New Roman"/>
        </w:rPr>
        <w:t xml:space="preserve"> In the Matter of: Establishment of the Task Force on Countering Disinformation, at </w:t>
      </w:r>
      <w:hyperlink r:id="rId2" w:history="1">
        <w:r w:rsidRPr="00FE0CF4">
          <w:rPr>
            <w:rStyle w:val="Hyperlink"/>
            <w:rFonts w:ascii="Times New Roman" w:hAnsi="Times New Roman" w:cs="Times New Roman"/>
          </w:rPr>
          <w:t>https://www.azcourts.gov/Portals/22/admorder/Orders19/2019-114.pdf</w:t>
        </w:r>
      </w:hyperlink>
      <w:r w:rsidRPr="00FE0CF4">
        <w:rPr>
          <w:rFonts w:ascii="Times New Roman" w:hAnsi="Times New Roman" w:cs="Times New Roman"/>
        </w:rPr>
        <w:t>.</w:t>
      </w:r>
    </w:p>
  </w:footnote>
  <w:footnote w:id="6">
    <w:p w14:paraId="38FB1077" w14:textId="1C7F05AB" w:rsidR="00D65E39" w:rsidRPr="00D142EF" w:rsidRDefault="00D65E39">
      <w:pPr>
        <w:pStyle w:val="FootnoteText"/>
        <w:rPr>
          <w:rFonts w:ascii="Times New Roman" w:hAnsi="Times New Roman" w:cs="Times New Roman"/>
        </w:rPr>
      </w:pPr>
      <w:r w:rsidRPr="00D142EF">
        <w:rPr>
          <w:rStyle w:val="FootnoteReference"/>
          <w:rFonts w:ascii="Times New Roman" w:hAnsi="Times New Roman" w:cs="Times New Roman"/>
        </w:rPr>
        <w:footnoteRef/>
      </w:r>
      <w:r w:rsidRPr="00D142EF">
        <w:rPr>
          <w:rFonts w:ascii="Times New Roman" w:hAnsi="Times New Roman" w:cs="Times New Roman"/>
        </w:rPr>
        <w:t xml:space="preserve"> “Judicial leadership” here refers to an individual court or department’s executives. These could be the presiding judge, an elected clerk, directors, chief probation officers, or others.</w:t>
      </w:r>
    </w:p>
  </w:footnote>
  <w:footnote w:id="7">
    <w:p w14:paraId="7B32FC2A" w14:textId="3DBF80DE" w:rsidR="00D65E39" w:rsidRPr="00D142EF" w:rsidRDefault="00D65E39">
      <w:pPr>
        <w:pStyle w:val="FootnoteText"/>
        <w:rPr>
          <w:rFonts w:ascii="Times New Roman" w:hAnsi="Times New Roman" w:cs="Times New Roman"/>
        </w:rPr>
      </w:pPr>
      <w:r w:rsidRPr="00D142EF">
        <w:rPr>
          <w:rStyle w:val="FootnoteReference"/>
          <w:rFonts w:ascii="Times New Roman" w:hAnsi="Times New Roman" w:cs="Times New Roman"/>
        </w:rPr>
        <w:footnoteRef/>
      </w:r>
      <w:r w:rsidRPr="00D142EF">
        <w:rPr>
          <w:rFonts w:ascii="Times New Roman" w:hAnsi="Times New Roman" w:cs="Times New Roman"/>
        </w:rPr>
        <w:t xml:space="preserve"> </w:t>
      </w:r>
      <w:hyperlink r:id="rId3" w:history="1">
        <w:r w:rsidRPr="00D142EF">
          <w:rPr>
            <w:rStyle w:val="Hyperlink"/>
            <w:rFonts w:ascii="Times New Roman" w:hAnsi="Times New Roman" w:cs="Times New Roman"/>
          </w:rPr>
          <w:t>https://www.americanbar.org/content/dam/aba/administrative/american-judicial-system/2018-rapid-response-to-fake-news.pdf</w:t>
        </w:r>
      </w:hyperlink>
    </w:p>
  </w:footnote>
  <w:footnote w:id="8">
    <w:p w14:paraId="1D35EF7B" w14:textId="0E3F6FA9" w:rsidR="00D65E39" w:rsidRPr="00946FBC" w:rsidRDefault="00D65E39">
      <w:pPr>
        <w:pStyle w:val="FootnoteText"/>
        <w:rPr>
          <w:rFonts w:ascii="Times New Roman" w:hAnsi="Times New Roman" w:cs="Times New Roman"/>
        </w:rPr>
      </w:pPr>
      <w:r w:rsidRPr="00D142EF">
        <w:rPr>
          <w:rStyle w:val="FootnoteReference"/>
          <w:rFonts w:ascii="Times New Roman" w:hAnsi="Times New Roman" w:cs="Times New Roman"/>
        </w:rPr>
        <w:footnoteRef/>
      </w:r>
      <w:r w:rsidRPr="00D142EF">
        <w:rPr>
          <w:rFonts w:ascii="Times New Roman" w:hAnsi="Times New Roman" w:cs="Times New Roman"/>
        </w:rPr>
        <w:t xml:space="preserve"> From the National Conference of State Legislatures: </w:t>
      </w:r>
      <w:hyperlink r:id="rId4" w:history="1">
        <w:r w:rsidRPr="00D142EF">
          <w:rPr>
            <w:rStyle w:val="Hyperlink"/>
            <w:rFonts w:ascii="Times New Roman" w:hAnsi="Times New Roman" w:cs="Times New Roman"/>
          </w:rPr>
          <w:t>https://www.ncsl.org/Portals/1/Testing%20the%20Credibility%20of%20Sources.pdf</w:t>
        </w:r>
      </w:hyperlink>
    </w:p>
  </w:footnote>
  <w:footnote w:id="9">
    <w:p w14:paraId="687C1904" w14:textId="115AFF75" w:rsidR="00D65E39" w:rsidRPr="00DD7B10" w:rsidRDefault="00D65E39">
      <w:pPr>
        <w:pStyle w:val="FootnoteText"/>
        <w:rPr>
          <w:rFonts w:ascii="Times New Roman" w:hAnsi="Times New Roman" w:cs="Times New Roman"/>
        </w:rPr>
      </w:pPr>
      <w:r w:rsidRPr="00DD7B10">
        <w:rPr>
          <w:rStyle w:val="FootnoteReference"/>
          <w:rFonts w:ascii="Times New Roman" w:hAnsi="Times New Roman" w:cs="Times New Roman"/>
        </w:rPr>
        <w:footnoteRef/>
      </w:r>
      <w:r w:rsidRPr="00DD7B10">
        <w:rPr>
          <w:rFonts w:ascii="Times New Roman" w:hAnsi="Times New Roman" w:cs="Times New Roman"/>
        </w:rPr>
        <w:t xml:space="preserve"> ACJC Rule 2.10(E)</w:t>
      </w:r>
      <w:r>
        <w:rPr>
          <w:rFonts w:ascii="Times New Roman" w:hAnsi="Times New Roman" w:cs="Times New Roman"/>
        </w:rPr>
        <w:t xml:space="preserve">: </w:t>
      </w:r>
      <w:hyperlink r:id="rId5" w:history="1">
        <w:r w:rsidRPr="00BD4F9F">
          <w:rPr>
            <w:rStyle w:val="Hyperlink"/>
            <w:rFonts w:ascii="Times New Roman" w:hAnsi="Times New Roman" w:cs="Times New Roman"/>
          </w:rPr>
          <w:t>https://www.azcourts.gov/portals/137/rules/Arizona%20Code%20of%20Judicial%20Conduct.pdf</w:t>
        </w:r>
      </w:hyperlink>
      <w:r>
        <w:rPr>
          <w:rFonts w:ascii="Times New Roman" w:hAnsi="Times New Roman" w:cs="Times New Roman"/>
        </w:rPr>
        <w:t xml:space="preserve"> </w:t>
      </w:r>
    </w:p>
  </w:footnote>
  <w:footnote w:id="10">
    <w:p w14:paraId="399D3326" w14:textId="2482B441" w:rsidR="00D65E39" w:rsidRDefault="00D65E39">
      <w:pPr>
        <w:pStyle w:val="FootnoteText"/>
      </w:pPr>
      <w:r w:rsidRPr="00DD7B10">
        <w:rPr>
          <w:rStyle w:val="FootnoteReference"/>
          <w:rFonts w:ascii="Times New Roman" w:hAnsi="Times New Roman" w:cs="Times New Roman"/>
        </w:rPr>
        <w:footnoteRef/>
      </w:r>
      <w:r w:rsidRPr="00DD7B10">
        <w:rPr>
          <w:rFonts w:ascii="Times New Roman" w:hAnsi="Times New Roman" w:cs="Times New Roman"/>
        </w:rPr>
        <w:t xml:space="preserve"> ACJC Rule 2.10, Comment 3</w:t>
      </w:r>
      <w:r>
        <w:rPr>
          <w:rFonts w:ascii="Times New Roman" w:hAnsi="Times New Roman" w:cs="Times New Roman"/>
        </w:rPr>
        <w:t xml:space="preserve">: </w:t>
      </w:r>
      <w:hyperlink r:id="rId6" w:history="1">
        <w:r w:rsidRPr="00BD4F9F">
          <w:rPr>
            <w:rStyle w:val="Hyperlink"/>
            <w:rFonts w:ascii="Times New Roman" w:hAnsi="Times New Roman" w:cs="Times New Roman"/>
          </w:rPr>
          <w:t>https://www.azcourts.gov/portals/137/rules/Arizona%20Code%20of%20Judicial%20Conduct.pdf</w:t>
        </w:r>
      </w:hyperlink>
      <w:r>
        <w:rPr>
          <w:rFonts w:ascii="Times New Roman" w:hAnsi="Times New Roman" w:cs="Times New Roman"/>
        </w:rPr>
        <w:t xml:space="preserve"> </w:t>
      </w:r>
    </w:p>
  </w:footnote>
  <w:footnote w:id="11">
    <w:p w14:paraId="41A904CE" w14:textId="11081267" w:rsidR="00D65E39" w:rsidRPr="00293700" w:rsidRDefault="00D65E39">
      <w:pPr>
        <w:pStyle w:val="FootnoteText"/>
        <w:rPr>
          <w:rFonts w:ascii="Times New Roman" w:hAnsi="Times New Roman" w:cs="Times New Roman"/>
        </w:rPr>
      </w:pPr>
      <w:r w:rsidRPr="00293700">
        <w:rPr>
          <w:rStyle w:val="FootnoteReference"/>
          <w:rFonts w:ascii="Times New Roman" w:hAnsi="Times New Roman" w:cs="Times New Roman"/>
        </w:rPr>
        <w:footnoteRef/>
      </w:r>
      <w:r w:rsidRPr="00293700">
        <w:rPr>
          <w:rFonts w:ascii="Times New Roman" w:hAnsi="Times New Roman" w:cs="Times New Roman"/>
        </w:rPr>
        <w:t xml:space="preserve"> </w:t>
      </w:r>
      <w:hyperlink r:id="rId7" w:history="1">
        <w:r w:rsidRPr="002A6FA3">
          <w:rPr>
            <w:rStyle w:val="Hyperlink"/>
            <w:rFonts w:ascii="Times New Roman" w:hAnsi="Times New Roman" w:cs="Times New Roman"/>
          </w:rPr>
          <w:t>www.ncsc.org/survey</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1F0D9" w14:textId="77777777" w:rsidR="00D65E39" w:rsidRDefault="00D65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456191"/>
      <w:docPartObj>
        <w:docPartGallery w:val="Watermarks"/>
        <w:docPartUnique/>
      </w:docPartObj>
    </w:sdtPr>
    <w:sdtEndPr/>
    <w:sdtContent>
      <w:p w14:paraId="2C431B6A" w14:textId="020EA672" w:rsidR="00D65E39" w:rsidRDefault="00D506A3">
        <w:pPr>
          <w:pStyle w:val="Header"/>
        </w:pPr>
        <w:r>
          <w:rPr>
            <w:noProof/>
          </w:rPr>
          <w:pict w14:anchorId="582E9A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3C4C" w14:textId="27F2D202" w:rsidR="00D65E39" w:rsidRDefault="00D65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3B4C"/>
    <w:multiLevelType w:val="hybridMultilevel"/>
    <w:tmpl w:val="29D8B2D6"/>
    <w:lvl w:ilvl="0" w:tplc="0DB8B138">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04FEC"/>
    <w:multiLevelType w:val="hybridMultilevel"/>
    <w:tmpl w:val="B13616A4"/>
    <w:lvl w:ilvl="0" w:tplc="DBFE501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41939"/>
    <w:multiLevelType w:val="hybridMultilevel"/>
    <w:tmpl w:val="A8182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C62C9"/>
    <w:multiLevelType w:val="hybridMultilevel"/>
    <w:tmpl w:val="04C07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A7EEF"/>
    <w:multiLevelType w:val="hybridMultilevel"/>
    <w:tmpl w:val="EB28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A7A46"/>
    <w:multiLevelType w:val="hybridMultilevel"/>
    <w:tmpl w:val="C698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835BE"/>
    <w:multiLevelType w:val="hybridMultilevel"/>
    <w:tmpl w:val="E61EA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C2668"/>
    <w:multiLevelType w:val="hybridMultilevel"/>
    <w:tmpl w:val="49021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86FCC"/>
    <w:multiLevelType w:val="hybridMultilevel"/>
    <w:tmpl w:val="DBACE98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92255"/>
    <w:multiLevelType w:val="hybridMultilevel"/>
    <w:tmpl w:val="5694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02665"/>
    <w:multiLevelType w:val="hybridMultilevel"/>
    <w:tmpl w:val="647E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472F0"/>
    <w:multiLevelType w:val="hybridMultilevel"/>
    <w:tmpl w:val="37340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44C85"/>
    <w:multiLevelType w:val="hybridMultilevel"/>
    <w:tmpl w:val="221E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F0FCF"/>
    <w:multiLevelType w:val="hybridMultilevel"/>
    <w:tmpl w:val="669E4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45A65"/>
    <w:multiLevelType w:val="hybridMultilevel"/>
    <w:tmpl w:val="0A3E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57C97"/>
    <w:multiLevelType w:val="hybridMultilevel"/>
    <w:tmpl w:val="4DA64D9C"/>
    <w:lvl w:ilvl="0" w:tplc="DBFE501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04F79"/>
    <w:multiLevelType w:val="hybridMultilevel"/>
    <w:tmpl w:val="F166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C5ABD"/>
    <w:multiLevelType w:val="hybridMultilevel"/>
    <w:tmpl w:val="37340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442C0"/>
    <w:multiLevelType w:val="hybridMultilevel"/>
    <w:tmpl w:val="4E66EF70"/>
    <w:lvl w:ilvl="0" w:tplc="CF187746">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9" w15:restartNumberingAfterBreak="0">
    <w:nsid w:val="4C4667F9"/>
    <w:multiLevelType w:val="hybridMultilevel"/>
    <w:tmpl w:val="0778C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4356C"/>
    <w:multiLevelType w:val="hybridMultilevel"/>
    <w:tmpl w:val="7B0ABB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045F13"/>
    <w:multiLevelType w:val="hybridMultilevel"/>
    <w:tmpl w:val="6CCA0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11D09"/>
    <w:multiLevelType w:val="hybridMultilevel"/>
    <w:tmpl w:val="7F56AA2E"/>
    <w:lvl w:ilvl="0" w:tplc="0409000F">
      <w:start w:val="1"/>
      <w:numFmt w:val="decimal"/>
      <w:lvlText w:val="%1."/>
      <w:lvlJc w:val="left"/>
      <w:pPr>
        <w:ind w:left="720" w:hanging="360"/>
      </w:pPr>
      <w:rPr>
        <w:rFonts w:hint="default"/>
      </w:rPr>
    </w:lvl>
    <w:lvl w:ilvl="1" w:tplc="1CD8D5FE">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F10D0"/>
    <w:multiLevelType w:val="hybridMultilevel"/>
    <w:tmpl w:val="9CECB6D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32D4B"/>
    <w:multiLevelType w:val="hybridMultilevel"/>
    <w:tmpl w:val="0A3E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74544"/>
    <w:multiLevelType w:val="hybridMultilevel"/>
    <w:tmpl w:val="A20EA0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C539BB"/>
    <w:multiLevelType w:val="hybridMultilevel"/>
    <w:tmpl w:val="D908B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5"/>
  </w:num>
  <w:num w:numId="4">
    <w:abstractNumId w:val="8"/>
  </w:num>
  <w:num w:numId="5">
    <w:abstractNumId w:val="22"/>
  </w:num>
  <w:num w:numId="6">
    <w:abstractNumId w:val="0"/>
  </w:num>
  <w:num w:numId="7">
    <w:abstractNumId w:val="3"/>
  </w:num>
  <w:num w:numId="8">
    <w:abstractNumId w:val="19"/>
  </w:num>
  <w:num w:numId="9">
    <w:abstractNumId w:val="2"/>
  </w:num>
  <w:num w:numId="10">
    <w:abstractNumId w:val="25"/>
  </w:num>
  <w:num w:numId="11">
    <w:abstractNumId w:val="15"/>
  </w:num>
  <w:num w:numId="12">
    <w:abstractNumId w:val="1"/>
  </w:num>
  <w:num w:numId="13">
    <w:abstractNumId w:val="21"/>
  </w:num>
  <w:num w:numId="14">
    <w:abstractNumId w:val="13"/>
  </w:num>
  <w:num w:numId="15">
    <w:abstractNumId w:val="9"/>
  </w:num>
  <w:num w:numId="16">
    <w:abstractNumId w:val="20"/>
  </w:num>
  <w:num w:numId="17">
    <w:abstractNumId w:val="26"/>
  </w:num>
  <w:num w:numId="18">
    <w:abstractNumId w:val="12"/>
  </w:num>
  <w:num w:numId="19">
    <w:abstractNumId w:val="10"/>
  </w:num>
  <w:num w:numId="20">
    <w:abstractNumId w:val="14"/>
  </w:num>
  <w:num w:numId="21">
    <w:abstractNumId w:val="24"/>
  </w:num>
  <w:num w:numId="22">
    <w:abstractNumId w:val="7"/>
  </w:num>
  <w:num w:numId="23">
    <w:abstractNumId w:val="6"/>
  </w:num>
  <w:num w:numId="24">
    <w:abstractNumId w:val="11"/>
  </w:num>
  <w:num w:numId="25">
    <w:abstractNumId w:val="17"/>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83"/>
    <w:rsid w:val="00000631"/>
    <w:rsid w:val="000169E5"/>
    <w:rsid w:val="00032FEB"/>
    <w:rsid w:val="00034A67"/>
    <w:rsid w:val="000508C7"/>
    <w:rsid w:val="0006570D"/>
    <w:rsid w:val="00066CB1"/>
    <w:rsid w:val="00082C28"/>
    <w:rsid w:val="0009292A"/>
    <w:rsid w:val="00095371"/>
    <w:rsid w:val="000A2355"/>
    <w:rsid w:val="000A4F2F"/>
    <w:rsid w:val="000D30D0"/>
    <w:rsid w:val="000F0014"/>
    <w:rsid w:val="000F0A5C"/>
    <w:rsid w:val="000F1ECA"/>
    <w:rsid w:val="000F3DEB"/>
    <w:rsid w:val="001009F3"/>
    <w:rsid w:val="0010548E"/>
    <w:rsid w:val="001054DF"/>
    <w:rsid w:val="0010583C"/>
    <w:rsid w:val="001104EB"/>
    <w:rsid w:val="0011088D"/>
    <w:rsid w:val="0011220A"/>
    <w:rsid w:val="00124E31"/>
    <w:rsid w:val="001259E0"/>
    <w:rsid w:val="001473E1"/>
    <w:rsid w:val="001536C1"/>
    <w:rsid w:val="00161CDA"/>
    <w:rsid w:val="00171F66"/>
    <w:rsid w:val="00176880"/>
    <w:rsid w:val="00177F82"/>
    <w:rsid w:val="00182CA9"/>
    <w:rsid w:val="00193B39"/>
    <w:rsid w:val="001A6322"/>
    <w:rsid w:val="001C2366"/>
    <w:rsid w:val="001C3770"/>
    <w:rsid w:val="001D1749"/>
    <w:rsid w:val="001D6C9D"/>
    <w:rsid w:val="001E0EA3"/>
    <w:rsid w:val="0020735B"/>
    <w:rsid w:val="00207D35"/>
    <w:rsid w:val="0022078D"/>
    <w:rsid w:val="002264EE"/>
    <w:rsid w:val="00237140"/>
    <w:rsid w:val="00251272"/>
    <w:rsid w:val="00253D76"/>
    <w:rsid w:val="00254C3C"/>
    <w:rsid w:val="00255973"/>
    <w:rsid w:val="00261741"/>
    <w:rsid w:val="00281269"/>
    <w:rsid w:val="00293700"/>
    <w:rsid w:val="002942ED"/>
    <w:rsid w:val="002A03CA"/>
    <w:rsid w:val="002B295F"/>
    <w:rsid w:val="002B5711"/>
    <w:rsid w:val="002B666E"/>
    <w:rsid w:val="002C06EA"/>
    <w:rsid w:val="002C6757"/>
    <w:rsid w:val="002D1583"/>
    <w:rsid w:val="002E485F"/>
    <w:rsid w:val="002F00DB"/>
    <w:rsid w:val="002F6B72"/>
    <w:rsid w:val="00315DCB"/>
    <w:rsid w:val="0031787E"/>
    <w:rsid w:val="00324FF6"/>
    <w:rsid w:val="00325A35"/>
    <w:rsid w:val="00325CBF"/>
    <w:rsid w:val="003379EA"/>
    <w:rsid w:val="0034352C"/>
    <w:rsid w:val="00347ABF"/>
    <w:rsid w:val="00347DB7"/>
    <w:rsid w:val="00374ECE"/>
    <w:rsid w:val="003830AA"/>
    <w:rsid w:val="00391B0A"/>
    <w:rsid w:val="00394CF9"/>
    <w:rsid w:val="003A0836"/>
    <w:rsid w:val="003A5E12"/>
    <w:rsid w:val="003C13AE"/>
    <w:rsid w:val="003D02F0"/>
    <w:rsid w:val="003D383E"/>
    <w:rsid w:val="003E20CF"/>
    <w:rsid w:val="00403A32"/>
    <w:rsid w:val="00404B43"/>
    <w:rsid w:val="00430574"/>
    <w:rsid w:val="0043409B"/>
    <w:rsid w:val="0043447C"/>
    <w:rsid w:val="004474F2"/>
    <w:rsid w:val="00452F98"/>
    <w:rsid w:val="00457D51"/>
    <w:rsid w:val="004608CA"/>
    <w:rsid w:val="00467841"/>
    <w:rsid w:val="0047193C"/>
    <w:rsid w:val="004726B2"/>
    <w:rsid w:val="00473387"/>
    <w:rsid w:val="00480450"/>
    <w:rsid w:val="004C4B82"/>
    <w:rsid w:val="004E1445"/>
    <w:rsid w:val="004E3D03"/>
    <w:rsid w:val="004E6F95"/>
    <w:rsid w:val="004F0717"/>
    <w:rsid w:val="004F61D7"/>
    <w:rsid w:val="005160B4"/>
    <w:rsid w:val="00533016"/>
    <w:rsid w:val="00533941"/>
    <w:rsid w:val="005514A2"/>
    <w:rsid w:val="00560BDE"/>
    <w:rsid w:val="00561405"/>
    <w:rsid w:val="005755AA"/>
    <w:rsid w:val="005942B1"/>
    <w:rsid w:val="005956C2"/>
    <w:rsid w:val="00595BA9"/>
    <w:rsid w:val="00595FA2"/>
    <w:rsid w:val="005A209C"/>
    <w:rsid w:val="005A3D0C"/>
    <w:rsid w:val="005A5D96"/>
    <w:rsid w:val="005B0A8F"/>
    <w:rsid w:val="005B1A22"/>
    <w:rsid w:val="005B3319"/>
    <w:rsid w:val="005E3249"/>
    <w:rsid w:val="005F2ECC"/>
    <w:rsid w:val="00616680"/>
    <w:rsid w:val="00620CFC"/>
    <w:rsid w:val="006402EE"/>
    <w:rsid w:val="00652193"/>
    <w:rsid w:val="00670BCE"/>
    <w:rsid w:val="00673C67"/>
    <w:rsid w:val="00675EB1"/>
    <w:rsid w:val="00676823"/>
    <w:rsid w:val="00682BFC"/>
    <w:rsid w:val="006871B5"/>
    <w:rsid w:val="006B3EC1"/>
    <w:rsid w:val="006C01D3"/>
    <w:rsid w:val="006D2E49"/>
    <w:rsid w:val="006D4C9F"/>
    <w:rsid w:val="006E313B"/>
    <w:rsid w:val="006E4A7D"/>
    <w:rsid w:val="007048A3"/>
    <w:rsid w:val="00714B50"/>
    <w:rsid w:val="0072422F"/>
    <w:rsid w:val="00736E82"/>
    <w:rsid w:val="0074042C"/>
    <w:rsid w:val="0074346C"/>
    <w:rsid w:val="00754323"/>
    <w:rsid w:val="00756CB3"/>
    <w:rsid w:val="0076141E"/>
    <w:rsid w:val="007911DC"/>
    <w:rsid w:val="007C0C67"/>
    <w:rsid w:val="007C3F23"/>
    <w:rsid w:val="007D11A4"/>
    <w:rsid w:val="007E38BA"/>
    <w:rsid w:val="007F280B"/>
    <w:rsid w:val="007F5916"/>
    <w:rsid w:val="007F70FE"/>
    <w:rsid w:val="00823888"/>
    <w:rsid w:val="0083107C"/>
    <w:rsid w:val="00845CDC"/>
    <w:rsid w:val="00846833"/>
    <w:rsid w:val="008470A6"/>
    <w:rsid w:val="00850A89"/>
    <w:rsid w:val="00853793"/>
    <w:rsid w:val="008560AD"/>
    <w:rsid w:val="00884544"/>
    <w:rsid w:val="008A2C43"/>
    <w:rsid w:val="008B20C5"/>
    <w:rsid w:val="008C5A91"/>
    <w:rsid w:val="008C7B35"/>
    <w:rsid w:val="008E462C"/>
    <w:rsid w:val="008E64D7"/>
    <w:rsid w:val="008E7905"/>
    <w:rsid w:val="009016D8"/>
    <w:rsid w:val="0090257E"/>
    <w:rsid w:val="009071E8"/>
    <w:rsid w:val="00914905"/>
    <w:rsid w:val="0092598A"/>
    <w:rsid w:val="009308F0"/>
    <w:rsid w:val="00935212"/>
    <w:rsid w:val="00935452"/>
    <w:rsid w:val="0093620F"/>
    <w:rsid w:val="009452B7"/>
    <w:rsid w:val="00946FBC"/>
    <w:rsid w:val="0095200A"/>
    <w:rsid w:val="00960F20"/>
    <w:rsid w:val="0096334F"/>
    <w:rsid w:val="009672FB"/>
    <w:rsid w:val="00986CA1"/>
    <w:rsid w:val="009872D1"/>
    <w:rsid w:val="00987830"/>
    <w:rsid w:val="009913BC"/>
    <w:rsid w:val="009B70B7"/>
    <w:rsid w:val="009B7674"/>
    <w:rsid w:val="009C6AF5"/>
    <w:rsid w:val="009E3474"/>
    <w:rsid w:val="009F1B8B"/>
    <w:rsid w:val="009F6BA4"/>
    <w:rsid w:val="00A0090D"/>
    <w:rsid w:val="00A03C32"/>
    <w:rsid w:val="00A06077"/>
    <w:rsid w:val="00A31228"/>
    <w:rsid w:val="00A32B26"/>
    <w:rsid w:val="00A67ADD"/>
    <w:rsid w:val="00A7681F"/>
    <w:rsid w:val="00A93756"/>
    <w:rsid w:val="00A95E77"/>
    <w:rsid w:val="00A9726B"/>
    <w:rsid w:val="00AA653D"/>
    <w:rsid w:val="00AB2614"/>
    <w:rsid w:val="00AB37C9"/>
    <w:rsid w:val="00AC16E8"/>
    <w:rsid w:val="00AC2D69"/>
    <w:rsid w:val="00AD4067"/>
    <w:rsid w:val="00AF00EC"/>
    <w:rsid w:val="00AF216C"/>
    <w:rsid w:val="00B11DFA"/>
    <w:rsid w:val="00B16934"/>
    <w:rsid w:val="00B16D20"/>
    <w:rsid w:val="00B21B5B"/>
    <w:rsid w:val="00B350DA"/>
    <w:rsid w:val="00B361D1"/>
    <w:rsid w:val="00B44035"/>
    <w:rsid w:val="00B449D8"/>
    <w:rsid w:val="00B46735"/>
    <w:rsid w:val="00B5725B"/>
    <w:rsid w:val="00B81CDE"/>
    <w:rsid w:val="00B852ED"/>
    <w:rsid w:val="00B937E2"/>
    <w:rsid w:val="00BA3398"/>
    <w:rsid w:val="00BB386B"/>
    <w:rsid w:val="00BC6B4E"/>
    <w:rsid w:val="00BF2461"/>
    <w:rsid w:val="00BF53CC"/>
    <w:rsid w:val="00C24120"/>
    <w:rsid w:val="00C2544C"/>
    <w:rsid w:val="00C34B8F"/>
    <w:rsid w:val="00C354F9"/>
    <w:rsid w:val="00C37C25"/>
    <w:rsid w:val="00C471CD"/>
    <w:rsid w:val="00C65CA7"/>
    <w:rsid w:val="00C676EE"/>
    <w:rsid w:val="00C7140F"/>
    <w:rsid w:val="00C72C8C"/>
    <w:rsid w:val="00C75DC6"/>
    <w:rsid w:val="00C77F2A"/>
    <w:rsid w:val="00C86161"/>
    <w:rsid w:val="00C86BF5"/>
    <w:rsid w:val="00C95D5C"/>
    <w:rsid w:val="00CA52AE"/>
    <w:rsid w:val="00CB2694"/>
    <w:rsid w:val="00CE2E0D"/>
    <w:rsid w:val="00CE4437"/>
    <w:rsid w:val="00D142EF"/>
    <w:rsid w:val="00D37304"/>
    <w:rsid w:val="00D4375B"/>
    <w:rsid w:val="00D4537D"/>
    <w:rsid w:val="00D506A3"/>
    <w:rsid w:val="00D54996"/>
    <w:rsid w:val="00D577BD"/>
    <w:rsid w:val="00D65E39"/>
    <w:rsid w:val="00D8343C"/>
    <w:rsid w:val="00D86DCB"/>
    <w:rsid w:val="00DA2E61"/>
    <w:rsid w:val="00DA6DBB"/>
    <w:rsid w:val="00DB1946"/>
    <w:rsid w:val="00DB28BB"/>
    <w:rsid w:val="00DC0297"/>
    <w:rsid w:val="00DD093B"/>
    <w:rsid w:val="00DD2407"/>
    <w:rsid w:val="00DD3082"/>
    <w:rsid w:val="00DD7779"/>
    <w:rsid w:val="00DD7B10"/>
    <w:rsid w:val="00DE2AA1"/>
    <w:rsid w:val="00DE65FF"/>
    <w:rsid w:val="00E01C73"/>
    <w:rsid w:val="00E02559"/>
    <w:rsid w:val="00E0475A"/>
    <w:rsid w:val="00E05395"/>
    <w:rsid w:val="00E056F5"/>
    <w:rsid w:val="00E178A8"/>
    <w:rsid w:val="00E31FC4"/>
    <w:rsid w:val="00E34B1E"/>
    <w:rsid w:val="00E426BE"/>
    <w:rsid w:val="00E447CC"/>
    <w:rsid w:val="00E5487C"/>
    <w:rsid w:val="00E55B0B"/>
    <w:rsid w:val="00E6773B"/>
    <w:rsid w:val="00E80596"/>
    <w:rsid w:val="00E92DA2"/>
    <w:rsid w:val="00EB5CBF"/>
    <w:rsid w:val="00EB763B"/>
    <w:rsid w:val="00EC5047"/>
    <w:rsid w:val="00EF3A8B"/>
    <w:rsid w:val="00F057C2"/>
    <w:rsid w:val="00F10CF0"/>
    <w:rsid w:val="00F3271D"/>
    <w:rsid w:val="00F33769"/>
    <w:rsid w:val="00F37037"/>
    <w:rsid w:val="00F50118"/>
    <w:rsid w:val="00F62254"/>
    <w:rsid w:val="00F757D5"/>
    <w:rsid w:val="00F843CB"/>
    <w:rsid w:val="00F903A5"/>
    <w:rsid w:val="00F92AC0"/>
    <w:rsid w:val="00F92CB9"/>
    <w:rsid w:val="00F96E31"/>
    <w:rsid w:val="00FA0021"/>
    <w:rsid w:val="00FA11E1"/>
    <w:rsid w:val="00FA1319"/>
    <w:rsid w:val="00FA1864"/>
    <w:rsid w:val="00FA2A21"/>
    <w:rsid w:val="00FA6D62"/>
    <w:rsid w:val="00FB5202"/>
    <w:rsid w:val="00FB71C2"/>
    <w:rsid w:val="00FD6A73"/>
    <w:rsid w:val="00FE0CF4"/>
    <w:rsid w:val="00FE2D41"/>
    <w:rsid w:val="00FE426E"/>
    <w:rsid w:val="00FE6490"/>
    <w:rsid w:val="00FF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9E5A3F"/>
  <w15:chartTrackingRefBased/>
  <w15:docId w15:val="{6A3BAC65-16B0-4F92-84EE-ADD03475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5B"/>
  </w:style>
  <w:style w:type="paragraph" w:styleId="Heading1">
    <w:name w:val="heading 1"/>
    <w:basedOn w:val="Normal"/>
    <w:next w:val="Normal"/>
    <w:link w:val="Heading1Char"/>
    <w:uiPriority w:val="9"/>
    <w:qFormat/>
    <w:rsid w:val="00FD6A7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880"/>
    <w:pPr>
      <w:tabs>
        <w:tab w:val="center" w:pos="4680"/>
        <w:tab w:val="right" w:pos="9360"/>
      </w:tabs>
    </w:pPr>
  </w:style>
  <w:style w:type="character" w:customStyle="1" w:styleId="HeaderChar">
    <w:name w:val="Header Char"/>
    <w:basedOn w:val="DefaultParagraphFont"/>
    <w:link w:val="Header"/>
    <w:uiPriority w:val="99"/>
    <w:rsid w:val="00176880"/>
  </w:style>
  <w:style w:type="paragraph" w:styleId="Footer">
    <w:name w:val="footer"/>
    <w:basedOn w:val="Normal"/>
    <w:link w:val="FooterChar"/>
    <w:uiPriority w:val="99"/>
    <w:unhideWhenUsed/>
    <w:rsid w:val="00176880"/>
    <w:pPr>
      <w:tabs>
        <w:tab w:val="center" w:pos="4680"/>
        <w:tab w:val="right" w:pos="9360"/>
      </w:tabs>
    </w:pPr>
  </w:style>
  <w:style w:type="character" w:customStyle="1" w:styleId="FooterChar">
    <w:name w:val="Footer Char"/>
    <w:basedOn w:val="DefaultParagraphFont"/>
    <w:link w:val="Footer"/>
    <w:uiPriority w:val="99"/>
    <w:rsid w:val="00176880"/>
  </w:style>
  <w:style w:type="character" w:styleId="Hyperlink">
    <w:name w:val="Hyperlink"/>
    <w:basedOn w:val="DefaultParagraphFont"/>
    <w:uiPriority w:val="99"/>
    <w:unhideWhenUsed/>
    <w:rsid w:val="002F00DB"/>
    <w:rPr>
      <w:color w:val="0563C1" w:themeColor="hyperlink"/>
      <w:u w:val="single"/>
    </w:rPr>
  </w:style>
  <w:style w:type="character" w:styleId="UnresolvedMention">
    <w:name w:val="Unresolved Mention"/>
    <w:basedOn w:val="DefaultParagraphFont"/>
    <w:uiPriority w:val="99"/>
    <w:semiHidden/>
    <w:unhideWhenUsed/>
    <w:rsid w:val="002F00DB"/>
    <w:rPr>
      <w:color w:val="605E5C"/>
      <w:shd w:val="clear" w:color="auto" w:fill="E1DFDD"/>
    </w:rPr>
  </w:style>
  <w:style w:type="paragraph" w:styleId="FootnoteText">
    <w:name w:val="footnote text"/>
    <w:basedOn w:val="Normal"/>
    <w:link w:val="FootnoteTextChar"/>
    <w:uiPriority w:val="99"/>
    <w:unhideWhenUsed/>
    <w:rsid w:val="001D6C9D"/>
    <w:rPr>
      <w:rFonts w:ascii="Open Sans" w:hAnsi="Open Sans" w:cs="Arial"/>
      <w:sz w:val="20"/>
      <w:szCs w:val="20"/>
    </w:rPr>
  </w:style>
  <w:style w:type="character" w:customStyle="1" w:styleId="FootnoteTextChar">
    <w:name w:val="Footnote Text Char"/>
    <w:basedOn w:val="DefaultParagraphFont"/>
    <w:link w:val="FootnoteText"/>
    <w:uiPriority w:val="99"/>
    <w:rsid w:val="001D6C9D"/>
    <w:rPr>
      <w:rFonts w:ascii="Open Sans" w:hAnsi="Open Sans" w:cs="Arial"/>
      <w:sz w:val="20"/>
      <w:szCs w:val="20"/>
    </w:rPr>
  </w:style>
  <w:style w:type="character" w:styleId="FootnoteReference">
    <w:name w:val="footnote reference"/>
    <w:basedOn w:val="DefaultParagraphFont"/>
    <w:uiPriority w:val="99"/>
    <w:semiHidden/>
    <w:unhideWhenUsed/>
    <w:rsid w:val="001D6C9D"/>
    <w:rPr>
      <w:vertAlign w:val="superscript"/>
    </w:rPr>
  </w:style>
  <w:style w:type="paragraph" w:styleId="ListParagraph">
    <w:name w:val="List Paragraph"/>
    <w:basedOn w:val="Normal"/>
    <w:uiPriority w:val="34"/>
    <w:qFormat/>
    <w:rsid w:val="00AF00EC"/>
    <w:pPr>
      <w:ind w:left="720"/>
      <w:contextualSpacing/>
    </w:pPr>
    <w:rPr>
      <w:rFonts w:asciiTheme="minorHAnsi" w:hAnsiTheme="minorHAnsi"/>
      <w:szCs w:val="24"/>
    </w:rPr>
  </w:style>
  <w:style w:type="paragraph" w:styleId="BalloonText">
    <w:name w:val="Balloon Text"/>
    <w:basedOn w:val="Normal"/>
    <w:link w:val="BalloonTextChar"/>
    <w:uiPriority w:val="99"/>
    <w:semiHidden/>
    <w:unhideWhenUsed/>
    <w:rsid w:val="00100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9F3"/>
    <w:rPr>
      <w:rFonts w:ascii="Segoe UI" w:hAnsi="Segoe UI" w:cs="Segoe UI"/>
      <w:sz w:val="18"/>
      <w:szCs w:val="18"/>
    </w:rPr>
  </w:style>
  <w:style w:type="character" w:customStyle="1" w:styleId="Heading1Char">
    <w:name w:val="Heading 1 Char"/>
    <w:basedOn w:val="DefaultParagraphFont"/>
    <w:link w:val="Heading1"/>
    <w:uiPriority w:val="9"/>
    <w:rsid w:val="00FD6A7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D6A73"/>
    <w:pPr>
      <w:spacing w:line="259" w:lineRule="auto"/>
      <w:outlineLvl w:val="9"/>
    </w:pPr>
  </w:style>
  <w:style w:type="paragraph" w:styleId="TOC2">
    <w:name w:val="toc 2"/>
    <w:basedOn w:val="Normal"/>
    <w:next w:val="Normal"/>
    <w:autoRedefine/>
    <w:uiPriority w:val="39"/>
    <w:unhideWhenUsed/>
    <w:rsid w:val="00FD6A73"/>
    <w:pPr>
      <w:spacing w:after="100" w:line="259" w:lineRule="auto"/>
      <w:ind w:left="220"/>
    </w:pPr>
    <w:rPr>
      <w:rFonts w:asciiTheme="minorHAnsi" w:eastAsiaTheme="minorEastAsia" w:hAnsiTheme="minorHAnsi" w:cs="Times New Roman"/>
      <w:sz w:val="22"/>
    </w:rPr>
  </w:style>
  <w:style w:type="paragraph" w:styleId="TOC1">
    <w:name w:val="toc 1"/>
    <w:basedOn w:val="Normal"/>
    <w:next w:val="Normal"/>
    <w:autoRedefine/>
    <w:uiPriority w:val="39"/>
    <w:unhideWhenUsed/>
    <w:rsid w:val="00B16D20"/>
    <w:pPr>
      <w:spacing w:after="100" w:line="259" w:lineRule="auto"/>
    </w:pPr>
    <w:rPr>
      <w:rFonts w:eastAsiaTheme="minorEastAsia" w:cs="Times New Roman"/>
      <w:sz w:val="20"/>
      <w:szCs w:val="20"/>
    </w:rPr>
  </w:style>
  <w:style w:type="paragraph" w:styleId="TOC3">
    <w:name w:val="toc 3"/>
    <w:basedOn w:val="Normal"/>
    <w:next w:val="Normal"/>
    <w:autoRedefine/>
    <w:uiPriority w:val="39"/>
    <w:unhideWhenUsed/>
    <w:rsid w:val="00FD6A73"/>
    <w:pPr>
      <w:spacing w:after="100" w:line="259" w:lineRule="auto"/>
      <w:ind w:left="440"/>
    </w:pPr>
    <w:rPr>
      <w:rFonts w:asciiTheme="minorHAnsi" w:eastAsiaTheme="minorEastAsia" w:hAnsiTheme="minorHAnsi" w:cs="Times New Roman"/>
      <w:sz w:val="22"/>
    </w:rPr>
  </w:style>
  <w:style w:type="paragraph" w:styleId="NoSpacing">
    <w:name w:val="No Spacing"/>
    <w:uiPriority w:val="1"/>
    <w:qFormat/>
    <w:rsid w:val="00153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azcourts.gov/Portals/74/DisinformationTF/CDTFReport%20FINAL202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azcourts.gov/Portals/20/2021%20Rules/R-21-0001%20Rules%20Ord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zcourts.gov/Portals/20/2021%20Rules/R-21-0001%20Rules%20Orde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mericanbar.org/content/dam/aba/administrative/american-judicial-system/2018-rapid-response-to-fake-news.pdf" TargetMode="External"/><Relationship Id="rId7" Type="http://schemas.openxmlformats.org/officeDocument/2006/relationships/hyperlink" Target="http://www.ncsc.org/survey" TargetMode="External"/><Relationship Id="rId2" Type="http://schemas.openxmlformats.org/officeDocument/2006/relationships/hyperlink" Target="https://www.azcourts.gov/Portals/22/admorder/Orders19/2019-114.pdf" TargetMode="External"/><Relationship Id="rId1" Type="http://schemas.openxmlformats.org/officeDocument/2006/relationships/hyperlink" Target="https://www.azcourts.gov/AZ-Courts/Strategic-Agenda" TargetMode="External"/><Relationship Id="rId6" Type="http://schemas.openxmlformats.org/officeDocument/2006/relationships/hyperlink" Target="https://www.azcourts.gov/portals/137/rules/Arizona%20Code%20of%20Judicial%20Conduct.pdf" TargetMode="External"/><Relationship Id="rId5" Type="http://schemas.openxmlformats.org/officeDocument/2006/relationships/hyperlink" Target="https://www.azcourts.gov/portals/137/rules/Arizona%20Code%20of%20Judicial%20Conduct.pdf" TargetMode="External"/><Relationship Id="rId4" Type="http://schemas.openxmlformats.org/officeDocument/2006/relationships/hyperlink" Target="https://www.ncsl.org/Portals/1/Testing%20the%20Credibility%20of%20Sour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882751546D04E84A0F529B28166FA" ma:contentTypeVersion="11" ma:contentTypeDescription="Create a new document." ma:contentTypeScope="" ma:versionID="4a48286021d1fb2ee188b97ad5dcc309">
  <xsd:schema xmlns:xsd="http://www.w3.org/2001/XMLSchema" xmlns:xs="http://www.w3.org/2001/XMLSchema" xmlns:p="http://schemas.microsoft.com/office/2006/metadata/properties" xmlns:ns3="0ffb37f9-1bcf-4e3e-b04f-292b64b553dd" xmlns:ns4="eab2789c-9f89-4fbd-ab72-38dce97b8bc5" targetNamespace="http://schemas.microsoft.com/office/2006/metadata/properties" ma:root="true" ma:fieldsID="96e8f5cf970b5032064a93f67c125794" ns3:_="" ns4:_="">
    <xsd:import namespace="0ffb37f9-1bcf-4e3e-b04f-292b64b553dd"/>
    <xsd:import namespace="eab2789c-9f89-4fbd-ab72-38dce97b8b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b37f9-1bcf-4e3e-b04f-292b64b553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2789c-9f89-4fbd-ab72-38dce97b8b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1CEDCE-5E00-44B5-8F97-5E948C891363}">
  <ds:schemaRefs>
    <ds:schemaRef ds:uri="http://schemas.openxmlformats.org/officeDocument/2006/bibliography"/>
  </ds:schemaRefs>
</ds:datastoreItem>
</file>

<file path=customXml/itemProps2.xml><?xml version="1.0" encoding="utf-8"?>
<ds:datastoreItem xmlns:ds="http://schemas.openxmlformats.org/officeDocument/2006/customXml" ds:itemID="{5009D0D9-35E0-423E-B8FC-DFBD6A325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b37f9-1bcf-4e3e-b04f-292b64b553dd"/>
    <ds:schemaRef ds:uri="eab2789c-9f89-4fbd-ab72-38dce97b8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1E8C4-050B-4E34-820F-B1F54F762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C9F3C5-B2C8-4D3A-A837-4CB01BEAD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4287</Words>
  <Characters>24442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Aoc State Supreme Courts</Company>
  <LinksUpToDate>false</LinksUpToDate>
  <CharactersWithSpaces>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Aaron</dc:creator>
  <cp:keywords/>
  <dc:description/>
  <cp:lastModifiedBy>Moffatt, Alicia</cp:lastModifiedBy>
  <cp:revision>4</cp:revision>
  <cp:lastPrinted>2020-09-30T20:32:00Z</cp:lastPrinted>
  <dcterms:created xsi:type="dcterms:W3CDTF">2021-10-13T17:13:00Z</dcterms:created>
  <dcterms:modified xsi:type="dcterms:W3CDTF">2021-10-13T17:18:00Z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0x0101001F1882751546D04E84A0F529B28166FA</vt:lpwstr>
  </property>
</Properties>
</file>