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PELICAN ACQUISITION II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CORPORATION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92382812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CORPORATE GOVERNANCE GUIDELINES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1884765625" w:line="229.90814208984375" w:lineRule="auto"/>
        <w:ind w:left="20.399932861328125" w:right="213.599853515625" w:hanging="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of Directors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Board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sz w:val="24"/>
          <w:szCs w:val="24"/>
          <w:rtl w:val="0"/>
        </w:rPr>
        <w:t xml:space="preserve">Pelican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Acquisit</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ion</w:t>
      </w:r>
      <w:r w:rsidDel="00000000" w:rsidR="00000000" w:rsidRPr="00000000">
        <w:rPr>
          <w:rFonts w:ascii="Times New Roman" w:cs="Times New Roman" w:eastAsia="Times New Roman" w:hAnsi="Times New Roman"/>
          <w:sz w:val="24"/>
          <w:szCs w:val="24"/>
          <w:rtl w:val="0"/>
        </w:rPr>
        <w:t xml:space="preserve"> II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Corp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oration, a Cayman Islands  exempted company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Company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has adopted these Corporate Governance Guidelines as a  framework for the governance of the Board and oversight of the Company’s business and affairs  for the benefit of its shareholders.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12451171875" w:line="240" w:lineRule="auto"/>
        <w:ind w:left="16.079864501953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Roles of Management and the Board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29.90779876708984" w:lineRule="auto"/>
        <w:ind w:left="19.67987060546875" w:right="215.760498046875" w:hanging="0.959930419921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Company’s officers, under the direction of its Chief Executive Officer and subject to the  oversight of the Board, are responsible for the day-to-day management of the Company’s business  and affairs.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12451171875" w:line="229.90792751312256" w:lineRule="auto"/>
        <w:ind w:left="14.15985107421875" w:right="213.599853515625" w:firstLine="5.76004028320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is elected by the shareholders (in some circumstances, by the directors) to oversee  management and to provide strategic guidance and oversight, including with respect to the  Company’s efforts to identify and consummate an initial business combination. In carrying out its  responsibilities, the Board acts in what it reasonably believes to be the best interests of the  Company and its shareholders.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12353515625" w:line="240" w:lineRule="auto"/>
        <w:ind w:left="17.759857177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Board Composition and Criteria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03857421875" w:line="227.07561492919922" w:lineRule="auto"/>
        <w:ind w:left="13.43994140625" w:right="214.7998046875" w:firstLine="5.2799987792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size and composition of the Board shall be determined from time to time by the Board, subject  to applicable law and the Company's Amended and Restated Memorandum and Article of  Association.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447265625" w:line="226.90913200378418" w:lineRule="auto"/>
        <w:ind w:left="20.159912109375" w:right="213.599853515625" w:hanging="4.559936523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Prior to the consummation of the Company’s initial business combination (as defined in the  Company’s Amended and Restated Memorandum and Articles of Association), the Board shall be  structured in accordance with the Company’s charter documents. The Board retains discretion to  adjust its size and composition as circumstances warrant.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107421875" w:line="227.10913181304932" w:lineRule="auto"/>
        <w:ind w:left="9.839935302734375" w:right="213.84033203125" w:firstLine="11.519927978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Candidates for nomination or reelection to the Board shall be identified and recommended by the  Nominating and Corporate Governance Committee and approved by the Board. In evaluating  director candidates, the Committee and the Board shall consider such factors as they deem  appropriate, including integrity, judgment, independence, professional experience, financial  literacy, ability to devote sufficient time to Board service, and the overall composition and  diversity of the Board.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111083984375" w:line="226.90913200378418" w:lineRule="auto"/>
        <w:ind w:left="19.67987060546875" w:right="216.96044921875" w:hanging="5.0399780273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majority of the Board shall consist of directors who are independent, as determined by the Board  in accordance with the listing standards of the New York Stock Exchange and all other applicable  legal and regulatory requirements.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1104736328125" w:line="226.90913200378418" w:lineRule="auto"/>
        <w:ind w:left="21.35986328125" w:right="217.200927734375" w:hanging="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director shall meet the qualifications for Board membership set forth in these Guidelines and  applicable law.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1095581054688" w:line="240" w:lineRule="auto"/>
        <w:ind w:left="15.83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Qualification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199035644531" w:line="229.90804195404053" w:lineRule="auto"/>
        <w:ind w:left="20.879974365234375" w:right="0" w:hanging="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Nominating and Corporate Governance Committee of the Board has determined that candidates  for nomination or reelection to the Board should possess the following qualifications, among others: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1192321777344" w:line="240" w:lineRule="auto"/>
        <w:ind w:left="4662.413482666016"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385.19989013671875" w:right="86.4807128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highest level of personal and professional ethics, integrity, and values;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 and expertise that are relevant to the Company’s business and complementary to  the background and experience of other members of the Board;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3720703125" w:line="231.24089241027832" w:lineRule="auto"/>
        <w:ind w:left="734.5597839355469" w:right="1218.2403564453125" w:hanging="349.3598937988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willingness and ability to devote sufficient time and attention to the duties and  responsibilities of Board service;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94921875" w:line="229.90779876708984" w:lineRule="auto"/>
        <w:ind w:left="733.3598327636719" w:right="690.240478515625" w:hanging="349.3598937988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commitment to ensuring that the Company’s operations and financial reporting are  conducted in a transparent manner and in compliance with applicable laws, rules, and  regulations; and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459.8165988922119" w:lineRule="auto"/>
        <w:ind w:left="16.079864501953125" w:right="1008.00048828125" w:firstLine="367.920074462890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dedication to representing the best interests of the Company and its shareholders.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Responsibilities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422981262207" w:lineRule="auto"/>
        <w:ind w:left="13.43994140625" w:right="217.19970703125" w:firstLine="5.2799987792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business and affairs of the Company shall be managed under the direction of the Board in  accordance with applicable law and the Company’s Amended and Restated Memorandum and  Articles of Association. To promote the effective discharge of its responsibilities and the efficient  conduct of its business, the Board has established the following expectations of directors: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778564453125" w:line="226.90913200378418" w:lineRule="auto"/>
        <w:ind w:left="734.3199157714844" w:right="213.599853515625" w:hanging="350.31997680664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Commitment and Attendance: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Directors are expected to attend, whether in person or by  telephone or other permitted means of communication, all meetings of the Board and of  the committees on which they serve. Directors should review all materials provided in  advance of meetings and be prepared to participate actively in discussions and  deliberations.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113037109375" w:line="227.57540702819824" w:lineRule="auto"/>
        <w:ind w:left="740.5598449707031" w:right="213.599853515625" w:hanging="356.55990600585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Participation in Meeting: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director should maintain sufficient familiarity with the  Company’s business, financial condition, and regulatory environment to facilitate informed  and effective participation in Board and committee deliberations.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446533203125" w:line="227.05334186553955" w:lineRule="auto"/>
        <w:ind w:left="733.2374572753906" w:right="205.68115234375" w:hanging="349.23751831054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Ethics and Conflicts of Interest: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has adopted a Code of Ethics and Business  Conduct, which applies to directors, officers, and employees. Directors are expected to be  familiar with and to comply with the Code, including its provisions addressing conflicts of  interest and related party transactions. Any director who has an actual or potential conflict of  interest, including involvement in a proposed related party transaction, shall promptly  disclose such conflict to the Chair of the Board and the Chair of the independent committee  designated to review such matters. Pursuant to the Company's Amended and Restated  Memorandum and Article of Association, </w:t>
      </w: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a director may vote at a meeting of Directors on any  resolution concerning a matter in which that director has an interest or duty, whether directly or  indirectly, so long as that director discloses any material interest in accordance with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Company's  Amended and Restated Memorandum and Article of Association</w:t>
      </w: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 Notwithstanding this,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affected director shall recuse himself or herself from any discussion or decision of the Board  or any committee relating to the matter. The independent committee of the Board designated  to address conflicts of interest shall review and approve any related party transaction in  accordance with applicable law and Company policy. No related party transaction shall be  effected without such approval. Conflicts of interest involving officers or employees shall be  addressed in accordance with the Company’s Code of Ethics and Business Conduct.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1090698242188" w:line="230.2411937713623" w:lineRule="auto"/>
        <w:ind w:left="744.8797607421875" w:right="275.52001953125" w:hanging="359.6798706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Relationships: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values the experience directors bring from their  separate business endeavors and from other boards on which they serve. However, the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787902832031" w:line="240" w:lineRule="auto"/>
        <w:ind w:left="27.8831481933593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“Related party transaction” refers to any transaction which the Company would be required to disclose pursuant to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331756591797" w:line="240" w:lineRule="auto"/>
        <w:ind w:left="4641.331939697266"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299499511718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Item 404 of Regulation S-K.</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7333984375" w:line="240" w:lineRule="auto"/>
        <w:ind w:left="4645.723419189453"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732.6397705078125" w:right="213.1201171875" w:firstLine="4.560089111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recognizes that such commitments may place demands on a director’s time and may  give rise to actual or potential conflicts of interest. Directors should ensure that their other  professional and personal commitments do not materially interfere with the discharge of  their duties to the Company. Directors are expected to notify the Chair of the Nominating  and Corporate Governance Committee prior to accepting service on the board of directors  of another public company or making any significant change in their principal professional  commitments.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5625" w:line="229.90779876708984" w:lineRule="auto"/>
        <w:ind w:left="741.2797546386719" w:right="219.7607421875" w:hanging="356.07986450195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Confidentiality: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proceedings and deliberations of the Board and its committees are  confidential. Each director should maintain the confidentiality of information received in  connection with his or her service as a director.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1240234375" w:line="240" w:lineRule="auto"/>
        <w:ind w:left="15.83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Access to Management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19677734375" w:line="229.90804195404053" w:lineRule="auto"/>
        <w:ind w:left="20.87982177734375" w:right="224.7216796875" w:hanging="3.1199645996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director will have unabridged access to senior management and other employees of the  Company in order to become and remain informed about the Company’s business and for any  other purpose relevant to the fulfillment of the responsibilities of a member of the Board.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18896484375" w:line="240" w:lineRule="auto"/>
        <w:ind w:left="17.279815673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Reporting Violations or Other Concerns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29.9288558959961" w:lineRule="auto"/>
        <w:ind w:left="14.15985107421875" w:right="212.16064453125" w:firstLine="0.48004150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Anyone who wants to report a concern relating to the Company’s Code of Ethics and Business  Conduct or the Company’s accounting, internal accounting controls or auditing matters may  communicate that concern directly to the Audit Committee of the Board or to any one or more of  the non-employee directors of the Company. Any such communication may be confidential or  anonymous and may be made by mail, phone or fax or via a web-based reporting system, in each  case to the addresses, phone or fax numbers or website addresses specified in the Company’s Code  of Ethics and Business Conduct available on the Company’s website. Questions or concerns  relating to accounting, internal controls, auditing or officer conduct will be sent to the Chairman  of the Audit Committee and any other non-employee director designated by the Board to receive  such questions or concerns and at the same time will be reviewed and addressed by one or more  members of management in the same way that other concerns are addressed by the Company. The  status of all outstanding concerns addressed to non-employee directors will be reported to the  Chairman of the Audit Committee on a regular basis. The Chairman of the Audit Committee (or  any other non-employee director designated by the Board) may direct that a matter be presented  to the Board, the Audit Committee or another committee designated by the Board and may direct  that various actions, including the retention of one or more outside advisors or counsel, be taken  to assure that a concern is properly addressed.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909423828125" w:line="240" w:lineRule="auto"/>
        <w:ind w:left="17.279815673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Retention of Advisors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30.90762615203857" w:lineRule="auto"/>
        <w:ind w:left="21.599884033203125" w:right="225.2001953125" w:hanging="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may engage the services of independent consultants or advisors, at the Company’s  expense.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1243896484375" w:line="240" w:lineRule="auto"/>
        <w:ind w:left="14.639892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Annual Board and Committee Evaluation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017822265625" w:line="230.0746250152588" w:lineRule="auto"/>
        <w:ind w:left="15.11993408203125" w:right="219.600830078125" w:firstLine="4.799957275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and each of its standing committees shall conduct an annual self-evaluation to assess  their effectiveness and performance. The Nominating and Corporate Governance Committee shall  oversee the evaluation process and report its findings to the Board.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4531860351562" w:line="240" w:lineRule="auto"/>
        <w:ind w:left="15.83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Compensation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958251953" w:line="240" w:lineRule="auto"/>
        <w:ind w:left="4640.233917236328"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4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798583984375" w:right="216.240234375" w:firstLine="7.44003295898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should annually review the form and amount of all types of compensation to be paid  by the Company to or on behalf of members of the Board, including, without limitation, cash fees,  stock incentives and contributions to charities at the behest of Board members. Board  compensation should be customary, reasonable and competitive, as determined by the Board.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4130859375" w:line="240" w:lineRule="auto"/>
        <w:ind w:left="4647.260894775391"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0.87982177734375" w:right="219.840087890625" w:hanging="4.0798950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Directors who are employees of the Company will not receive additional compensation for service  on the Board or any committee of the Board.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25" w:line="240" w:lineRule="auto"/>
        <w:ind w:left="22.07992553710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Orientation of New Directors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201171875" w:line="229.90779876708984" w:lineRule="auto"/>
        <w:ind w:left="20.63995361328125" w:right="216.96044921875" w:hanging="0.7200622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or the Nominating and Corporate Governance Committee may develop and oversee an  orientation program for new members of the Board. The orientation program should provide new  directors with comprehensive information about the Company’s business, performance, policies  and procedures and the responsibilities and expectations of members of the Board.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25" w:line="240" w:lineRule="auto"/>
        <w:ind w:left="22.3199462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Continuing Education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29.90779876708984" w:lineRule="auto"/>
        <w:ind w:left="11.039886474609375" w:right="221.839599609375" w:firstLine="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will encourage the participation of all Board members in continuing education  programs, at the expense of the Company, that are relevant to the business and affairs of the  Company and the fulfillment of the directors’ responsibilities as members of the Board.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25" w:line="240" w:lineRule="auto"/>
        <w:ind w:left="16.7999267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Flexibility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3369140625" w:line="229.90792751312256" w:lineRule="auto"/>
        <w:ind w:left="13.43994140625" w:right="218.64013671875" w:firstLine="5.2799987792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believes that the policies and procedures described in these Corporate Governance  Guidelines should remain flexible to facilitate the Board’s ability to respond to changing  circumstances and conditions in fulfilling its responsibilities to the Company and its shareholders.  Accordingly, the Board reserves the right to amend these Corporate Governance Guidelines or  grant waivers hereunder, from time to time.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12255859375" w:line="231.90743923187256" w:lineRule="auto"/>
        <w:ind w:left="18.47991943359375" w:right="344.3994140625" w:hanging="18.4799194335937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Adopted by the Board of Directors effective upon consummation of the Company’s initial public  offering.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3.2122802734375" w:line="240" w:lineRule="auto"/>
        <w:ind w:left="4646.162872314453"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6 </w:t>
      </w:r>
    </w:p>
    <w:sectPr>
      <w:pgSz w:h="15840" w:w="12240" w:orient="portrait"/>
      <w:pgMar w:bottom="1020" w:top="1324.7998046875" w:left="1427.2801208496094" w:right="1157.19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lTN12PSKYv+e+TBTNNFucO4VQ==">CgMxLjA4AHIhMTNKQ2huSkZCQkpLaWFqM0FzYVlPeXllM055UU1TOUNu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