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25.1910400390625" w:firstLine="0"/>
        <w:jc w:val="right"/>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bCs w:val="1"/>
          <w:sz w:val="20.040000915527344"/>
          <w:szCs w:val="20.040000915527344"/>
          <w:rtl w:val="0"/>
        </w:rPr>
        <w:t xml:space="preserve">PELICAN ACQUISITION II CORPORATION NOMINATING AND </w:t>
      </w:r>
      <w:r w:rsidDel="00000000" w:rsidR="00000000" w:rsidRPr="00000000">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4462890625" w:line="240" w:lineRule="auto"/>
        <w:ind w:left="1157.2213745117188" w:right="0" w:firstLine="0"/>
        <w:jc w:val="left"/>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tl w:val="0"/>
        </w:rPr>
        <w:t xml:space="preserve">CORPORATE GOVERNANCE COMMITTEE CHARTER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220947265625" w:line="240" w:lineRule="auto"/>
        <w:ind w:left="20.446014404296875" w:right="0" w:firstLine="0"/>
        <w:jc w:val="left"/>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tl w:val="0"/>
        </w:rPr>
        <w:t xml:space="preserve">I. Purpose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790283203125" w:line="226.19839668273926" w:lineRule="auto"/>
        <w:ind w:left="5.444793701171875" w:right="109.425048828125" w:firstLine="721.3583374023438"/>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purposes of the Nominating and Corporate Governance Committee (the “Committee”) of the Board of  Directors (the “Board”) of Pelican Acquisition II Corporation (the “Company”) shall be to: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r>
      <w:r w:rsidDel="00000000" w:rsidR="00000000" w:rsidRPr="00000000">
        <w:rPr>
          <w:rFonts w:ascii="Times New Roman" w:cs="Times New Roman" w:eastAsia="Times New Roman" w:hAnsi="Times New Roman"/>
          <w:sz w:val="20.040000915527344"/>
          <w:szCs w:val="20.040000915527344"/>
          <w:rtl w:val="0"/>
        </w:rPr>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458251953125" w:line="229.9077558517456" w:lineRule="auto"/>
        <w:ind w:left="10.08331298828125" w:right="55.3662109375" w:firstLine="718.9097595214844"/>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identify and to recommend individuals qualified to serve as directors of the Company and on committees  of the Board;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99072265625" w:line="240" w:lineRule="auto"/>
        <w:ind w:left="728.9930725097656"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advise the Board with respect to the Board composition, procedures and committees;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532470703125" w:line="229.8480749130249" w:lineRule="auto"/>
        <w:ind w:left="9.2523193359375" w:right="59.344482421875" w:firstLine="719.7407531738281"/>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develop and recommend to the Board a set of corporate governance guidelines (the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t xml:space="preserve">Guidelines</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  applicable to the Company; and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408935546875" w:line="240" w:lineRule="auto"/>
        <w:ind w:left="728.9930725097656"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oversee the evaluation of the Board and the Company’s management.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4482421875" w:line="229.49787139892578" w:lineRule="auto"/>
        <w:ind w:left="2.0404052734375" w:right="6.04736328125" w:firstLine="721.4350891113281"/>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While the members of the Committee have the duties and responsibilities set forth in this charter (this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t xml:space="preserve">Charter</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 nothing contained in this Charter is intended to create, or should be construed as creating, any  responsibility or liability of members of the Committee, except to the extent otherwise provided under applicable  federal or state law.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422607421875" w:line="240" w:lineRule="auto"/>
        <w:ind w:left="20.446014404296875" w:right="0" w:firstLine="0"/>
        <w:jc w:val="left"/>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tl w:val="0"/>
        </w:rPr>
        <w:t xml:space="preserve">II. Organization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7939453125" w:line="229.42924976348877" w:lineRule="auto"/>
        <w:ind w:left="3.96026611328125" w:right="4.996337890625" w:firstLine="722.8428649902344"/>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consist of two or more independent directors as determined from time to time by the  Board. Each member of the Committee shall be “independent” and qualified to serve on the Committee pursuant to  the requirements of the Nasdaq Global Market (“Nasdaq”), and any additional requirements that the Board deems  appropriate.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795166015625" w:line="228.7089443206787" w:lineRule="auto"/>
        <w:ind w:left="7.649688720703125" w:right="7.5" w:firstLine="719.2350769042969"/>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chairperson of the Committee shall be designated by the Board; </w:t>
      </w:r>
      <w:r w:rsidDel="00000000" w:rsidR="00000000" w:rsidRPr="00000000">
        <w:rPr>
          <w:rFonts w:ascii="Times New Roman" w:cs="Times New Roman" w:eastAsia="Times New Roman" w:hAnsi="Times New Roman"/>
          <w:b w:val="0"/>
          <w:bCs w:val="0"/>
          <w:i w:val="1"/>
          <w:iCs w:val="1"/>
          <w:smallCaps w:val="0"/>
          <w:strike w:val="0"/>
          <w:color w:val="000000"/>
          <w:sz w:val="20.040000915527344"/>
          <w:szCs w:val="20.040000915527344"/>
          <w:u w:val="none"/>
          <w:shd w:fill="auto" w:val="clear"/>
          <w:vertAlign w:val="baseline"/>
          <w:rtl w:val="0"/>
        </w:rPr>
        <w:t xml:space="preserve">provided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that if the Board does not so  designate a chairperson, the members of the Committee, by a majority vote, may designate a chairperson.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6837158203125" w:line="229.90844249725342" w:lineRule="auto"/>
        <w:ind w:left="10.656585693359375" w:right="7.218017578125" w:firstLine="710.8184814453125"/>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Any vacancy on the Committee shall be filled by majority vote of the Board. No member of the Committee  shall be removed except by majority vote of the Board.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002197265625" w:line="240" w:lineRule="auto"/>
        <w:ind w:left="20.446014404296875" w:right="0" w:firstLine="0"/>
        <w:jc w:val="left"/>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tl w:val="0"/>
        </w:rPr>
        <w:t xml:space="preserve">III. Meetings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792724609375" w:line="229.30821418762207" w:lineRule="auto"/>
        <w:ind w:left="3.358917236328125" w:right="8.843994140625" w:firstLine="723.4442138671875"/>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meet as often as it determines necessary to carry out its duties and responsibilities, but  at least once annually. The Committee, in its discretion, may ask members of management or others to attend its  meetings (or portions thereof) and to provide pertinent information as necessary.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3630981445312" w:line="229.30821418762207" w:lineRule="auto"/>
        <w:ind w:left="8.56903076171875" w:right="7.2998046875" w:firstLine="713.6244201660156"/>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A majority of the members of the Committee present in person or by means of a conference telephone or  other communications equipment by means of which all persons participating in the meeting can hear each other shall  constitute a quorum.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8292236328125" w:line="229.90779876708984" w:lineRule="auto"/>
        <w:ind w:left="5.965423583984375" w:right="6.016845703125" w:firstLine="722.2407531738281"/>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maintain minutes of its meetings and records relating to those meetings and shall report  regularly to the Board on its activities, as appropriate.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46014404296875" w:right="0" w:firstLine="0"/>
        <w:jc w:val="left"/>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tl w:val="0"/>
        </w:rPr>
        <w:t xml:space="preserve">IV. Authority and Responsibilities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532958984375" w:line="240" w:lineRule="auto"/>
        <w:ind w:left="3.629150390625"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t xml:space="preserve">Board Candidates and Nominees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89794921875" w:line="229.9077558517456" w:lineRule="auto"/>
        <w:ind w:left="3.358612060546875" w:right="349.2236328125" w:firstLine="723.4445190429688"/>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have the following duties and responsibilities with respect to Board candidates and nominees: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41650390625" w:line="229.50792789459229" w:lineRule="auto"/>
        <w:ind w:left="1.64886474609375" w:right="7.447509765625" w:firstLine="727.3442077636719"/>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Subject to the provisions of the Company’s obligations under the Insider Letter, dated as of [ ], 2025, to  assist in identifying, recruiting and, if appropriate, interviewing candidates to fill positions on the Board, including  persons suggested by shareholders or others. The Committee may, if it deems appropriate, establish procedures to be  followed by shareholders in submitting recommendations for Board candidates.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15185546875" w:line="229.66760158538818" w:lineRule="auto"/>
        <w:ind w:left="2.381134033203125" w:right="1.38427734375" w:firstLine="725.4118347167969"/>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review the background and qualifications of individuals being considered as director candidates.  Among the qualifications considered in the selection of candidates, the Committee shall look at the following attributes  and criteria of candidates: educational background, range of professional experience, knowledge of our business,  integrity, professional reputation, independence, wisdom, and the ability to represent the best interests of our  shareholders and such other relevant factors that the Committee considers appropriate in the context of the needs of  the Board.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642822265625" w:line="229.5084285736084" w:lineRule="auto"/>
        <w:ind w:left="6.075592041015625" w:right="1.4990234375" w:firstLine="721.7173767089844"/>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recommend to the Board the director nominees for election by the shareholders or appointment by the  Board, as the case may be, pursuant to the Company’s amended and restated memorandum and articles of association,  as amended from time to time, which recommendations shall be consistent with the criteria for selecting directors  established by the Board from time to time.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1640625" w:line="229.30840015411377" w:lineRule="auto"/>
        <w:ind w:left="1.83258056640625" w:right="7.845458984375" w:firstLine="725.9603881835938"/>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review the suitability for continued service as a director of each Board member when his or her term  expires and when he or she has a change in status, including, but not limited to, an employment change, and to  recommend whether or not the director should be re-nominated.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43408203125" w:line="240" w:lineRule="auto"/>
        <w:ind w:left="4.2193603515625"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t xml:space="preserve">Board Composition and Procedures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5330810546875" w:line="229.90844249725342" w:lineRule="auto"/>
        <w:ind w:left="0.599822998046875" w:right="60" w:firstLine="726.2501525878906"/>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have the following duties and responsibilities with respect to the composition and  procedures of the Board as a whole: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997802734375" w:line="229.5084285736084" w:lineRule="auto"/>
        <w:ind w:left="3.204345703125" w:right="5.43701171875" w:firstLine="725.7887268066406"/>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review annually with the Board the composition of the Board as a whole and to recommend, if  necessary, measures to be taken so that the Board reflects the appropriate balance of knowledge, experience, skills  and expertise required for the Board as a whole and contains at least the minimum number of independent directors  required by Nasdaq.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5087890625" w:line="240" w:lineRule="auto"/>
        <w:ind w:left="0" w:right="0" w:firstLine="0"/>
        <w:jc w:val="center"/>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2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1986694335938" w:line="459.69592094421387" w:lineRule="auto"/>
        <w:ind w:left="728.9930725097656" w:right="378.944091796875" w:firstLine="0"/>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review periodically the size of the Board and to recommend to the Board any appropriate changes. </w:t>
      </w: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make recommendations on the frequency and structure of Board meetings.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869384765625" w:line="229.9079418182373" w:lineRule="auto"/>
        <w:ind w:left="4.267578125" w:right="0.380859375" w:firstLine="723.525390625"/>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make recommendations concerning any other aspect of the procedures of the Board that the Committee  considers warranted, including but not limited to procedures with respect to the waiver by the Board of any Company  rule, guideline, procedure or corporate governance principle.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399658203125" w:line="240" w:lineRule="auto"/>
        <w:ind w:left="7.998504638671875"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t xml:space="preserve">Board Committees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9325561523438" w:line="229.9079704284668" w:lineRule="auto"/>
        <w:ind w:left="8.769989013671875" w:right="133.4130859375" w:firstLine="718.0331420898438"/>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have the following duties and responsibilities with respect to the committee structure  of the Board:</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0756301879883" w:lineRule="auto"/>
        <w:ind w:left="6.652374267578125" w:right="0" w:firstLine="722.3406982421875"/>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After consultation with the Chairperson of the Board and Chief Executive Officer, and after taking into  account the experiences and expertise of individual directors, to make recommendations to the Board regarding the  size and composition of each standing committee of the Board, including the identification of individuals qualified to  serve as members of a committee, including the Committee, and to recommend individual directors to fill any vacancy  that might occur on a committee, including the Committee.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37353515625" w:line="229.9077558517456" w:lineRule="auto"/>
        <w:ind w:left="8.784332275390625" w:right="6.60888671875" w:firstLine="720.208740234375"/>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monitor the functioning of the committees of the Board and to make recommendations for any  changes, including the creation and elimination of committees.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99169921875" w:line="229.9077558517456" w:lineRule="auto"/>
        <w:ind w:left="3.60992431640625" w:right="9.01611328125" w:firstLine="725.3831481933594"/>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review annually committee assignments and the policy with respect to the rotation of committee  memberships and/or chairpersonships, and to report any recommendations to the Board.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99072265625" w:line="229.50792789459229" w:lineRule="auto"/>
        <w:ind w:left="2.62176513671875" w:right="3.86962890625" w:firstLine="726.3713073730469"/>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recommend that the Board establish such special committees as may be desirable or necessary from  time to time in order to address ethical, legal or other matters that may arise. The Committee’s power to make such a  recommendation under this Charter shall be without prejudice to the right of any other committee of the Board, or any  individual director, to make such a recommendation at any time.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16357421875" w:line="240" w:lineRule="auto"/>
        <w:ind w:left="5.4193115234375"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t xml:space="preserve">Corporate Governance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928466796875" w:line="240" w:lineRule="auto"/>
        <w:ind w:left="0" w:right="401.768798828125" w:firstLine="0"/>
        <w:jc w:val="righ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have the following duties and responsibilities with respect to corporate governance: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4732666015625" w:line="229.9081563949585" w:lineRule="auto"/>
        <w:ind w:left="6.475982666015625" w:right="4.825439453125" w:firstLine="722.51708984375"/>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develop and recommend to the Board the Guidelines for the Company, which shall be consistent with  any applicable laws, regulations and listing standards. At a minimum, the Guidelines developed and recommended by  the Committee shall address the following: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40576171875" w:line="240" w:lineRule="auto"/>
        <w:ind w:left="1447.8060913085938"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i.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Director qualification standards.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329833984375" w:line="240" w:lineRule="auto"/>
        <w:ind w:left="1447.8060913085938"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ii.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Director responsibilities.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3359375" w:line="240" w:lineRule="auto"/>
        <w:ind w:left="0" w:right="729.0185546875" w:firstLine="0"/>
        <w:jc w:val="righ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iii.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Director access to management and, as necessary and appropriate, independent advisors.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53369140625" w:line="231.10798358917236" w:lineRule="auto"/>
        <w:ind w:left="8.831024169921875" w:right="225.6787109375" w:firstLine="1438.9750671386719"/>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iv.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Director compensation, including principles for determining the form and amount of director  compensation, and for reviewing those principles, as appropriate.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317626953125" w:line="240" w:lineRule="auto"/>
        <w:ind w:left="0" w:right="0" w:firstLine="0"/>
        <w:jc w:val="center"/>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3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3115234375" w:line="240" w:lineRule="auto"/>
        <w:ind w:left="1443.629150390625"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v.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Director orientation and continuing education.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329833984375" w:line="229.9079418182373" w:lineRule="auto"/>
        <w:ind w:left="3.210296630859375" w:right="6.943359375" w:firstLine="1440.4188537597656"/>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vi.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Management succession, including policies and principles for the selection and performance  review of the Chief Executive Officer, as well as policies regarding succession in the event of an emergency or the  retirement of the Chief Executive Officer.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3966064453125" w:line="240" w:lineRule="auto"/>
        <w:ind w:left="1443.629150390625"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vii.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Annual performance evaluation of the Board.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3328857421875" w:line="229.9079418182373" w:lineRule="auto"/>
        <w:ind w:left="5.6500244140625" w:right="3.345947265625" w:firstLine="723.3430480957031"/>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review periodically, and at least annually, the Guidelines adopted by the Board to assure that they are  appropriate for the Company and comply with the requirements of Nasdaq, and to recommend any desirable changes  to the Board.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399169921875" w:line="229.9079704284668" w:lineRule="auto"/>
        <w:ind w:left="4.0826416015625" w:right="7.659912109375" w:firstLine="724.9104309082031"/>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To consider any other corporate governance issues that arise from time to time, and to develop appropriate  recommendations for the Board.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90008544921875" w:line="240" w:lineRule="auto"/>
        <w:ind w:left="6.21490478515625" w:right="0" w:firstLine="0"/>
        <w:jc w:val="left"/>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E.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single"/>
          <w:shd w:fill="auto" w:val="clear"/>
          <w:vertAlign w:val="baseline"/>
          <w:rtl w:val="0"/>
        </w:rPr>
        <w:t xml:space="preserve">Evaluation of the Board and Management</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558517456" w:lineRule="auto"/>
        <w:ind w:left="9.217529296875" w:right="9.46044921875" w:firstLine="717.6324462890625"/>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have the following duties and responsibilities with respect to evaluation of the Board  and management: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99169921875" w:line="229.9077558517456" w:lineRule="auto"/>
        <w:ind w:left="3.629150390625" w:right="5.75439453125" w:firstLine="725.3639221191406"/>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6506118774414"/>
          <w:szCs w:val="19.96506118774414"/>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be responsible for overseeing an annual evaluation of the Board as a whole and  management, and shall evaluate and report to the Board on the performance and effectiveness of the Board. The  Committee shall establish procedures to allow it to exercise this oversight function.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438720703125" w:line="240" w:lineRule="auto"/>
        <w:ind w:left="18.041229248046875" w:right="0" w:firstLine="0"/>
        <w:jc w:val="left"/>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tl w:val="0"/>
        </w:rPr>
        <w:t xml:space="preserve">V. Delegation of Authority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3330078125" w:line="229.60756301879883" w:lineRule="auto"/>
        <w:ind w:left="0" w:right="7.392578125" w:firstLine="725.6498718261719"/>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may form subcommittees for any purpose that the Committee deems appropriate and may  delegate to such subcommittees such power and authority as the Committee deems appropriate; </w:t>
      </w:r>
      <w:r w:rsidDel="00000000" w:rsidR="00000000" w:rsidRPr="00000000">
        <w:rPr>
          <w:rFonts w:ascii="Times New Roman" w:cs="Times New Roman" w:eastAsia="Times New Roman" w:hAnsi="Times New Roman"/>
          <w:b w:val="0"/>
          <w:bCs w:val="0"/>
          <w:i w:val="1"/>
          <w:iCs w:val="1"/>
          <w:smallCaps w:val="0"/>
          <w:strike w:val="0"/>
          <w:color w:val="000000"/>
          <w:sz w:val="20.040000915527344"/>
          <w:szCs w:val="20.040000915527344"/>
          <w:u w:val="none"/>
          <w:shd w:fill="auto" w:val="clear"/>
          <w:vertAlign w:val="baseline"/>
          <w:rtl w:val="0"/>
        </w:rPr>
        <w:t xml:space="preserve">provided</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040000915527344"/>
          <w:szCs w:val="20.040000915527344"/>
          <w:u w:val="none"/>
          <w:shd w:fill="auto" w:val="clear"/>
          <w:vertAlign w:val="baseline"/>
          <w:rtl w:val="0"/>
        </w:rPr>
        <w:t xml:space="preserve">however</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  that no subcommittee shall consist of fewer than two members; and </w:t>
      </w:r>
      <w:r w:rsidDel="00000000" w:rsidR="00000000" w:rsidRPr="00000000">
        <w:rPr>
          <w:rFonts w:ascii="Times New Roman" w:cs="Times New Roman" w:eastAsia="Times New Roman" w:hAnsi="Times New Roman"/>
          <w:b w:val="0"/>
          <w:bCs w:val="0"/>
          <w:i w:val="1"/>
          <w:iCs w:val="1"/>
          <w:smallCaps w:val="0"/>
          <w:strike w:val="0"/>
          <w:color w:val="000000"/>
          <w:sz w:val="20.040000915527344"/>
          <w:szCs w:val="20.040000915527344"/>
          <w:u w:val="none"/>
          <w:shd w:fill="auto" w:val="clear"/>
          <w:vertAlign w:val="baseline"/>
          <w:rtl w:val="0"/>
        </w:rPr>
        <w:t xml:space="preserve">provided further </w:t>
      </w: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that the Committee shall not  delegate to a subcommittee any power or authority required by any law, regulation or listing standard to be exercised  by the Committee as a whole.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374267578125" w:line="240" w:lineRule="auto"/>
        <w:ind w:left="18.041229248046875" w:right="0" w:firstLine="0"/>
        <w:jc w:val="left"/>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tl w:val="0"/>
        </w:rPr>
        <w:t xml:space="preserve">VI. Reporting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792724609375" w:line="229.5083999633789" w:lineRule="auto"/>
        <w:ind w:left="4.36004638671875" w:right="1.690673828125" w:firstLine="722.4430847167969"/>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on an annual basis, evaluate its performance. In conducting this review, the Committee  shall evaluate whether this Charter appropriately addresses the matters that are or should be within its scope and shall  recommend such changes as it deems necessary or appropriate. The Committee shall address all matters that the  Committee considers relevant to its performance, including at least the following: the adequacy, appropriateness and  quality of the information and recommendations presented by the Committee to the Board, the manner in which they  were discussed or debated and whether the number and length of meetings of the Committee were adequate for the  Committee to complete its work in a thorough and thoughtful manner.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4110107421875" w:line="229.30840015411377" w:lineRule="auto"/>
        <w:ind w:left="10.572509765625" w:right="1.551513671875" w:firstLine="717.4319458007812"/>
        <w:jc w:val="both"/>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deliver to the Board a report, which may be oral, setting forth the results of its  evaluation, including any recommended amendments to this Charter and any recommended changes to the Company’s  or the Board’s policies or procedures.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61083984375" w:line="240" w:lineRule="auto"/>
        <w:ind w:left="18.041229248046875" w:right="0" w:firstLine="0"/>
        <w:jc w:val="left"/>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040000915527344"/>
          <w:szCs w:val="20.040000915527344"/>
          <w:u w:val="none"/>
          <w:shd w:fill="auto" w:val="clear"/>
          <w:vertAlign w:val="baseline"/>
          <w:rtl w:val="0"/>
        </w:rPr>
        <w:t xml:space="preserve">VII. Resources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3336181640625" w:line="229.6084213256836" w:lineRule="auto"/>
        <w:ind w:left="6.103515625E-4" w:right="4.19189453125" w:firstLine="726.849365234375"/>
        <w:jc w:val="left"/>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The Committee shall have the sole authority to retain and terminate advisors, at the Company’s expense, such  as independent counsel, other consultants or advisors as it deems necessary or appropriate in carrying out its duties. The Committee shall have the sole authority to retain or terminate any search firm to be used to identify director  candidates, including sole authority to approve the search firm’s fees and other retention terms, such fees to be borne  by the Company.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9742431640625" w:line="240" w:lineRule="auto"/>
        <w:ind w:left="0" w:right="0" w:firstLine="0"/>
        <w:jc w:val="center"/>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040000915527344"/>
          <w:szCs w:val="20.040000915527344"/>
          <w:u w:val="none"/>
          <w:shd w:fill="auto" w:val="clear"/>
          <w:vertAlign w:val="baseline"/>
          <w:rtl w:val="0"/>
        </w:rPr>
        <w:t xml:space="preserve">4</w:t>
      </w:r>
    </w:p>
    <w:sectPr>
      <w:headerReference w:type="default" r:id="rId6"/>
      <w:footerReference w:type="default" r:id="rId7"/>
      <w:pgSz w:h="15840" w:w="12240" w:orient="portrait"/>
      <w:pgMar w:bottom="1847.8799438476562" w:top="1408.800048828125" w:left="1437.9620361328125" w:right="1378.9501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