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CDF16" w14:textId="77777777" w:rsidR="00AB30CB" w:rsidRPr="00566573" w:rsidRDefault="00AB30CB" w:rsidP="00D80518">
      <w:pPr>
        <w:spacing w:before="480" w:line="360" w:lineRule="auto"/>
        <w:jc w:val="both"/>
        <w:outlineLvl w:val="0"/>
        <w:rPr>
          <w:b/>
          <w:bCs/>
          <w:u w:val="single"/>
        </w:rPr>
      </w:pPr>
      <w:r w:rsidRPr="00566573">
        <w:rPr>
          <w:b/>
          <w:bCs/>
          <w:u w:val="single"/>
        </w:rPr>
        <w:t>Claim Rejections under 35 U.S.C. § 101</w:t>
      </w:r>
    </w:p>
    <w:p w14:paraId="68174A2C" w14:textId="793E55BA" w:rsidR="00AB30CB" w:rsidRPr="006768B8" w:rsidRDefault="00AB30CB" w:rsidP="00D80518">
      <w:pPr>
        <w:spacing w:before="480" w:line="360" w:lineRule="auto"/>
        <w:ind w:firstLine="720"/>
        <w:jc w:val="both"/>
        <w:rPr>
          <w:bCs/>
        </w:rPr>
      </w:pPr>
      <w:r w:rsidRPr="006768B8">
        <w:rPr>
          <w:bCs/>
        </w:rPr>
        <w:t xml:space="preserve">In paragraph </w:t>
      </w:r>
      <w:r>
        <w:rPr>
          <w:bCs/>
        </w:rPr>
        <w:t>XXX</w:t>
      </w:r>
      <w:r w:rsidR="000E2972">
        <w:rPr>
          <w:bCs/>
        </w:rPr>
        <w:t>XX</w:t>
      </w:r>
      <w:r w:rsidR="00663208">
        <w:rPr>
          <w:bCs/>
        </w:rPr>
        <w:t xml:space="preserve"> of the present</w:t>
      </w:r>
      <w:r w:rsidRPr="006768B8">
        <w:rPr>
          <w:bCs/>
        </w:rPr>
        <w:t xml:space="preserve"> Office Action, </w:t>
      </w:r>
      <w:r w:rsidRPr="00993B6C">
        <w:rPr>
          <w:b/>
          <w:bCs/>
        </w:rPr>
        <w:t xml:space="preserve">Claims </w:t>
      </w:r>
      <w:r>
        <w:rPr>
          <w:b/>
          <w:bCs/>
        </w:rPr>
        <w:t>YYYY</w:t>
      </w:r>
      <w:r w:rsidR="000E2972">
        <w:rPr>
          <w:b/>
          <w:bCs/>
        </w:rPr>
        <w:t xml:space="preserve"> </w:t>
      </w:r>
      <w:r w:rsidRPr="006768B8">
        <w:rPr>
          <w:bCs/>
        </w:rPr>
        <w:t>are rejected under 35 U.S.C. § 101 for claiming the abstract idea of “</w:t>
      </w:r>
      <w:r>
        <w:rPr>
          <w:bCs/>
        </w:rPr>
        <w:t>ZZZZZZZZ</w:t>
      </w:r>
      <w:r w:rsidRPr="006768B8">
        <w:rPr>
          <w:bCs/>
        </w:rPr>
        <w:t>.” The alleged rejections are based</w:t>
      </w:r>
      <w:r>
        <w:rPr>
          <w:bCs/>
        </w:rPr>
        <w:t xml:space="preserve"> on</w:t>
      </w:r>
      <w:r w:rsidRPr="006768B8">
        <w:rPr>
          <w:bCs/>
        </w:rPr>
        <w:t> </w:t>
      </w:r>
      <w:r w:rsidRPr="006768B8">
        <w:rPr>
          <w:bCs/>
          <w:i/>
          <w:iCs/>
        </w:rPr>
        <w:t>Alice Corporation Pty. LTD. v. CLS Bank International, et al. </w:t>
      </w:r>
      <w:r w:rsidRPr="006768B8">
        <w:rPr>
          <w:bCs/>
        </w:rPr>
        <w:t>(Slip opinion 13-298, June 19, 2014) – “</w:t>
      </w:r>
      <w:r w:rsidRPr="006768B8">
        <w:rPr>
          <w:bCs/>
          <w:i/>
          <w:iCs/>
        </w:rPr>
        <w:t>Alice”</w:t>
      </w:r>
      <w:r w:rsidRPr="006768B8">
        <w:rPr>
          <w:bCs/>
        </w:rPr>
        <w:t>, reported as </w:t>
      </w:r>
      <w:r w:rsidRPr="006768B8">
        <w:rPr>
          <w:bCs/>
          <w:i/>
          <w:iCs/>
        </w:rPr>
        <w:t>Alice Corporation Pty. LTD. v. CLS Bank International</w:t>
      </w:r>
      <w:r w:rsidRPr="006768B8">
        <w:rPr>
          <w:bCs/>
        </w:rPr>
        <w:t xml:space="preserve">, 134 </w:t>
      </w:r>
      <w:proofErr w:type="spellStart"/>
      <w:r w:rsidRPr="006768B8">
        <w:rPr>
          <w:bCs/>
        </w:rPr>
        <w:t>S.Ct</w:t>
      </w:r>
      <w:proofErr w:type="spellEnd"/>
      <w:r w:rsidRPr="006768B8">
        <w:rPr>
          <w:bCs/>
        </w:rPr>
        <w:t>. 2347 (2014). Applicants respectfully traverse these rejections.</w:t>
      </w:r>
    </w:p>
    <w:p w14:paraId="60856B80" w14:textId="77777777" w:rsidR="00AB30CB" w:rsidRPr="00566573" w:rsidRDefault="00AB30CB" w:rsidP="00D80518">
      <w:pPr>
        <w:spacing w:before="480" w:line="360" w:lineRule="auto"/>
        <w:jc w:val="both"/>
        <w:outlineLvl w:val="0"/>
        <w:rPr>
          <w:b/>
          <w:bCs/>
          <w:u w:val="single"/>
        </w:rPr>
      </w:pPr>
      <w:r w:rsidRPr="00566573">
        <w:rPr>
          <w:b/>
          <w:bCs/>
          <w:u w:val="single"/>
        </w:rPr>
        <w:t>February 2018 Quick Reference Sheet</w:t>
      </w:r>
    </w:p>
    <w:p w14:paraId="7979EE74" w14:textId="77777777" w:rsidR="00AB30CB" w:rsidRPr="006768B8" w:rsidRDefault="00AB30CB" w:rsidP="00D80518">
      <w:pPr>
        <w:spacing w:before="480" w:line="360" w:lineRule="auto"/>
        <w:ind w:firstLine="720"/>
        <w:jc w:val="both"/>
        <w:rPr>
          <w:bCs/>
        </w:rPr>
      </w:pPr>
      <w:r w:rsidRPr="006768B8">
        <w:rPr>
          <w:bCs/>
        </w:rPr>
        <w:t>In February 2018, the USPTO issued the “February 2018: Eligibility Quick Reference Sheet, </w:t>
      </w:r>
      <w:r w:rsidRPr="006768B8">
        <w:rPr>
          <w:bCs/>
          <w:i/>
          <w:iCs/>
        </w:rPr>
        <w:t>“Identifying Abstract Ideas</w:t>
      </w:r>
      <w:r w:rsidRPr="006768B8">
        <w:rPr>
          <w:bCs/>
        </w:rPr>
        <w:t>” (“</w:t>
      </w:r>
      <w:r w:rsidRPr="006768B8">
        <w:rPr>
          <w:bCs/>
          <w:i/>
          <w:iCs/>
        </w:rPr>
        <w:t>February 2018 Update”).</w:t>
      </w:r>
    </w:p>
    <w:p w14:paraId="55BDD9FE" w14:textId="77777777" w:rsidR="00AB30CB" w:rsidRPr="006768B8" w:rsidRDefault="00AB30CB" w:rsidP="00D80518">
      <w:pPr>
        <w:spacing w:before="480" w:line="360" w:lineRule="auto"/>
        <w:ind w:firstLine="720"/>
        <w:jc w:val="both"/>
        <w:rPr>
          <w:bCs/>
        </w:rPr>
      </w:pPr>
      <w:r w:rsidRPr="006768B8">
        <w:rPr>
          <w:bCs/>
        </w:rPr>
        <w:t>The </w:t>
      </w:r>
      <w:r w:rsidRPr="006768B8">
        <w:rPr>
          <w:bCs/>
          <w:i/>
          <w:iCs/>
        </w:rPr>
        <w:t>February 2018 Update</w:t>
      </w:r>
      <w:r w:rsidRPr="006768B8">
        <w:rPr>
          <w:bCs/>
        </w:rPr>
        <w:t> discusses various CAFC cases that have been held to be statutory under 35 U.S.C. § 101 in light of </w:t>
      </w:r>
      <w:r w:rsidRPr="006768B8">
        <w:rPr>
          <w:bCs/>
          <w:i/>
          <w:iCs/>
        </w:rPr>
        <w:t>Alice</w:t>
      </w:r>
      <w:r w:rsidRPr="006768B8">
        <w:rPr>
          <w:bCs/>
        </w:rPr>
        <w:t>.  </w:t>
      </w:r>
      <w:r w:rsidRPr="006768B8">
        <w:rPr>
          <w:bCs/>
          <w:i/>
          <w:iCs/>
        </w:rPr>
        <w:t>Alice </w:t>
      </w:r>
      <w:r w:rsidRPr="006768B8">
        <w:rPr>
          <w:bCs/>
        </w:rPr>
        <w:t>embraces the two-step test for patent eligibility presented in </w:t>
      </w:r>
      <w:r w:rsidRPr="006768B8">
        <w:rPr>
          <w:bCs/>
          <w:i/>
          <w:iCs/>
        </w:rPr>
        <w:t>Mayo v. Prometheus</w:t>
      </w:r>
      <w:r w:rsidRPr="006768B8">
        <w:rPr>
          <w:bCs/>
        </w:rPr>
        <w:t>, 132 S. Ct. 1289 (2012) – “</w:t>
      </w:r>
      <w:r w:rsidRPr="006768B8">
        <w:rPr>
          <w:bCs/>
          <w:i/>
          <w:iCs/>
        </w:rPr>
        <w:t>Mayo</w:t>
      </w:r>
      <w:r w:rsidRPr="006768B8">
        <w:rPr>
          <w:bCs/>
        </w:rPr>
        <w:t>”.  </w:t>
      </w:r>
    </w:p>
    <w:p w14:paraId="6F60B6DE" w14:textId="77777777" w:rsidR="00AB30CB" w:rsidRPr="006768B8" w:rsidRDefault="00AB30CB" w:rsidP="00D80518">
      <w:pPr>
        <w:spacing w:before="480" w:line="360" w:lineRule="auto"/>
        <w:ind w:firstLine="720"/>
        <w:jc w:val="both"/>
        <w:rPr>
          <w:bCs/>
        </w:rPr>
      </w:pPr>
      <w:r w:rsidRPr="006768B8">
        <w:rPr>
          <w:bCs/>
        </w:rPr>
        <w:t>Step 1 of the </w:t>
      </w:r>
      <w:r w:rsidRPr="006768B8">
        <w:rPr>
          <w:bCs/>
          <w:i/>
          <w:iCs/>
        </w:rPr>
        <w:t>Mayo </w:t>
      </w:r>
      <w:r w:rsidRPr="006768B8">
        <w:rPr>
          <w:bCs/>
        </w:rPr>
        <w:t>test is to determine if the invention is a “process, machine, manufacture or composition of matter”.  If not, then it cannot be patented under 35 U.S.C. § 101.  If it is, then Step 2A of the </w:t>
      </w:r>
      <w:r w:rsidRPr="006768B8">
        <w:rPr>
          <w:bCs/>
          <w:i/>
          <w:iCs/>
        </w:rPr>
        <w:t>Mayo </w:t>
      </w:r>
      <w:r w:rsidRPr="006768B8">
        <w:rPr>
          <w:bCs/>
        </w:rPr>
        <w:t>test is applied.</w:t>
      </w:r>
    </w:p>
    <w:p w14:paraId="6C545B6E" w14:textId="4E4BA82F" w:rsidR="00AB30CB" w:rsidRPr="006768B8" w:rsidRDefault="00AB30CB" w:rsidP="00D80518">
      <w:pPr>
        <w:spacing w:before="480" w:line="360" w:lineRule="auto"/>
        <w:ind w:firstLine="720"/>
        <w:jc w:val="both"/>
        <w:rPr>
          <w:bCs/>
        </w:rPr>
      </w:pPr>
      <w:r w:rsidRPr="006768B8">
        <w:rPr>
          <w:bCs/>
        </w:rPr>
        <w:t>Step 2A of the </w:t>
      </w:r>
      <w:r w:rsidRPr="006768B8">
        <w:rPr>
          <w:bCs/>
          <w:i/>
          <w:iCs/>
        </w:rPr>
        <w:t>Mayo</w:t>
      </w:r>
      <w:r w:rsidRPr="006768B8">
        <w:rPr>
          <w:bCs/>
        </w:rPr>
        <w:t xml:space="preserve"> test </w:t>
      </w:r>
      <w:r w:rsidR="00F529AC">
        <w:rPr>
          <w:bCs/>
        </w:rPr>
        <w:t xml:space="preserve">(also referred to as “Step 1 of </w:t>
      </w:r>
      <w:r w:rsidR="00F529AC">
        <w:rPr>
          <w:bCs/>
          <w:i/>
        </w:rPr>
        <w:t>Alice</w:t>
      </w:r>
      <w:r w:rsidR="00F529AC">
        <w:rPr>
          <w:bCs/>
        </w:rPr>
        <w:t>”)</w:t>
      </w:r>
      <w:r w:rsidR="00F529AC">
        <w:rPr>
          <w:bCs/>
          <w:i/>
        </w:rPr>
        <w:t xml:space="preserve"> </w:t>
      </w:r>
      <w:r w:rsidRPr="006768B8">
        <w:rPr>
          <w:bCs/>
        </w:rPr>
        <w:t>asks if the claim is directed to a law of nature, a natural phenomenon, or an abstract idea (judicially recognized exceptions).  If not, then the invention is statutory under 35 U.S.C. § 101.  If it is, then Step 2B of the </w:t>
      </w:r>
      <w:r w:rsidRPr="006768B8">
        <w:rPr>
          <w:bCs/>
          <w:i/>
          <w:iCs/>
        </w:rPr>
        <w:t>Mayo </w:t>
      </w:r>
      <w:r w:rsidRPr="006768B8">
        <w:rPr>
          <w:bCs/>
        </w:rPr>
        <w:t>test is applied.</w:t>
      </w:r>
    </w:p>
    <w:p w14:paraId="7B4483AB" w14:textId="140963A7" w:rsidR="00AB30CB" w:rsidRPr="006768B8" w:rsidRDefault="00AB30CB" w:rsidP="00D80518">
      <w:pPr>
        <w:spacing w:before="480" w:line="360" w:lineRule="auto"/>
        <w:ind w:firstLine="720"/>
        <w:jc w:val="both"/>
        <w:rPr>
          <w:bCs/>
        </w:rPr>
      </w:pPr>
      <w:r w:rsidRPr="006768B8">
        <w:rPr>
          <w:bCs/>
        </w:rPr>
        <w:t>Step 2B of the </w:t>
      </w:r>
      <w:r w:rsidRPr="006768B8">
        <w:rPr>
          <w:bCs/>
          <w:i/>
          <w:iCs/>
        </w:rPr>
        <w:t>Mayo </w:t>
      </w:r>
      <w:r w:rsidRPr="006768B8">
        <w:rPr>
          <w:bCs/>
        </w:rPr>
        <w:t xml:space="preserve">test </w:t>
      </w:r>
      <w:r w:rsidR="00F529AC">
        <w:rPr>
          <w:bCs/>
        </w:rPr>
        <w:t xml:space="preserve">(also referred to as “Step 2 of </w:t>
      </w:r>
      <w:r w:rsidR="00F529AC">
        <w:rPr>
          <w:bCs/>
          <w:i/>
        </w:rPr>
        <w:t>Alice</w:t>
      </w:r>
      <w:r w:rsidR="00F529AC">
        <w:rPr>
          <w:bCs/>
        </w:rPr>
        <w:t xml:space="preserve">”) </w:t>
      </w:r>
      <w:r w:rsidRPr="006768B8">
        <w:rPr>
          <w:bCs/>
        </w:rPr>
        <w:t xml:space="preserve">asks if the claim recites additional elements that amount to significantly more than the judicial exception.  If it does not, </w:t>
      </w:r>
      <w:r w:rsidRPr="006768B8">
        <w:rPr>
          <w:bCs/>
        </w:rPr>
        <w:lastRenderedPageBreak/>
        <w:t>then the claimed invention is not statutory under 35 U.S.C. § 101.  If it does, then the claimed invention is statutory under 35 U.S.C. § 101.</w:t>
      </w:r>
    </w:p>
    <w:p w14:paraId="0E7C28F1" w14:textId="77777777" w:rsidR="00AB30CB" w:rsidRPr="00BC304F" w:rsidRDefault="00AB30CB" w:rsidP="00D80518">
      <w:pPr>
        <w:spacing w:before="480" w:line="360" w:lineRule="auto"/>
        <w:jc w:val="both"/>
        <w:outlineLvl w:val="0"/>
        <w:rPr>
          <w:b/>
          <w:bCs/>
          <w:u w:val="single"/>
        </w:rPr>
      </w:pPr>
      <w:r w:rsidRPr="00BC304F">
        <w:rPr>
          <w:b/>
          <w:bCs/>
          <w:u w:val="single"/>
        </w:rPr>
        <w:t>Step 1 of the </w:t>
      </w:r>
      <w:r w:rsidRPr="00BC304F">
        <w:rPr>
          <w:b/>
          <w:bCs/>
          <w:i/>
          <w:iCs/>
          <w:u w:val="single"/>
        </w:rPr>
        <w:t>Mayo</w:t>
      </w:r>
      <w:r w:rsidRPr="00BC304F">
        <w:rPr>
          <w:b/>
          <w:bCs/>
          <w:u w:val="single"/>
        </w:rPr>
        <w:t> test</w:t>
      </w:r>
    </w:p>
    <w:p w14:paraId="4C3B55BB" w14:textId="6C6A468A" w:rsidR="00AB30CB" w:rsidRPr="006768B8" w:rsidRDefault="00AB30CB" w:rsidP="00D80518">
      <w:pPr>
        <w:spacing w:before="480" w:line="360" w:lineRule="auto"/>
        <w:ind w:firstLine="720"/>
        <w:jc w:val="both"/>
        <w:rPr>
          <w:bCs/>
        </w:rPr>
      </w:pPr>
      <w:r w:rsidRPr="006768B8">
        <w:rPr>
          <w:bCs/>
        </w:rPr>
        <w:t xml:space="preserve">As stated on page 2 of the </w:t>
      </w:r>
      <w:r w:rsidR="00C51837">
        <w:rPr>
          <w:bCs/>
        </w:rPr>
        <w:t>present Office Action</w:t>
      </w:r>
      <w:r w:rsidRPr="006768B8">
        <w:rPr>
          <w:bCs/>
        </w:rPr>
        <w:t>, the present invention (as claimed in Claim 1) claims a process (method), and thus passes Step 1 of </w:t>
      </w:r>
      <w:r w:rsidRPr="006768B8">
        <w:rPr>
          <w:bCs/>
          <w:i/>
          <w:iCs/>
        </w:rPr>
        <w:t>Mayo</w:t>
      </w:r>
      <w:r w:rsidRPr="006768B8">
        <w:rPr>
          <w:bCs/>
        </w:rPr>
        <w:t>.</w:t>
      </w:r>
    </w:p>
    <w:p w14:paraId="1B54B8E8" w14:textId="77777777" w:rsidR="00AB30CB" w:rsidRPr="00BC304F" w:rsidRDefault="00AB30CB" w:rsidP="00D80518">
      <w:pPr>
        <w:spacing w:before="480" w:line="360" w:lineRule="auto"/>
        <w:jc w:val="both"/>
        <w:outlineLvl w:val="0"/>
        <w:rPr>
          <w:b/>
          <w:bCs/>
          <w:u w:val="single"/>
        </w:rPr>
      </w:pPr>
      <w:r w:rsidRPr="006768B8">
        <w:rPr>
          <w:bCs/>
        </w:rPr>
        <w:t> </w:t>
      </w:r>
      <w:r w:rsidRPr="00BC304F">
        <w:rPr>
          <w:b/>
          <w:bCs/>
          <w:u w:val="single"/>
        </w:rPr>
        <w:t>Step 2A of the </w:t>
      </w:r>
      <w:r w:rsidRPr="00BC304F">
        <w:rPr>
          <w:b/>
          <w:bCs/>
          <w:i/>
          <w:iCs/>
          <w:u w:val="single"/>
        </w:rPr>
        <w:t>Mayo</w:t>
      </w:r>
      <w:r w:rsidRPr="00BC304F">
        <w:rPr>
          <w:b/>
          <w:bCs/>
          <w:u w:val="single"/>
        </w:rPr>
        <w:t> test</w:t>
      </w:r>
    </w:p>
    <w:p w14:paraId="1C466B2F" w14:textId="77777777" w:rsidR="00AB30CB" w:rsidRDefault="00AB30CB" w:rsidP="00D80518">
      <w:pPr>
        <w:spacing w:before="480" w:line="360" w:lineRule="auto"/>
        <w:ind w:firstLine="720"/>
        <w:jc w:val="both"/>
        <w:rPr>
          <w:bCs/>
        </w:rPr>
      </w:pPr>
      <w:r w:rsidRPr="006768B8">
        <w:rPr>
          <w:bCs/>
        </w:rPr>
        <w:t>The following cases cited in the </w:t>
      </w:r>
      <w:r>
        <w:rPr>
          <w:bCs/>
          <w:i/>
          <w:iCs/>
        </w:rPr>
        <w:t>February 2018 USPTO</w:t>
      </w:r>
      <w:r w:rsidRPr="006768B8">
        <w:rPr>
          <w:bCs/>
          <w:i/>
          <w:iCs/>
        </w:rPr>
        <w:t xml:space="preserve"> Guidelines </w:t>
      </w:r>
      <w:r w:rsidRPr="006768B8">
        <w:rPr>
          <w:bCs/>
        </w:rPr>
        <w:t>were held to be statutory under 35 U.S.C. § 101 according to Step 2A of </w:t>
      </w:r>
      <w:r w:rsidRPr="006768B8">
        <w:rPr>
          <w:bCs/>
          <w:i/>
          <w:iCs/>
        </w:rPr>
        <w:t>Mayo</w:t>
      </w:r>
      <w:r w:rsidRPr="006768B8">
        <w:rPr>
          <w:bCs/>
        </w:rPr>
        <w:t>, and are relevant to the present invention.</w:t>
      </w:r>
    </w:p>
    <w:p w14:paraId="3EC9AA3F" w14:textId="77777777" w:rsidR="000E2972" w:rsidRPr="000E2972" w:rsidRDefault="000E2972" w:rsidP="00D80518">
      <w:pPr>
        <w:spacing w:before="480" w:line="360" w:lineRule="auto"/>
        <w:jc w:val="both"/>
        <w:rPr>
          <w:b/>
          <w:bCs/>
          <w:u w:val="single"/>
        </w:rPr>
      </w:pPr>
      <w:r w:rsidRPr="000E2972">
        <w:rPr>
          <w:b/>
          <w:bCs/>
          <w:i/>
          <w:u w:val="single"/>
        </w:rPr>
        <w:t xml:space="preserve">Core Wireless Licensing S.A.R.I. v. LG Electronics, Inc., LG Electronics </w:t>
      </w:r>
      <w:proofErr w:type="spellStart"/>
      <w:r w:rsidRPr="000E2972">
        <w:rPr>
          <w:b/>
          <w:bCs/>
          <w:i/>
          <w:u w:val="single"/>
        </w:rPr>
        <w:t>Mobilecomm</w:t>
      </w:r>
      <w:proofErr w:type="spellEnd"/>
      <w:r w:rsidRPr="000E2972">
        <w:rPr>
          <w:b/>
          <w:bCs/>
          <w:i/>
          <w:u w:val="single"/>
        </w:rPr>
        <w:t xml:space="preserve"> U.S.S., Inc., </w:t>
      </w:r>
      <w:r w:rsidRPr="000E2972">
        <w:rPr>
          <w:b/>
          <w:bCs/>
          <w:u w:val="single"/>
        </w:rPr>
        <w:t>__F.3d__(Fed. Cir. 2018) – “</w:t>
      </w:r>
      <w:r w:rsidRPr="000E2972">
        <w:rPr>
          <w:b/>
          <w:bCs/>
          <w:i/>
          <w:u w:val="single"/>
        </w:rPr>
        <w:t>Core Wireless</w:t>
      </w:r>
      <w:r w:rsidRPr="000E2972">
        <w:rPr>
          <w:b/>
          <w:bCs/>
          <w:u w:val="single"/>
        </w:rPr>
        <w:t>”</w:t>
      </w:r>
    </w:p>
    <w:p w14:paraId="5995005D" w14:textId="58C0B8FC" w:rsidR="000E2972" w:rsidRPr="000E2972" w:rsidRDefault="000E2972" w:rsidP="00D80518">
      <w:pPr>
        <w:spacing w:before="480" w:line="360" w:lineRule="auto"/>
        <w:ind w:firstLine="720"/>
        <w:jc w:val="both"/>
        <w:rPr>
          <w:bCs/>
        </w:rPr>
      </w:pPr>
      <w:r w:rsidRPr="000E2972">
        <w:rPr>
          <w:bCs/>
        </w:rPr>
        <w:t xml:space="preserve">The invention in </w:t>
      </w:r>
      <w:r w:rsidRPr="000E2972">
        <w:rPr>
          <w:bCs/>
          <w:i/>
        </w:rPr>
        <w:t xml:space="preserve">Core Wireless </w:t>
      </w:r>
      <w:r w:rsidRPr="000E2972">
        <w:rPr>
          <w:bCs/>
        </w:rPr>
        <w:t>presented a summary window on a GUI.  The summary window showed data/functions that can be provided/performed by applications from a list of applications shown on the GUI.  By clicking a particular data/function, the associated application is launched, in order to show the data or perform the function shown in the summary window.</w:t>
      </w:r>
    </w:p>
    <w:p w14:paraId="7DE58A58" w14:textId="74857C6D" w:rsidR="000E2972" w:rsidRDefault="000E2972" w:rsidP="00D80518">
      <w:pPr>
        <w:spacing w:before="480" w:line="360" w:lineRule="auto"/>
        <w:ind w:firstLine="720"/>
        <w:jc w:val="both"/>
        <w:rPr>
          <w:bCs/>
          <w:i/>
        </w:rPr>
      </w:pPr>
      <w:r w:rsidRPr="000E2972">
        <w:rPr>
          <w:bCs/>
        </w:rPr>
        <w:t xml:space="preserve">As discussed on page 9 of the slip opinion, claims that “are directed to a particular manner of summarizing and presenting information in electronic devices” (see page 9 of the slip opinion), particularly in a manner that is more than just labels (e.g., using a unique way to access the information) is statutory under Step 2A of </w:t>
      </w:r>
      <w:r w:rsidRPr="000E2972">
        <w:rPr>
          <w:bCs/>
          <w:i/>
        </w:rPr>
        <w:t>Mayo</w:t>
      </w:r>
      <w:r>
        <w:rPr>
          <w:bCs/>
          <w:i/>
        </w:rPr>
        <w:t>.</w:t>
      </w:r>
    </w:p>
    <w:p w14:paraId="6C505E97" w14:textId="77777777" w:rsidR="000E2972" w:rsidRDefault="000E2972" w:rsidP="00D80518">
      <w:pPr>
        <w:spacing w:before="480" w:line="360" w:lineRule="auto"/>
        <w:ind w:firstLine="720"/>
        <w:jc w:val="both"/>
        <w:rPr>
          <w:bCs/>
        </w:rPr>
      </w:pPr>
      <w:r w:rsidRPr="006768B8">
        <w:rPr>
          <w:bCs/>
        </w:rPr>
        <w:t>Th</w:t>
      </w:r>
      <w:r>
        <w:rPr>
          <w:bCs/>
        </w:rPr>
        <w:t xml:space="preserve">e present invention likewise </w:t>
      </w:r>
    </w:p>
    <w:p w14:paraId="6249BFB7" w14:textId="77777777" w:rsidR="000E2972" w:rsidRPr="006768B8" w:rsidRDefault="000E2972" w:rsidP="00D80518">
      <w:pPr>
        <w:spacing w:before="480" w:line="360" w:lineRule="auto"/>
        <w:ind w:firstLine="720"/>
        <w:jc w:val="both"/>
        <w:rPr>
          <w:bCs/>
        </w:rPr>
      </w:pPr>
      <w:r>
        <w:rPr>
          <w:bCs/>
        </w:rPr>
        <w:t xml:space="preserve">This provides a novel solution to the problem of </w:t>
      </w:r>
    </w:p>
    <w:p w14:paraId="464E98C2" w14:textId="40035C7B" w:rsidR="000E2972" w:rsidRPr="000E2972" w:rsidRDefault="000E2972" w:rsidP="00D80518">
      <w:pPr>
        <w:spacing w:before="480" w:line="360" w:lineRule="auto"/>
        <w:ind w:firstLine="720"/>
        <w:jc w:val="both"/>
        <w:rPr>
          <w:bCs/>
        </w:rPr>
      </w:pPr>
      <w:r w:rsidRPr="006768B8">
        <w:rPr>
          <w:bCs/>
        </w:rPr>
        <w:t>Thus, the present invention is statutory under 35 U.S.C. § 101 according to the </w:t>
      </w:r>
      <w:r>
        <w:rPr>
          <w:bCs/>
          <w:i/>
          <w:iCs/>
        </w:rPr>
        <w:t>Core Wireless</w:t>
      </w:r>
      <w:r w:rsidRPr="006768B8">
        <w:rPr>
          <w:bCs/>
          <w:i/>
          <w:iCs/>
        </w:rPr>
        <w:t> </w:t>
      </w:r>
      <w:r w:rsidRPr="006768B8">
        <w:rPr>
          <w:bCs/>
        </w:rPr>
        <w:t>court’s decision based on Step 2A of </w:t>
      </w:r>
      <w:r w:rsidRPr="006768B8">
        <w:rPr>
          <w:bCs/>
          <w:i/>
          <w:iCs/>
        </w:rPr>
        <w:t>Mayo</w:t>
      </w:r>
      <w:r w:rsidRPr="006768B8">
        <w:rPr>
          <w:bCs/>
        </w:rPr>
        <w:t>.</w:t>
      </w:r>
    </w:p>
    <w:p w14:paraId="548AA7D0" w14:textId="77777777" w:rsidR="00AB30CB" w:rsidRPr="008D7CB1" w:rsidRDefault="00AB30CB" w:rsidP="00D80518">
      <w:pPr>
        <w:spacing w:before="480" w:line="360" w:lineRule="auto"/>
        <w:jc w:val="both"/>
        <w:outlineLvl w:val="0"/>
        <w:rPr>
          <w:b/>
          <w:bCs/>
          <w:u w:val="single"/>
        </w:rPr>
      </w:pPr>
      <w:r w:rsidRPr="008D7CB1">
        <w:rPr>
          <w:b/>
          <w:bCs/>
          <w:i/>
          <w:iCs/>
          <w:u w:val="single"/>
        </w:rPr>
        <w:t>DDR Holdings, LLC v. Hotels.com L.P.</w:t>
      </w:r>
      <w:r w:rsidRPr="008D7CB1">
        <w:rPr>
          <w:b/>
          <w:bCs/>
          <w:u w:val="single"/>
        </w:rPr>
        <w:t>, 773 F.3d 1245 (Fed. Cir. 2014) – “</w:t>
      </w:r>
      <w:r w:rsidRPr="008D7CB1">
        <w:rPr>
          <w:b/>
          <w:bCs/>
          <w:i/>
          <w:iCs/>
          <w:u w:val="single"/>
        </w:rPr>
        <w:t>DDR</w:t>
      </w:r>
      <w:r w:rsidRPr="008D7CB1">
        <w:rPr>
          <w:b/>
          <w:bCs/>
          <w:u w:val="single"/>
        </w:rPr>
        <w:t>”</w:t>
      </w:r>
    </w:p>
    <w:p w14:paraId="6654CA2D" w14:textId="77777777" w:rsidR="00AB30CB" w:rsidRPr="006768B8" w:rsidRDefault="00AB30CB" w:rsidP="00D80518">
      <w:pPr>
        <w:spacing w:before="480" w:line="360" w:lineRule="auto"/>
        <w:ind w:firstLine="720"/>
        <w:jc w:val="both"/>
        <w:rPr>
          <w:bCs/>
        </w:rPr>
      </w:pPr>
      <w:r w:rsidRPr="006768B8">
        <w:rPr>
          <w:bCs/>
          <w:i/>
          <w:iCs/>
        </w:rPr>
        <w:t>DDR</w:t>
      </w:r>
      <w:r w:rsidRPr="006768B8">
        <w:rPr>
          <w:bCs/>
        </w:rPr>
        <w:t> held that creating a composite web page that has a same “look and feel” as an original web page plus information from a user-activated link in the original web page is statutory under 35 U.S.C. § 101.  More specifically, “the claimed solution is necessarily rooted in computer technology in order to overcome a problem specifically arising in the realm of computer networks” (see page 20 of the </w:t>
      </w:r>
      <w:r w:rsidRPr="006768B8">
        <w:rPr>
          <w:bCs/>
          <w:i/>
          <w:iCs/>
        </w:rPr>
        <w:t>DDR </w:t>
      </w:r>
      <w:r w:rsidRPr="006768B8">
        <w:rPr>
          <w:bCs/>
        </w:rPr>
        <w:t>slip opinion).</w:t>
      </w:r>
    </w:p>
    <w:p w14:paraId="03066323" w14:textId="77717243" w:rsidR="00AB30CB" w:rsidRDefault="00AB30CB" w:rsidP="00D80518">
      <w:pPr>
        <w:spacing w:before="480" w:line="360" w:lineRule="auto"/>
        <w:ind w:firstLine="720"/>
        <w:jc w:val="both"/>
        <w:rPr>
          <w:bCs/>
        </w:rPr>
      </w:pPr>
      <w:r w:rsidRPr="006768B8">
        <w:rPr>
          <w:bCs/>
        </w:rPr>
        <w:t>Th</w:t>
      </w:r>
      <w:r>
        <w:rPr>
          <w:bCs/>
        </w:rPr>
        <w:t xml:space="preserve">e present invention likewise </w:t>
      </w:r>
    </w:p>
    <w:p w14:paraId="2715EB5E" w14:textId="283E02AB" w:rsidR="00AB30CB" w:rsidRPr="006768B8" w:rsidRDefault="00AB30CB" w:rsidP="00D80518">
      <w:pPr>
        <w:spacing w:before="480" w:line="360" w:lineRule="auto"/>
        <w:ind w:firstLine="720"/>
        <w:jc w:val="both"/>
        <w:rPr>
          <w:bCs/>
        </w:rPr>
      </w:pPr>
      <w:r>
        <w:rPr>
          <w:bCs/>
        </w:rPr>
        <w:t xml:space="preserve">This provides a novel solution to the problem of </w:t>
      </w:r>
    </w:p>
    <w:p w14:paraId="0EF32ABA" w14:textId="77777777" w:rsidR="00AB30CB" w:rsidRDefault="00AB30CB" w:rsidP="00D80518">
      <w:pPr>
        <w:spacing w:before="480" w:line="360" w:lineRule="auto"/>
        <w:ind w:firstLine="720"/>
        <w:jc w:val="both"/>
        <w:rPr>
          <w:bCs/>
        </w:rPr>
      </w:pPr>
      <w:r w:rsidRPr="006768B8">
        <w:rPr>
          <w:bCs/>
        </w:rPr>
        <w:t>Thus, the present invention is statutory under 35 U.S.C. § 101 according to the </w:t>
      </w:r>
      <w:r w:rsidRPr="006768B8">
        <w:rPr>
          <w:bCs/>
          <w:i/>
          <w:iCs/>
        </w:rPr>
        <w:t>DDR </w:t>
      </w:r>
      <w:r w:rsidRPr="006768B8">
        <w:rPr>
          <w:bCs/>
        </w:rPr>
        <w:t>court’s decision based on Step 2A of </w:t>
      </w:r>
      <w:r w:rsidRPr="006768B8">
        <w:rPr>
          <w:bCs/>
          <w:i/>
          <w:iCs/>
        </w:rPr>
        <w:t>Mayo</w:t>
      </w:r>
      <w:r w:rsidRPr="006768B8">
        <w:rPr>
          <w:bCs/>
        </w:rPr>
        <w:t>.</w:t>
      </w:r>
    </w:p>
    <w:p w14:paraId="40F4E6F0" w14:textId="77777777" w:rsidR="000E2972" w:rsidRPr="000E2972" w:rsidRDefault="000E2972" w:rsidP="00D80518">
      <w:pPr>
        <w:pStyle w:val="NormalWeb"/>
        <w:spacing w:before="480" w:beforeAutospacing="0" w:after="0" w:afterAutospacing="0" w:line="360" w:lineRule="auto"/>
        <w:jc w:val="both"/>
        <w:outlineLvl w:val="0"/>
        <w:rPr>
          <w:b/>
          <w:u w:val="single"/>
        </w:rPr>
      </w:pPr>
      <w:proofErr w:type="spellStart"/>
      <w:r w:rsidRPr="000E2972">
        <w:rPr>
          <w:b/>
          <w:i/>
          <w:u w:val="single"/>
        </w:rPr>
        <w:t>Enfish</w:t>
      </w:r>
      <w:proofErr w:type="spellEnd"/>
      <w:r w:rsidRPr="000E2972">
        <w:rPr>
          <w:b/>
          <w:i/>
          <w:u w:val="single"/>
        </w:rPr>
        <w:t>, LLC v. Microsoft Corporation</w:t>
      </w:r>
      <w:r w:rsidRPr="000E2972">
        <w:rPr>
          <w:b/>
          <w:u w:val="single"/>
        </w:rPr>
        <w:t>, 822 F.3d 1327 (Fed. Cir. 2016) – “</w:t>
      </w:r>
      <w:proofErr w:type="spellStart"/>
      <w:r w:rsidRPr="000E2972">
        <w:rPr>
          <w:b/>
          <w:i/>
          <w:u w:val="single"/>
        </w:rPr>
        <w:t>Enfish</w:t>
      </w:r>
      <w:proofErr w:type="spellEnd"/>
      <w:r w:rsidRPr="000E2972">
        <w:rPr>
          <w:b/>
          <w:u w:val="single"/>
        </w:rPr>
        <w:t>”</w:t>
      </w:r>
    </w:p>
    <w:p w14:paraId="063DE435" w14:textId="77777777" w:rsidR="000E2972" w:rsidRDefault="000E2972" w:rsidP="00D80518">
      <w:pPr>
        <w:pStyle w:val="NormalWeb"/>
        <w:spacing w:before="480" w:beforeAutospacing="0" w:after="0" w:afterAutospacing="0" w:line="360" w:lineRule="auto"/>
        <w:jc w:val="both"/>
      </w:pPr>
      <w:r>
        <w:tab/>
      </w:r>
      <w:proofErr w:type="spellStart"/>
      <w:r>
        <w:rPr>
          <w:i/>
        </w:rPr>
        <w:t>Enfish</w:t>
      </w:r>
      <w:proofErr w:type="spellEnd"/>
      <w:r>
        <w:t xml:space="preserve"> stores data in a single self-referential table, which is more flexible than a traditional relational database, and thus allows for faster retrieval of information (see page 7 of the </w:t>
      </w:r>
      <w:proofErr w:type="spellStart"/>
      <w:r>
        <w:rPr>
          <w:i/>
        </w:rPr>
        <w:t>Enfish</w:t>
      </w:r>
      <w:proofErr w:type="spellEnd"/>
      <w:r>
        <w:rPr>
          <w:i/>
        </w:rPr>
        <w:t xml:space="preserve"> </w:t>
      </w:r>
      <w:r>
        <w:t>slip opinion).  Thus, the operation of the computer is improved.</w:t>
      </w:r>
    </w:p>
    <w:p w14:paraId="3AE35E5D" w14:textId="77777777" w:rsidR="00E163E5" w:rsidRPr="00E163E5" w:rsidRDefault="00E163E5" w:rsidP="00D80518">
      <w:pPr>
        <w:pStyle w:val="NormalWeb"/>
        <w:spacing w:before="480" w:beforeAutospacing="0" w:after="0" w:afterAutospacing="0" w:line="360" w:lineRule="auto"/>
        <w:ind w:firstLine="720"/>
        <w:jc w:val="both"/>
        <w:rPr>
          <w:bCs/>
        </w:rPr>
      </w:pPr>
      <w:r w:rsidRPr="00E163E5">
        <w:rPr>
          <w:bCs/>
        </w:rPr>
        <w:t xml:space="preserve">The present invention likewise </w:t>
      </w:r>
    </w:p>
    <w:p w14:paraId="3FA7DC4B" w14:textId="77777777" w:rsidR="00E163E5" w:rsidRPr="00E163E5" w:rsidRDefault="00E163E5" w:rsidP="00D80518">
      <w:pPr>
        <w:pStyle w:val="NormalWeb"/>
        <w:spacing w:before="480" w:beforeAutospacing="0" w:after="0" w:afterAutospacing="0" w:line="360" w:lineRule="auto"/>
        <w:ind w:firstLine="720"/>
        <w:jc w:val="both"/>
        <w:rPr>
          <w:bCs/>
        </w:rPr>
      </w:pPr>
      <w:r w:rsidRPr="00E163E5">
        <w:rPr>
          <w:bCs/>
        </w:rPr>
        <w:t xml:space="preserve">This provides a novel solution to the problem of </w:t>
      </w:r>
    </w:p>
    <w:p w14:paraId="1E235943" w14:textId="4D243069" w:rsidR="00E163E5" w:rsidRPr="00E163E5" w:rsidRDefault="00E163E5" w:rsidP="00D80518">
      <w:pPr>
        <w:pStyle w:val="NormalWeb"/>
        <w:spacing w:before="480" w:beforeAutospacing="0" w:after="0" w:afterAutospacing="0" w:line="360" w:lineRule="auto"/>
        <w:ind w:firstLine="720"/>
        <w:jc w:val="both"/>
        <w:rPr>
          <w:bCs/>
        </w:rPr>
      </w:pPr>
      <w:r w:rsidRPr="00E163E5">
        <w:rPr>
          <w:bCs/>
        </w:rPr>
        <w:t>Thus, the present invention is statutory under 35 U.S.C. § 101 according to the </w:t>
      </w:r>
      <w:proofErr w:type="spellStart"/>
      <w:r w:rsidRPr="00E163E5">
        <w:rPr>
          <w:bCs/>
          <w:i/>
          <w:iCs/>
        </w:rPr>
        <w:t>Enfish</w:t>
      </w:r>
      <w:proofErr w:type="spellEnd"/>
      <w:r w:rsidRPr="00E163E5">
        <w:rPr>
          <w:bCs/>
          <w:i/>
          <w:iCs/>
        </w:rPr>
        <w:t> </w:t>
      </w:r>
      <w:r w:rsidRPr="00E163E5">
        <w:rPr>
          <w:bCs/>
        </w:rPr>
        <w:t>court’s decision based on Step 2A of </w:t>
      </w:r>
      <w:r w:rsidRPr="00E163E5">
        <w:rPr>
          <w:bCs/>
          <w:i/>
          <w:iCs/>
        </w:rPr>
        <w:t>Mayo</w:t>
      </w:r>
      <w:r w:rsidRPr="00E163E5">
        <w:rPr>
          <w:bCs/>
        </w:rPr>
        <w:t>.</w:t>
      </w:r>
    </w:p>
    <w:p w14:paraId="60E1F1C8" w14:textId="77777777" w:rsidR="000E2972" w:rsidRPr="000E2972" w:rsidRDefault="000E2972" w:rsidP="00D80518">
      <w:pPr>
        <w:spacing w:before="480" w:line="360" w:lineRule="auto"/>
        <w:jc w:val="both"/>
        <w:outlineLvl w:val="0"/>
        <w:rPr>
          <w:b/>
          <w:bCs/>
          <w:u w:val="single"/>
        </w:rPr>
      </w:pPr>
      <w:proofErr w:type="spellStart"/>
      <w:r w:rsidRPr="000E2972">
        <w:rPr>
          <w:b/>
          <w:bCs/>
          <w:i/>
          <w:u w:val="single"/>
        </w:rPr>
        <w:t>Finjan</w:t>
      </w:r>
      <w:proofErr w:type="spellEnd"/>
      <w:r w:rsidRPr="000E2972">
        <w:rPr>
          <w:b/>
          <w:bCs/>
          <w:i/>
          <w:u w:val="single"/>
        </w:rPr>
        <w:t>, Inc. v. Blue Coat Systems, Inc.</w:t>
      </w:r>
      <w:r w:rsidRPr="000E2972">
        <w:rPr>
          <w:b/>
          <w:bCs/>
          <w:u w:val="single"/>
        </w:rPr>
        <w:t>, __F.3d__(Fed. Cir. 2018) – “</w:t>
      </w:r>
      <w:proofErr w:type="spellStart"/>
      <w:r w:rsidRPr="000E2972">
        <w:rPr>
          <w:b/>
          <w:bCs/>
          <w:i/>
          <w:u w:val="single"/>
        </w:rPr>
        <w:t>Finjan</w:t>
      </w:r>
      <w:proofErr w:type="spellEnd"/>
      <w:r w:rsidRPr="000E2972">
        <w:rPr>
          <w:b/>
          <w:bCs/>
          <w:u w:val="single"/>
        </w:rPr>
        <w:t>”</w:t>
      </w:r>
    </w:p>
    <w:p w14:paraId="57057B38" w14:textId="77777777" w:rsidR="000E2972" w:rsidRPr="000E2972" w:rsidRDefault="000E2972" w:rsidP="00D80518">
      <w:pPr>
        <w:spacing w:before="480" w:line="360" w:lineRule="auto"/>
        <w:jc w:val="both"/>
        <w:rPr>
          <w:bCs/>
        </w:rPr>
      </w:pPr>
      <w:r w:rsidRPr="000E2972">
        <w:rPr>
          <w:bCs/>
        </w:rPr>
        <w:tab/>
      </w:r>
      <w:proofErr w:type="spellStart"/>
      <w:r w:rsidRPr="000E2972">
        <w:rPr>
          <w:bCs/>
          <w:i/>
        </w:rPr>
        <w:t>Finjan</w:t>
      </w:r>
      <w:proofErr w:type="spellEnd"/>
      <w:r w:rsidRPr="000E2972">
        <w:rPr>
          <w:bCs/>
        </w:rPr>
        <w:t xml:space="preserve"> presented a “security profile”, which identifies suspicious code in a downloaded file, is attached to the downloadable file.  The suspicious code is identified according to what it does (e.g., renaming files, deleting files) rather than what it is (i.e., a known virus).  This is different from </w:t>
      </w:r>
      <w:r w:rsidRPr="000E2972">
        <w:rPr>
          <w:bCs/>
          <w:i/>
        </w:rPr>
        <w:t>Intellectual Ventures I LLC v. Symantec Corp.</w:t>
      </w:r>
      <w:r w:rsidRPr="000E2972">
        <w:rPr>
          <w:bCs/>
        </w:rPr>
        <w:t>, 838 F.3d 1307, 1319 (Fed. Cir. 2016), which was held to be non-statutory under 35 U.S.C. § 101 since it simply performed virus screening by matching code to known viruses.</w:t>
      </w:r>
    </w:p>
    <w:p w14:paraId="0854ECF6" w14:textId="77777777" w:rsidR="000E2972" w:rsidRPr="000E2972" w:rsidRDefault="000E2972" w:rsidP="00D80518">
      <w:pPr>
        <w:spacing w:before="480" w:line="360" w:lineRule="auto"/>
        <w:jc w:val="both"/>
        <w:rPr>
          <w:bCs/>
        </w:rPr>
      </w:pPr>
      <w:r w:rsidRPr="000E2972">
        <w:rPr>
          <w:bCs/>
        </w:rPr>
        <w:tab/>
        <w:t xml:space="preserve">Thus, the invention in </w:t>
      </w:r>
      <w:proofErr w:type="spellStart"/>
      <w:r w:rsidRPr="000E2972">
        <w:rPr>
          <w:bCs/>
          <w:i/>
        </w:rPr>
        <w:t>Finjan</w:t>
      </w:r>
      <w:proofErr w:type="spellEnd"/>
      <w:r w:rsidRPr="000E2972">
        <w:rPr>
          <w:bCs/>
        </w:rPr>
        <w:t xml:space="preserve"> 1) identifies suspicious code in a new manner, and 2) lets the end user decide, after reviewing the “security profile” whether to download the file (see page 6 of the slip opinion).</w:t>
      </w:r>
    </w:p>
    <w:p w14:paraId="3D135622" w14:textId="77777777" w:rsidR="000E2972" w:rsidRDefault="000E2972" w:rsidP="00D80518">
      <w:pPr>
        <w:spacing w:before="480" w:line="360" w:lineRule="auto"/>
        <w:ind w:firstLine="720"/>
        <w:jc w:val="both"/>
        <w:rPr>
          <w:bCs/>
        </w:rPr>
      </w:pPr>
      <w:r w:rsidRPr="000E2972">
        <w:rPr>
          <w:bCs/>
        </w:rPr>
        <w:t xml:space="preserve">As stated on page 8 of the </w:t>
      </w:r>
      <w:proofErr w:type="spellStart"/>
      <w:r w:rsidRPr="000E2972">
        <w:rPr>
          <w:bCs/>
          <w:i/>
        </w:rPr>
        <w:t>Finjan</w:t>
      </w:r>
      <w:proofErr w:type="spellEnd"/>
      <w:r w:rsidRPr="000E2972">
        <w:rPr>
          <w:bCs/>
          <w:i/>
        </w:rPr>
        <w:t xml:space="preserve"> </w:t>
      </w:r>
      <w:r w:rsidRPr="000E2972">
        <w:rPr>
          <w:bCs/>
        </w:rPr>
        <w:t>slip opinion, “The fact that the security profile ‘identifies suspicious code’ allows the system to accumulate and utilize newly available, behavior-based information about potential threats.  The asserted claims are therefore directed to a non-abstract improvement in computer functionality.”</w:t>
      </w:r>
    </w:p>
    <w:p w14:paraId="77D5CB97" w14:textId="77777777" w:rsidR="000E2972" w:rsidRPr="000E2972" w:rsidRDefault="000E2972" w:rsidP="00D80518">
      <w:pPr>
        <w:spacing w:before="480" w:line="360" w:lineRule="auto"/>
        <w:ind w:firstLine="720"/>
        <w:jc w:val="both"/>
        <w:rPr>
          <w:bCs/>
        </w:rPr>
      </w:pPr>
      <w:r w:rsidRPr="000E2972">
        <w:rPr>
          <w:bCs/>
        </w:rPr>
        <w:t xml:space="preserve">The present invention likewise </w:t>
      </w:r>
    </w:p>
    <w:p w14:paraId="5FF04EBF" w14:textId="77777777" w:rsidR="000E2972" w:rsidRPr="000E2972" w:rsidRDefault="000E2972" w:rsidP="00D80518">
      <w:pPr>
        <w:spacing w:before="480" w:line="360" w:lineRule="auto"/>
        <w:ind w:firstLine="720"/>
        <w:jc w:val="both"/>
        <w:rPr>
          <w:bCs/>
        </w:rPr>
      </w:pPr>
      <w:r w:rsidRPr="000E2972">
        <w:rPr>
          <w:bCs/>
        </w:rPr>
        <w:t xml:space="preserve">This provides a novel solution to the problem of </w:t>
      </w:r>
    </w:p>
    <w:p w14:paraId="4F3A8974" w14:textId="19A7A68D" w:rsidR="000E2972" w:rsidRPr="000E2972" w:rsidRDefault="000E2972" w:rsidP="00D80518">
      <w:pPr>
        <w:spacing w:before="480" w:line="360" w:lineRule="auto"/>
        <w:ind w:firstLine="720"/>
        <w:jc w:val="both"/>
        <w:rPr>
          <w:bCs/>
        </w:rPr>
      </w:pPr>
      <w:r w:rsidRPr="000E2972">
        <w:rPr>
          <w:bCs/>
        </w:rPr>
        <w:t>Thus, the present invention is statutory under 35 U.S.C. § 101 according to the </w:t>
      </w:r>
      <w:proofErr w:type="spellStart"/>
      <w:r>
        <w:rPr>
          <w:bCs/>
          <w:i/>
          <w:iCs/>
        </w:rPr>
        <w:t>Finjan</w:t>
      </w:r>
      <w:proofErr w:type="spellEnd"/>
      <w:r w:rsidRPr="000E2972">
        <w:rPr>
          <w:bCs/>
          <w:i/>
          <w:iCs/>
        </w:rPr>
        <w:t> </w:t>
      </w:r>
      <w:r w:rsidRPr="000E2972">
        <w:rPr>
          <w:bCs/>
        </w:rPr>
        <w:t>court’s decision based on Step 2A of </w:t>
      </w:r>
      <w:r w:rsidRPr="000E2972">
        <w:rPr>
          <w:bCs/>
          <w:i/>
          <w:iCs/>
        </w:rPr>
        <w:t>Mayo</w:t>
      </w:r>
      <w:r w:rsidRPr="000E2972">
        <w:rPr>
          <w:bCs/>
        </w:rPr>
        <w:t>.</w:t>
      </w:r>
    </w:p>
    <w:p w14:paraId="34ADCB8F" w14:textId="77777777" w:rsidR="000E2972" w:rsidRPr="000E2972" w:rsidRDefault="000E2972" w:rsidP="00D80518">
      <w:pPr>
        <w:spacing w:before="480" w:line="360" w:lineRule="auto"/>
        <w:jc w:val="both"/>
        <w:outlineLvl w:val="0"/>
        <w:rPr>
          <w:b/>
          <w:bCs/>
          <w:u w:val="single"/>
        </w:rPr>
      </w:pPr>
      <w:proofErr w:type="spellStart"/>
      <w:r w:rsidRPr="000E2972">
        <w:rPr>
          <w:b/>
          <w:bCs/>
          <w:i/>
          <w:u w:val="single"/>
        </w:rPr>
        <w:t>McRO</w:t>
      </w:r>
      <w:proofErr w:type="spellEnd"/>
      <w:r w:rsidRPr="000E2972">
        <w:rPr>
          <w:b/>
          <w:bCs/>
          <w:i/>
          <w:u w:val="single"/>
        </w:rPr>
        <w:t>, Inc. v. Bandai Namco Games America Inc.</w:t>
      </w:r>
      <w:r w:rsidRPr="000E2972">
        <w:rPr>
          <w:b/>
          <w:bCs/>
          <w:u w:val="single"/>
        </w:rPr>
        <w:t>, __F.3d__(Fed. Cir. 2016) – “</w:t>
      </w:r>
      <w:proofErr w:type="spellStart"/>
      <w:r w:rsidRPr="000E2972">
        <w:rPr>
          <w:b/>
          <w:bCs/>
          <w:i/>
          <w:u w:val="single"/>
        </w:rPr>
        <w:t>McRO</w:t>
      </w:r>
      <w:proofErr w:type="spellEnd"/>
      <w:r w:rsidRPr="000E2972">
        <w:rPr>
          <w:b/>
          <w:bCs/>
          <w:u w:val="single"/>
        </w:rPr>
        <w:t>”</w:t>
      </w:r>
    </w:p>
    <w:p w14:paraId="0A670212" w14:textId="77777777" w:rsidR="000E2972" w:rsidRDefault="000E2972" w:rsidP="00D80518">
      <w:pPr>
        <w:spacing w:before="480" w:line="360" w:lineRule="auto"/>
        <w:jc w:val="both"/>
        <w:rPr>
          <w:bCs/>
        </w:rPr>
      </w:pPr>
      <w:r w:rsidRPr="000E2972">
        <w:rPr>
          <w:bCs/>
        </w:rPr>
        <w:tab/>
      </w:r>
      <w:proofErr w:type="spellStart"/>
      <w:r w:rsidRPr="000E2972">
        <w:rPr>
          <w:bCs/>
          <w:i/>
        </w:rPr>
        <w:t>McRO</w:t>
      </w:r>
      <w:proofErr w:type="spellEnd"/>
      <w:r w:rsidRPr="000E2972">
        <w:rPr>
          <w:bCs/>
        </w:rPr>
        <w:t xml:space="preserve"> uses an algorithm to synchronize cartoon lip movement to speech sounds.  </w:t>
      </w:r>
      <w:proofErr w:type="spellStart"/>
      <w:r w:rsidRPr="000E2972">
        <w:rPr>
          <w:bCs/>
          <w:i/>
        </w:rPr>
        <w:t>McRO</w:t>
      </w:r>
      <w:proofErr w:type="spellEnd"/>
      <w:r w:rsidRPr="000E2972">
        <w:rPr>
          <w:bCs/>
          <w:i/>
        </w:rPr>
        <w:t xml:space="preserve"> </w:t>
      </w:r>
      <w:r w:rsidRPr="000E2972">
        <w:rPr>
          <w:bCs/>
        </w:rPr>
        <w:t>does not perform this synchronization the way an artist would do manually, and thus the invention is statutory under 35 U.S.C. § 101.</w:t>
      </w:r>
    </w:p>
    <w:p w14:paraId="48ECD406" w14:textId="77777777" w:rsidR="000E2972" w:rsidRPr="000E2972" w:rsidRDefault="000E2972" w:rsidP="00D80518">
      <w:pPr>
        <w:spacing w:before="480" w:line="360" w:lineRule="auto"/>
        <w:ind w:firstLine="720"/>
        <w:jc w:val="both"/>
        <w:rPr>
          <w:bCs/>
        </w:rPr>
      </w:pPr>
      <w:r w:rsidRPr="000E2972">
        <w:rPr>
          <w:bCs/>
        </w:rPr>
        <w:t xml:space="preserve">The present invention likewise </w:t>
      </w:r>
    </w:p>
    <w:p w14:paraId="408EC392" w14:textId="77777777" w:rsidR="000E2972" w:rsidRPr="000E2972" w:rsidRDefault="000E2972" w:rsidP="00D80518">
      <w:pPr>
        <w:spacing w:before="480" w:line="360" w:lineRule="auto"/>
        <w:ind w:firstLine="720"/>
        <w:jc w:val="both"/>
        <w:rPr>
          <w:bCs/>
        </w:rPr>
      </w:pPr>
      <w:r w:rsidRPr="000E2972">
        <w:rPr>
          <w:bCs/>
        </w:rPr>
        <w:t xml:space="preserve">This provides a novel solution to the problem of </w:t>
      </w:r>
    </w:p>
    <w:p w14:paraId="3FF18644" w14:textId="5A70167B" w:rsidR="000E2972" w:rsidRPr="000E2972" w:rsidRDefault="000E2972" w:rsidP="00D80518">
      <w:pPr>
        <w:spacing w:before="480" w:line="360" w:lineRule="auto"/>
        <w:ind w:firstLine="720"/>
        <w:jc w:val="both"/>
        <w:rPr>
          <w:bCs/>
        </w:rPr>
      </w:pPr>
      <w:r w:rsidRPr="000E2972">
        <w:rPr>
          <w:bCs/>
        </w:rPr>
        <w:t>Thus, the present invention is statutory under 35 U.S.C. § 101 according to the </w:t>
      </w:r>
      <w:proofErr w:type="spellStart"/>
      <w:r>
        <w:rPr>
          <w:bCs/>
          <w:i/>
          <w:iCs/>
        </w:rPr>
        <w:t>McRO</w:t>
      </w:r>
      <w:proofErr w:type="spellEnd"/>
      <w:r w:rsidRPr="000E2972">
        <w:rPr>
          <w:bCs/>
          <w:i/>
          <w:iCs/>
        </w:rPr>
        <w:t> </w:t>
      </w:r>
      <w:r w:rsidRPr="000E2972">
        <w:rPr>
          <w:bCs/>
        </w:rPr>
        <w:t>court’s decision based on Step 2A of </w:t>
      </w:r>
      <w:r w:rsidRPr="000E2972">
        <w:rPr>
          <w:bCs/>
          <w:i/>
          <w:iCs/>
        </w:rPr>
        <w:t>Mayo</w:t>
      </w:r>
      <w:r w:rsidRPr="000E2972">
        <w:rPr>
          <w:bCs/>
        </w:rPr>
        <w:t>.</w:t>
      </w:r>
    </w:p>
    <w:p w14:paraId="1B2F1861" w14:textId="77777777" w:rsidR="000E2972" w:rsidRPr="000E2972" w:rsidRDefault="000E2972" w:rsidP="00D80518">
      <w:pPr>
        <w:spacing w:before="480" w:line="360" w:lineRule="auto"/>
        <w:jc w:val="both"/>
        <w:outlineLvl w:val="0"/>
        <w:rPr>
          <w:b/>
          <w:bCs/>
          <w:u w:val="single"/>
        </w:rPr>
      </w:pPr>
      <w:r w:rsidRPr="000E2972">
        <w:rPr>
          <w:b/>
          <w:bCs/>
          <w:i/>
          <w:u w:val="single"/>
        </w:rPr>
        <w:t xml:space="preserve">Thales </w:t>
      </w:r>
      <w:proofErr w:type="spellStart"/>
      <w:r w:rsidRPr="000E2972">
        <w:rPr>
          <w:b/>
          <w:bCs/>
          <w:i/>
          <w:u w:val="single"/>
        </w:rPr>
        <w:t>Visionix</w:t>
      </w:r>
      <w:proofErr w:type="spellEnd"/>
      <w:r w:rsidRPr="000E2972">
        <w:rPr>
          <w:b/>
          <w:bCs/>
          <w:i/>
          <w:u w:val="single"/>
        </w:rPr>
        <w:t xml:space="preserve"> Inc. v. United States et al.</w:t>
      </w:r>
      <w:r w:rsidRPr="000E2972">
        <w:rPr>
          <w:b/>
          <w:bCs/>
          <w:u w:val="single"/>
        </w:rPr>
        <w:t>__F.3d__(Fed. Cir 2017) – “</w:t>
      </w:r>
      <w:r w:rsidRPr="000E2972">
        <w:rPr>
          <w:b/>
          <w:bCs/>
          <w:i/>
          <w:u w:val="single"/>
        </w:rPr>
        <w:t>Thales</w:t>
      </w:r>
      <w:r w:rsidRPr="000E2972">
        <w:rPr>
          <w:b/>
          <w:bCs/>
          <w:u w:val="single"/>
        </w:rPr>
        <w:t>”</w:t>
      </w:r>
    </w:p>
    <w:p w14:paraId="4AB9DCB8" w14:textId="77777777" w:rsidR="00050B30" w:rsidRDefault="000E2972" w:rsidP="00D80518">
      <w:pPr>
        <w:spacing w:before="480" w:line="360" w:lineRule="auto"/>
        <w:ind w:firstLine="720"/>
        <w:jc w:val="both"/>
        <w:rPr>
          <w:bCs/>
        </w:rPr>
      </w:pPr>
      <w:r w:rsidRPr="00050B30">
        <w:rPr>
          <w:bCs/>
          <w:i/>
        </w:rPr>
        <w:t>Thales</w:t>
      </w:r>
      <w:r w:rsidRPr="000E2972">
        <w:rPr>
          <w:bCs/>
        </w:rPr>
        <w:t xml:space="preserve"> uses sensors to identify real-time locations of boxes in the back of a truck, thus reducing errors in an inertial system that tracks an object on a moving platform.</w:t>
      </w:r>
      <w:r w:rsidR="00050B30" w:rsidRPr="00050B30">
        <w:rPr>
          <w:bCs/>
        </w:rPr>
        <w:t xml:space="preserve"> </w:t>
      </w:r>
    </w:p>
    <w:p w14:paraId="712E565F" w14:textId="6653EFA8" w:rsidR="00B845C2" w:rsidRDefault="00050B30" w:rsidP="00D80518">
      <w:pPr>
        <w:spacing w:before="480" w:line="360" w:lineRule="auto"/>
        <w:ind w:firstLine="720"/>
        <w:jc w:val="both"/>
        <w:rPr>
          <w:bCs/>
        </w:rPr>
      </w:pPr>
      <w:r>
        <w:rPr>
          <w:bCs/>
        </w:rPr>
        <w:t xml:space="preserve">The </w:t>
      </w:r>
      <w:r>
        <w:rPr>
          <w:bCs/>
          <w:i/>
        </w:rPr>
        <w:t xml:space="preserve">Thales </w:t>
      </w:r>
      <w:r w:rsidRPr="00050B30">
        <w:rPr>
          <w:bCs/>
        </w:rPr>
        <w:t>court f</w:t>
      </w:r>
      <w:r>
        <w:rPr>
          <w:bCs/>
        </w:rPr>
        <w:t>ound</w:t>
      </w:r>
      <w:r w:rsidRPr="00050B30">
        <w:rPr>
          <w:bCs/>
        </w:rPr>
        <w:t xml:space="preserve"> the invention to be “nearly indistinguishable from the claims” at issue in (rubber molding patent) </w:t>
      </w:r>
      <w:proofErr w:type="spellStart"/>
      <w:r w:rsidRPr="00050B30">
        <w:rPr>
          <w:bCs/>
          <w:i/>
        </w:rPr>
        <w:t>Diehr</w:t>
      </w:r>
      <w:proofErr w:type="spellEnd"/>
      <w:r w:rsidRPr="00050B30">
        <w:rPr>
          <w:bCs/>
        </w:rPr>
        <w:t xml:space="preserve"> - even though </w:t>
      </w:r>
      <w:proofErr w:type="spellStart"/>
      <w:r w:rsidRPr="00050B30">
        <w:rPr>
          <w:bCs/>
          <w:i/>
        </w:rPr>
        <w:t>Diehr</w:t>
      </w:r>
      <w:proofErr w:type="spellEnd"/>
      <w:r w:rsidRPr="00050B30">
        <w:rPr>
          <w:bCs/>
        </w:rPr>
        <w:t xml:space="preserve"> produced a product and </w:t>
      </w:r>
      <w:r w:rsidRPr="00050B30">
        <w:rPr>
          <w:bCs/>
          <w:i/>
        </w:rPr>
        <w:t>Thales</w:t>
      </w:r>
      <w:r w:rsidRPr="00050B30">
        <w:rPr>
          <w:bCs/>
        </w:rPr>
        <w:t xml:space="preserve"> just “reduces errors in an inertial system that tracks an object on a moving platform” - see pages 8-9 of </w:t>
      </w:r>
      <w:r w:rsidRPr="00050B30">
        <w:rPr>
          <w:bCs/>
          <w:i/>
        </w:rPr>
        <w:t>Thales</w:t>
      </w:r>
      <w:r>
        <w:rPr>
          <w:bCs/>
        </w:rPr>
        <w:t xml:space="preserve"> slip opinion.</w:t>
      </w:r>
    </w:p>
    <w:p w14:paraId="19B46D3B" w14:textId="3E9DA1C7" w:rsidR="00B845C2" w:rsidRPr="00050B30" w:rsidRDefault="00050B30" w:rsidP="00D80518">
      <w:pPr>
        <w:spacing w:before="480" w:line="360" w:lineRule="auto"/>
        <w:ind w:firstLine="720"/>
        <w:jc w:val="both"/>
        <w:rPr>
          <w:bCs/>
        </w:rPr>
      </w:pPr>
      <w:r>
        <w:rPr>
          <w:bCs/>
        </w:rPr>
        <w:t xml:space="preserve">Furthermore, </w:t>
      </w:r>
      <w:r w:rsidRPr="00050B30">
        <w:rPr>
          <w:bCs/>
        </w:rPr>
        <w:t xml:space="preserve">“That a mathematical equation is required to complete the claimed method and system does not doom the claims to abstraction” – see page 10 of the </w:t>
      </w:r>
      <w:r w:rsidRPr="00050B30">
        <w:rPr>
          <w:bCs/>
          <w:i/>
          <w:iCs/>
        </w:rPr>
        <w:t>Thales</w:t>
      </w:r>
      <w:r w:rsidRPr="00050B30">
        <w:rPr>
          <w:bCs/>
        </w:rPr>
        <w:t xml:space="preserve"> slip opinion</w:t>
      </w:r>
    </w:p>
    <w:p w14:paraId="68E0AD70" w14:textId="77777777" w:rsidR="000E2972" w:rsidRPr="000E2972" w:rsidRDefault="000E2972" w:rsidP="00D80518">
      <w:pPr>
        <w:spacing w:before="480" w:line="360" w:lineRule="auto"/>
        <w:ind w:firstLine="720"/>
        <w:jc w:val="both"/>
        <w:rPr>
          <w:bCs/>
        </w:rPr>
      </w:pPr>
      <w:r w:rsidRPr="000E2972">
        <w:rPr>
          <w:bCs/>
        </w:rPr>
        <w:t xml:space="preserve">The present invention likewise </w:t>
      </w:r>
    </w:p>
    <w:p w14:paraId="0E6A93CE" w14:textId="77777777" w:rsidR="000E2972" w:rsidRPr="000E2972" w:rsidRDefault="000E2972" w:rsidP="00D80518">
      <w:pPr>
        <w:spacing w:before="480" w:line="360" w:lineRule="auto"/>
        <w:ind w:firstLine="720"/>
        <w:jc w:val="both"/>
        <w:rPr>
          <w:bCs/>
        </w:rPr>
      </w:pPr>
      <w:r w:rsidRPr="000E2972">
        <w:rPr>
          <w:bCs/>
        </w:rPr>
        <w:t xml:space="preserve">This provides a novel solution to the problem of </w:t>
      </w:r>
    </w:p>
    <w:p w14:paraId="29B511D1" w14:textId="1F9D9EEF" w:rsidR="000E2972" w:rsidRPr="000E2972" w:rsidRDefault="000E2972" w:rsidP="00D80518">
      <w:pPr>
        <w:spacing w:before="480" w:line="360" w:lineRule="auto"/>
        <w:ind w:firstLine="720"/>
        <w:jc w:val="both"/>
        <w:rPr>
          <w:bCs/>
        </w:rPr>
      </w:pPr>
      <w:r w:rsidRPr="000E2972">
        <w:rPr>
          <w:bCs/>
        </w:rPr>
        <w:t>Thus, the present invention is statutory under 35 U.S.C. § 101 according to the </w:t>
      </w:r>
      <w:r>
        <w:rPr>
          <w:bCs/>
          <w:i/>
          <w:iCs/>
        </w:rPr>
        <w:t>Thales</w:t>
      </w:r>
      <w:r w:rsidRPr="000E2972">
        <w:rPr>
          <w:bCs/>
          <w:i/>
          <w:iCs/>
        </w:rPr>
        <w:t> </w:t>
      </w:r>
      <w:r w:rsidRPr="000E2972">
        <w:rPr>
          <w:bCs/>
        </w:rPr>
        <w:t>court’s decision based on Step 2A of </w:t>
      </w:r>
      <w:r w:rsidRPr="000E2972">
        <w:rPr>
          <w:bCs/>
          <w:i/>
          <w:iCs/>
        </w:rPr>
        <w:t>Mayo</w:t>
      </w:r>
      <w:r w:rsidRPr="000E2972">
        <w:rPr>
          <w:bCs/>
        </w:rPr>
        <w:t>.</w:t>
      </w:r>
    </w:p>
    <w:p w14:paraId="74A8D1D0" w14:textId="77777777" w:rsidR="000E2972" w:rsidRPr="000E2972" w:rsidRDefault="000E2972" w:rsidP="00D80518">
      <w:pPr>
        <w:spacing w:before="480" w:line="360" w:lineRule="auto"/>
        <w:jc w:val="both"/>
        <w:outlineLvl w:val="0"/>
        <w:rPr>
          <w:b/>
          <w:bCs/>
          <w:u w:val="single"/>
        </w:rPr>
      </w:pPr>
      <w:r w:rsidRPr="000E2972">
        <w:rPr>
          <w:b/>
          <w:bCs/>
          <w:i/>
          <w:u w:val="single"/>
        </w:rPr>
        <w:t>Trading Technologies International, Inc. v. CQG, Inc. et al.</w:t>
      </w:r>
      <w:r w:rsidRPr="000E2972">
        <w:rPr>
          <w:b/>
          <w:bCs/>
          <w:u w:val="single"/>
        </w:rPr>
        <w:t>__F.3d__(Fed. Cir. 2017) – “</w:t>
      </w:r>
      <w:r w:rsidRPr="000E2972">
        <w:rPr>
          <w:b/>
          <w:bCs/>
          <w:i/>
          <w:u w:val="single"/>
        </w:rPr>
        <w:t>TTI</w:t>
      </w:r>
      <w:r w:rsidRPr="000E2972">
        <w:rPr>
          <w:b/>
          <w:bCs/>
          <w:u w:val="single"/>
        </w:rPr>
        <w:t>”</w:t>
      </w:r>
    </w:p>
    <w:p w14:paraId="0B86091C" w14:textId="77777777" w:rsidR="000E2972" w:rsidRDefault="000E2972" w:rsidP="00D80518">
      <w:pPr>
        <w:spacing w:before="480" w:line="360" w:lineRule="auto"/>
        <w:jc w:val="both"/>
        <w:rPr>
          <w:bCs/>
        </w:rPr>
      </w:pPr>
      <w:r w:rsidRPr="000E2972">
        <w:rPr>
          <w:bCs/>
        </w:rPr>
        <w:tab/>
      </w:r>
      <w:r w:rsidRPr="000E2972">
        <w:rPr>
          <w:bCs/>
          <w:i/>
        </w:rPr>
        <w:t>TTI</w:t>
      </w:r>
      <w:r w:rsidRPr="000E2972">
        <w:rPr>
          <w:bCs/>
        </w:rPr>
        <w:t xml:space="preserve"> creates a graphical user interface (GUI) that ensures that a seller of a commodity gets paid by the buyer, thus improving the accuracy of trader transactions (see page 9 of the </w:t>
      </w:r>
      <w:r w:rsidRPr="000E2972">
        <w:rPr>
          <w:bCs/>
          <w:i/>
        </w:rPr>
        <w:t xml:space="preserve">TTI </w:t>
      </w:r>
      <w:r w:rsidRPr="000E2972">
        <w:rPr>
          <w:bCs/>
        </w:rPr>
        <w:t>slip opinion).</w:t>
      </w:r>
    </w:p>
    <w:p w14:paraId="21F4E4BD" w14:textId="77777777" w:rsidR="000E2972" w:rsidRPr="000E2972" w:rsidRDefault="000E2972" w:rsidP="00D80518">
      <w:pPr>
        <w:spacing w:before="480" w:line="360" w:lineRule="auto"/>
        <w:ind w:firstLine="720"/>
        <w:jc w:val="both"/>
        <w:rPr>
          <w:bCs/>
        </w:rPr>
      </w:pPr>
      <w:r w:rsidRPr="000E2972">
        <w:rPr>
          <w:bCs/>
        </w:rPr>
        <w:t xml:space="preserve">The present invention likewise </w:t>
      </w:r>
    </w:p>
    <w:p w14:paraId="4AF7DFAE" w14:textId="77777777" w:rsidR="000E2972" w:rsidRPr="000E2972" w:rsidRDefault="000E2972" w:rsidP="00D80518">
      <w:pPr>
        <w:spacing w:before="480" w:line="360" w:lineRule="auto"/>
        <w:ind w:firstLine="720"/>
        <w:jc w:val="both"/>
        <w:rPr>
          <w:bCs/>
        </w:rPr>
      </w:pPr>
      <w:r w:rsidRPr="000E2972">
        <w:rPr>
          <w:bCs/>
        </w:rPr>
        <w:t xml:space="preserve">This provides a novel solution to the problem of </w:t>
      </w:r>
    </w:p>
    <w:p w14:paraId="224CF8D2" w14:textId="5258054A" w:rsidR="000E2972" w:rsidRPr="000E2972" w:rsidRDefault="000E2972" w:rsidP="00D80518">
      <w:pPr>
        <w:spacing w:before="480" w:line="360" w:lineRule="auto"/>
        <w:ind w:firstLine="720"/>
        <w:jc w:val="both"/>
        <w:rPr>
          <w:bCs/>
        </w:rPr>
      </w:pPr>
      <w:r w:rsidRPr="000E2972">
        <w:rPr>
          <w:bCs/>
        </w:rPr>
        <w:t>Thus, the present invention is statutory under 35 U.S.C. § 101 according to the </w:t>
      </w:r>
      <w:r>
        <w:rPr>
          <w:bCs/>
          <w:i/>
          <w:iCs/>
        </w:rPr>
        <w:t>TTI</w:t>
      </w:r>
      <w:r w:rsidRPr="000E2972">
        <w:rPr>
          <w:bCs/>
          <w:i/>
          <w:iCs/>
        </w:rPr>
        <w:t> </w:t>
      </w:r>
      <w:r w:rsidRPr="000E2972">
        <w:rPr>
          <w:bCs/>
        </w:rPr>
        <w:t>court’s decision based on Step 2A of </w:t>
      </w:r>
      <w:r w:rsidRPr="000E2972">
        <w:rPr>
          <w:bCs/>
          <w:i/>
          <w:iCs/>
        </w:rPr>
        <w:t>Mayo</w:t>
      </w:r>
      <w:r w:rsidRPr="000E2972">
        <w:rPr>
          <w:bCs/>
        </w:rPr>
        <w:t>.</w:t>
      </w:r>
    </w:p>
    <w:p w14:paraId="07FF24E1" w14:textId="77777777" w:rsidR="000E2972" w:rsidRPr="000E2972" w:rsidRDefault="000E2972" w:rsidP="00D80518">
      <w:pPr>
        <w:pStyle w:val="NormalWeb"/>
        <w:spacing w:before="480" w:beforeAutospacing="0" w:after="0" w:afterAutospacing="0" w:line="360" w:lineRule="auto"/>
        <w:jc w:val="both"/>
        <w:outlineLvl w:val="0"/>
        <w:rPr>
          <w:b/>
          <w:u w:val="single"/>
        </w:rPr>
      </w:pPr>
      <w:r w:rsidRPr="000E2972">
        <w:rPr>
          <w:b/>
          <w:i/>
          <w:u w:val="single"/>
        </w:rPr>
        <w:t xml:space="preserve">Visual Memory LLC, v. </w:t>
      </w:r>
      <w:proofErr w:type="spellStart"/>
      <w:r w:rsidRPr="000E2972">
        <w:rPr>
          <w:b/>
          <w:i/>
          <w:u w:val="single"/>
        </w:rPr>
        <w:t>Nvidia</w:t>
      </w:r>
      <w:proofErr w:type="spellEnd"/>
      <w:r w:rsidRPr="000E2972">
        <w:rPr>
          <w:b/>
          <w:i/>
          <w:u w:val="single"/>
        </w:rPr>
        <w:t xml:space="preserve"> Corp.</w:t>
      </w:r>
      <w:r w:rsidRPr="000E2972">
        <w:rPr>
          <w:b/>
          <w:u w:val="single"/>
        </w:rPr>
        <w:t>__F.3d__(Fed. Cir. 2017) – “</w:t>
      </w:r>
      <w:r w:rsidRPr="000E2972">
        <w:rPr>
          <w:b/>
          <w:i/>
          <w:u w:val="single"/>
        </w:rPr>
        <w:t>Visual Memory</w:t>
      </w:r>
      <w:r w:rsidRPr="000E2972">
        <w:rPr>
          <w:b/>
          <w:u w:val="single"/>
        </w:rPr>
        <w:t>”</w:t>
      </w:r>
    </w:p>
    <w:p w14:paraId="0DCB994F" w14:textId="1E6CAB4A" w:rsidR="00E163E5" w:rsidRDefault="000E2972" w:rsidP="00D80518">
      <w:pPr>
        <w:pStyle w:val="NormalWeb"/>
        <w:spacing w:before="480" w:beforeAutospacing="0" w:after="0" w:afterAutospacing="0" w:line="360" w:lineRule="auto"/>
        <w:jc w:val="both"/>
      </w:pPr>
      <w:r>
        <w:rPr>
          <w:i/>
        </w:rPr>
        <w:tab/>
        <w:t xml:space="preserve">Visual Memory </w:t>
      </w:r>
      <w:r>
        <w:t>teaches adjustable cache memory that is restricted to storing just data, just instructions, or both data and instructions based on the type of processor that it supports, thus making a more efficient memory system.</w:t>
      </w:r>
    </w:p>
    <w:p w14:paraId="3834BA2A" w14:textId="77777777" w:rsidR="00963325" w:rsidRPr="00963325" w:rsidRDefault="00963325" w:rsidP="00D80518">
      <w:pPr>
        <w:pStyle w:val="NormalWeb"/>
        <w:spacing w:before="480" w:beforeAutospacing="0" w:after="0" w:afterAutospacing="0" w:line="360" w:lineRule="auto"/>
        <w:ind w:firstLine="720"/>
        <w:jc w:val="both"/>
        <w:rPr>
          <w:bCs/>
        </w:rPr>
      </w:pPr>
      <w:r w:rsidRPr="00963325">
        <w:rPr>
          <w:bCs/>
        </w:rPr>
        <w:t xml:space="preserve">The present invention likewise </w:t>
      </w:r>
    </w:p>
    <w:p w14:paraId="59D6AE54" w14:textId="77777777" w:rsidR="00963325" w:rsidRPr="00963325" w:rsidRDefault="00963325" w:rsidP="00D80518">
      <w:pPr>
        <w:pStyle w:val="NormalWeb"/>
        <w:spacing w:before="480" w:beforeAutospacing="0" w:after="0" w:afterAutospacing="0" w:line="360" w:lineRule="auto"/>
        <w:ind w:firstLine="720"/>
        <w:jc w:val="both"/>
        <w:rPr>
          <w:bCs/>
        </w:rPr>
      </w:pPr>
      <w:r w:rsidRPr="00963325">
        <w:rPr>
          <w:bCs/>
        </w:rPr>
        <w:t xml:space="preserve">This provides a novel solution to the problem of </w:t>
      </w:r>
    </w:p>
    <w:p w14:paraId="5891FFDB" w14:textId="6CDB3F18" w:rsidR="00963325" w:rsidRPr="00963325" w:rsidRDefault="00963325" w:rsidP="00D80518">
      <w:pPr>
        <w:pStyle w:val="NormalWeb"/>
        <w:spacing w:before="480" w:beforeAutospacing="0" w:after="0" w:afterAutospacing="0" w:line="360" w:lineRule="auto"/>
        <w:ind w:firstLine="720"/>
        <w:jc w:val="both"/>
        <w:rPr>
          <w:bCs/>
        </w:rPr>
      </w:pPr>
      <w:r w:rsidRPr="00963325">
        <w:rPr>
          <w:bCs/>
        </w:rPr>
        <w:t>Thus, the present invention is statutory under 35 U.S.C. § 101 according to the </w:t>
      </w:r>
      <w:r w:rsidRPr="00963325">
        <w:rPr>
          <w:bCs/>
          <w:i/>
          <w:iCs/>
        </w:rPr>
        <w:t>Visual Memory </w:t>
      </w:r>
      <w:r w:rsidRPr="00963325">
        <w:rPr>
          <w:bCs/>
        </w:rPr>
        <w:t>court’s decision based on Step 2A of </w:t>
      </w:r>
      <w:r w:rsidRPr="00963325">
        <w:rPr>
          <w:bCs/>
          <w:i/>
          <w:iCs/>
        </w:rPr>
        <w:t>Mayo</w:t>
      </w:r>
      <w:r w:rsidRPr="00963325">
        <w:rPr>
          <w:bCs/>
        </w:rPr>
        <w:t>.</w:t>
      </w:r>
    </w:p>
    <w:p w14:paraId="7A16FD1F" w14:textId="77777777" w:rsidR="00E163E5" w:rsidRPr="00E163E5" w:rsidRDefault="00E163E5" w:rsidP="00D80518">
      <w:pPr>
        <w:spacing w:before="480" w:line="360" w:lineRule="auto"/>
        <w:jc w:val="both"/>
        <w:rPr>
          <w:b/>
          <w:bCs/>
          <w:i/>
          <w:u w:val="single"/>
        </w:rPr>
      </w:pPr>
      <w:r w:rsidRPr="00E163E5">
        <w:rPr>
          <w:b/>
          <w:bCs/>
          <w:i/>
          <w:u w:val="single"/>
        </w:rPr>
        <w:t>Association for Molecular Pathology v. Myriad Genetics, Inc.</w:t>
      </w:r>
      <w:r w:rsidRPr="00E163E5">
        <w:rPr>
          <w:b/>
          <w:bCs/>
          <w:u w:val="single"/>
        </w:rPr>
        <w:t xml:space="preserve"> 569 U.S.__(2013) – “</w:t>
      </w:r>
      <w:r w:rsidRPr="00E163E5">
        <w:rPr>
          <w:b/>
          <w:bCs/>
          <w:i/>
          <w:u w:val="single"/>
        </w:rPr>
        <w:t>Myriad SCOTUS”</w:t>
      </w:r>
    </w:p>
    <w:p w14:paraId="5EF97AE9" w14:textId="78589D53" w:rsidR="00E163E5" w:rsidRDefault="00E163E5" w:rsidP="00D80518">
      <w:pPr>
        <w:spacing w:before="480" w:line="360" w:lineRule="auto"/>
        <w:ind w:firstLine="720"/>
        <w:jc w:val="both"/>
        <w:rPr>
          <w:bCs/>
        </w:rPr>
      </w:pPr>
      <w:r w:rsidRPr="00E163E5">
        <w:rPr>
          <w:bCs/>
          <w:i/>
        </w:rPr>
        <w:t xml:space="preserve">Myriad SCOTUS </w:t>
      </w:r>
      <w:r w:rsidRPr="00E163E5">
        <w:rPr>
          <w:bCs/>
        </w:rPr>
        <w:t>holds that creating genetic material that is not found in nature is statutory.</w:t>
      </w:r>
    </w:p>
    <w:p w14:paraId="169592A5" w14:textId="77777777" w:rsidR="00E163E5" w:rsidRPr="000E2972" w:rsidRDefault="00E163E5" w:rsidP="00D80518">
      <w:pPr>
        <w:spacing w:before="480" w:line="360" w:lineRule="auto"/>
        <w:ind w:firstLine="720"/>
        <w:jc w:val="both"/>
        <w:rPr>
          <w:bCs/>
        </w:rPr>
      </w:pPr>
      <w:r w:rsidRPr="000E2972">
        <w:rPr>
          <w:bCs/>
        </w:rPr>
        <w:t xml:space="preserve">The present invention likewise </w:t>
      </w:r>
    </w:p>
    <w:p w14:paraId="03278D60" w14:textId="77777777" w:rsidR="00E163E5" w:rsidRPr="000E2972" w:rsidRDefault="00E163E5" w:rsidP="00D80518">
      <w:pPr>
        <w:spacing w:before="480" w:line="360" w:lineRule="auto"/>
        <w:ind w:firstLine="720"/>
        <w:jc w:val="both"/>
        <w:rPr>
          <w:bCs/>
        </w:rPr>
      </w:pPr>
      <w:r w:rsidRPr="000E2972">
        <w:rPr>
          <w:bCs/>
        </w:rPr>
        <w:t xml:space="preserve">This provides a novel solution to the problem of </w:t>
      </w:r>
    </w:p>
    <w:p w14:paraId="1F674FA7" w14:textId="72C70B1A" w:rsidR="00E163E5" w:rsidRDefault="00E163E5" w:rsidP="00D80518">
      <w:pPr>
        <w:spacing w:before="480" w:line="360" w:lineRule="auto"/>
        <w:ind w:firstLine="720"/>
        <w:jc w:val="both"/>
        <w:rPr>
          <w:bCs/>
        </w:rPr>
      </w:pPr>
      <w:r w:rsidRPr="000E2972">
        <w:rPr>
          <w:bCs/>
        </w:rPr>
        <w:t>Thus, the present invention is statutory under 35 U.S.C. § 101 according to the </w:t>
      </w:r>
      <w:r>
        <w:rPr>
          <w:bCs/>
          <w:i/>
          <w:iCs/>
        </w:rPr>
        <w:t>Myriad SCOTUS</w:t>
      </w:r>
      <w:r w:rsidRPr="000E2972">
        <w:rPr>
          <w:bCs/>
          <w:i/>
          <w:iCs/>
        </w:rPr>
        <w:t> </w:t>
      </w:r>
      <w:r w:rsidRPr="000E2972">
        <w:rPr>
          <w:bCs/>
        </w:rPr>
        <w:t>court’s decision based on Step 2A of </w:t>
      </w:r>
      <w:r w:rsidRPr="000E2972">
        <w:rPr>
          <w:bCs/>
          <w:i/>
          <w:iCs/>
        </w:rPr>
        <w:t>Mayo</w:t>
      </w:r>
      <w:r w:rsidRPr="000E2972">
        <w:rPr>
          <w:bCs/>
        </w:rPr>
        <w:t>.</w:t>
      </w:r>
    </w:p>
    <w:p w14:paraId="21BAE72E" w14:textId="77777777" w:rsidR="00AB30CB" w:rsidRPr="008D7CB1" w:rsidRDefault="00AB30CB" w:rsidP="00D80518">
      <w:pPr>
        <w:spacing w:before="480" w:line="360" w:lineRule="auto"/>
        <w:jc w:val="both"/>
        <w:outlineLvl w:val="0"/>
        <w:rPr>
          <w:b/>
          <w:bCs/>
          <w:u w:val="single"/>
        </w:rPr>
      </w:pPr>
      <w:r w:rsidRPr="008D7CB1">
        <w:rPr>
          <w:b/>
          <w:bCs/>
          <w:u w:val="single"/>
        </w:rPr>
        <w:t>Step 2B of the </w:t>
      </w:r>
      <w:r w:rsidRPr="008D7CB1">
        <w:rPr>
          <w:b/>
          <w:bCs/>
          <w:i/>
          <w:iCs/>
          <w:u w:val="single"/>
        </w:rPr>
        <w:t>Mayo</w:t>
      </w:r>
      <w:r w:rsidRPr="008D7CB1">
        <w:rPr>
          <w:b/>
          <w:bCs/>
          <w:u w:val="single"/>
        </w:rPr>
        <w:t> test</w:t>
      </w:r>
    </w:p>
    <w:p w14:paraId="1A439FBD" w14:textId="77777777" w:rsidR="00AB30CB" w:rsidRPr="006768B8" w:rsidRDefault="00AB30CB" w:rsidP="00D80518">
      <w:pPr>
        <w:spacing w:before="480" w:line="360" w:lineRule="auto"/>
        <w:ind w:firstLine="720"/>
        <w:jc w:val="both"/>
        <w:rPr>
          <w:bCs/>
        </w:rPr>
      </w:pPr>
      <w:r w:rsidRPr="006768B8">
        <w:rPr>
          <w:bCs/>
        </w:rPr>
        <w:t>Even if the present invention were not to pass Step 2A of the </w:t>
      </w:r>
      <w:r w:rsidRPr="006768B8">
        <w:rPr>
          <w:bCs/>
          <w:i/>
          <w:iCs/>
        </w:rPr>
        <w:t>Mayo </w:t>
      </w:r>
      <w:r w:rsidRPr="006768B8">
        <w:rPr>
          <w:bCs/>
        </w:rPr>
        <w:t>test, which Applicants dispute, it would still pass Step 2B of the </w:t>
      </w:r>
      <w:r w:rsidRPr="006768B8">
        <w:rPr>
          <w:bCs/>
          <w:i/>
          <w:iCs/>
        </w:rPr>
        <w:t>Mayo </w:t>
      </w:r>
      <w:r w:rsidRPr="006768B8">
        <w:rPr>
          <w:bCs/>
        </w:rPr>
        <w:t>test.</w:t>
      </w:r>
    </w:p>
    <w:p w14:paraId="2F53C8D6" w14:textId="68814348" w:rsidR="00AB30CB" w:rsidRDefault="00AB30CB" w:rsidP="00D80518">
      <w:pPr>
        <w:spacing w:before="480" w:line="360" w:lineRule="auto"/>
        <w:ind w:firstLine="720"/>
        <w:jc w:val="both"/>
        <w:rPr>
          <w:bCs/>
        </w:rPr>
      </w:pPr>
      <w:r w:rsidRPr="006768B8">
        <w:rPr>
          <w:bCs/>
        </w:rPr>
        <w:t>The following cases cited in the </w:t>
      </w:r>
      <w:r w:rsidRPr="006768B8">
        <w:rPr>
          <w:bCs/>
          <w:i/>
          <w:iCs/>
        </w:rPr>
        <w:t>February 2018 USPT</w:t>
      </w:r>
      <w:r w:rsidR="00766B7B">
        <w:rPr>
          <w:bCs/>
          <w:i/>
          <w:iCs/>
        </w:rPr>
        <w:t>O</w:t>
      </w:r>
      <w:r w:rsidRPr="006768B8">
        <w:rPr>
          <w:bCs/>
          <w:i/>
          <w:iCs/>
        </w:rPr>
        <w:t xml:space="preserve"> Guidelines </w:t>
      </w:r>
      <w:r w:rsidRPr="006768B8">
        <w:rPr>
          <w:bCs/>
        </w:rPr>
        <w:t>were held to be statutory under 35 U.S.C. § 101 according to Step 2B of </w:t>
      </w:r>
      <w:r w:rsidRPr="006768B8">
        <w:rPr>
          <w:bCs/>
          <w:i/>
          <w:iCs/>
        </w:rPr>
        <w:t>Mayo</w:t>
      </w:r>
      <w:r w:rsidRPr="006768B8">
        <w:rPr>
          <w:bCs/>
        </w:rPr>
        <w:t>, and are relevant to the present invention.</w:t>
      </w:r>
    </w:p>
    <w:p w14:paraId="4B7CD921" w14:textId="77777777" w:rsidR="00E163E5" w:rsidRPr="00E163E5" w:rsidRDefault="00E163E5" w:rsidP="00D80518">
      <w:pPr>
        <w:spacing w:before="480" w:line="360" w:lineRule="auto"/>
        <w:jc w:val="both"/>
        <w:rPr>
          <w:b/>
          <w:bCs/>
          <w:u w:val="single"/>
        </w:rPr>
      </w:pPr>
      <w:r w:rsidRPr="00E163E5">
        <w:rPr>
          <w:b/>
          <w:bCs/>
          <w:i/>
          <w:u w:val="single"/>
        </w:rPr>
        <w:t>In re Abele</w:t>
      </w:r>
      <w:r w:rsidRPr="00E163E5">
        <w:rPr>
          <w:b/>
          <w:bCs/>
          <w:u w:val="single"/>
        </w:rPr>
        <w:t>, 684 F.2d 902 (CCPA 1982) – “</w:t>
      </w:r>
      <w:r w:rsidRPr="00E163E5">
        <w:rPr>
          <w:b/>
          <w:bCs/>
          <w:i/>
          <w:u w:val="single"/>
        </w:rPr>
        <w:t>Abele</w:t>
      </w:r>
      <w:r w:rsidRPr="00E163E5">
        <w:rPr>
          <w:b/>
          <w:bCs/>
          <w:u w:val="single"/>
        </w:rPr>
        <w:t>”</w:t>
      </w:r>
    </w:p>
    <w:p w14:paraId="0FA29AE9" w14:textId="77777777" w:rsidR="00E163E5" w:rsidRPr="00E163E5" w:rsidRDefault="00E163E5" w:rsidP="00D80518">
      <w:pPr>
        <w:spacing w:before="480" w:line="360" w:lineRule="auto"/>
        <w:jc w:val="both"/>
        <w:rPr>
          <w:bCs/>
        </w:rPr>
      </w:pPr>
      <w:r w:rsidRPr="00E163E5">
        <w:rPr>
          <w:bCs/>
        </w:rPr>
        <w:tab/>
      </w:r>
      <w:r w:rsidRPr="00E163E5">
        <w:rPr>
          <w:bCs/>
          <w:i/>
        </w:rPr>
        <w:t>Abele</w:t>
      </w:r>
      <w:r w:rsidRPr="00E163E5">
        <w:rPr>
          <w:bCs/>
        </w:rPr>
        <w:t xml:space="preserve"> uses data from a computer tomography (CT) scanner to produce and display grey scale images on a display.</w:t>
      </w:r>
    </w:p>
    <w:p w14:paraId="6C1DA0E7" w14:textId="77777777" w:rsidR="00E163E5" w:rsidRDefault="00E163E5" w:rsidP="00D80518">
      <w:pPr>
        <w:spacing w:before="480" w:line="360" w:lineRule="auto"/>
        <w:jc w:val="both"/>
        <w:rPr>
          <w:bCs/>
        </w:rPr>
      </w:pPr>
      <w:r w:rsidRPr="00E163E5">
        <w:rPr>
          <w:bCs/>
        </w:rPr>
        <w:tab/>
        <w:t xml:space="preserve">Even though the </w:t>
      </w:r>
      <w:r w:rsidRPr="00E163E5">
        <w:rPr>
          <w:bCs/>
          <w:i/>
        </w:rPr>
        <w:t>Abele</w:t>
      </w:r>
      <w:r w:rsidRPr="00E163E5">
        <w:rPr>
          <w:bCs/>
        </w:rPr>
        <w:t xml:space="preserve"> decision was released over 20 years before </w:t>
      </w:r>
      <w:r w:rsidRPr="00E163E5">
        <w:rPr>
          <w:bCs/>
          <w:i/>
        </w:rPr>
        <w:t>Alice</w:t>
      </w:r>
      <w:r w:rsidRPr="00E163E5">
        <w:rPr>
          <w:bCs/>
        </w:rPr>
        <w:t xml:space="preserve">, it has not been overturned.  </w:t>
      </w:r>
    </w:p>
    <w:p w14:paraId="017622F2" w14:textId="77777777" w:rsidR="00E163E5" w:rsidRPr="000E2972" w:rsidRDefault="00E163E5" w:rsidP="00D80518">
      <w:pPr>
        <w:spacing w:before="480" w:line="360" w:lineRule="auto"/>
        <w:ind w:firstLine="720"/>
        <w:jc w:val="both"/>
        <w:rPr>
          <w:bCs/>
        </w:rPr>
      </w:pPr>
      <w:r w:rsidRPr="000E2972">
        <w:rPr>
          <w:bCs/>
        </w:rPr>
        <w:t xml:space="preserve">The present invention likewise </w:t>
      </w:r>
    </w:p>
    <w:p w14:paraId="2C276027" w14:textId="77777777" w:rsidR="00E163E5" w:rsidRPr="000E2972" w:rsidRDefault="00E163E5" w:rsidP="00D80518">
      <w:pPr>
        <w:spacing w:before="480" w:line="360" w:lineRule="auto"/>
        <w:ind w:firstLine="720"/>
        <w:jc w:val="both"/>
        <w:rPr>
          <w:bCs/>
        </w:rPr>
      </w:pPr>
      <w:r w:rsidRPr="000E2972">
        <w:rPr>
          <w:bCs/>
        </w:rPr>
        <w:t xml:space="preserve">This provides a novel solution to the problem of </w:t>
      </w:r>
    </w:p>
    <w:p w14:paraId="6CA098D3" w14:textId="00FC323C" w:rsidR="00E163E5" w:rsidRPr="006768B8" w:rsidRDefault="00E163E5" w:rsidP="00D80518">
      <w:pPr>
        <w:spacing w:before="480" w:line="360" w:lineRule="auto"/>
        <w:ind w:firstLine="720"/>
        <w:jc w:val="both"/>
        <w:rPr>
          <w:bCs/>
        </w:rPr>
      </w:pPr>
      <w:r w:rsidRPr="000E2972">
        <w:rPr>
          <w:bCs/>
        </w:rPr>
        <w:t>Thus, the present invention is statutory under 35 U.S.C. § 101 according to the </w:t>
      </w:r>
      <w:r>
        <w:rPr>
          <w:bCs/>
          <w:i/>
          <w:iCs/>
        </w:rPr>
        <w:t>Abele</w:t>
      </w:r>
      <w:r w:rsidRPr="000E2972">
        <w:rPr>
          <w:bCs/>
          <w:i/>
          <w:iCs/>
        </w:rPr>
        <w:t> </w:t>
      </w:r>
      <w:r w:rsidRPr="000E2972">
        <w:rPr>
          <w:bCs/>
        </w:rPr>
        <w:t>c</w:t>
      </w:r>
      <w:r>
        <w:rPr>
          <w:bCs/>
        </w:rPr>
        <w:t>ourt’s decision based on Step 2B</w:t>
      </w:r>
      <w:r w:rsidRPr="000E2972">
        <w:rPr>
          <w:bCs/>
        </w:rPr>
        <w:t xml:space="preserve"> of </w:t>
      </w:r>
      <w:r w:rsidRPr="000E2972">
        <w:rPr>
          <w:bCs/>
          <w:i/>
          <w:iCs/>
        </w:rPr>
        <w:t>Mayo</w:t>
      </w:r>
      <w:r w:rsidRPr="000E2972">
        <w:rPr>
          <w:bCs/>
        </w:rPr>
        <w:t>.</w:t>
      </w:r>
    </w:p>
    <w:p w14:paraId="3C4C95E8" w14:textId="77777777" w:rsidR="00AB30CB" w:rsidRPr="00E53A8E" w:rsidRDefault="00AB30CB" w:rsidP="00D80518">
      <w:pPr>
        <w:spacing w:before="480" w:line="360" w:lineRule="auto"/>
        <w:jc w:val="both"/>
        <w:outlineLvl w:val="0"/>
        <w:rPr>
          <w:b/>
          <w:bCs/>
          <w:u w:val="single"/>
        </w:rPr>
      </w:pPr>
      <w:r w:rsidRPr="00E53A8E">
        <w:rPr>
          <w:b/>
          <w:bCs/>
          <w:i/>
          <w:iCs/>
          <w:u w:val="single"/>
        </w:rPr>
        <w:t xml:space="preserve">Amdocs (Israel) Ltd. V. </w:t>
      </w:r>
      <w:proofErr w:type="spellStart"/>
      <w:r w:rsidRPr="00E53A8E">
        <w:rPr>
          <w:b/>
          <w:bCs/>
          <w:i/>
          <w:iCs/>
          <w:u w:val="single"/>
        </w:rPr>
        <w:t>Openet</w:t>
      </w:r>
      <w:proofErr w:type="spellEnd"/>
      <w:r w:rsidRPr="00E53A8E">
        <w:rPr>
          <w:b/>
          <w:bCs/>
          <w:i/>
          <w:iCs/>
          <w:u w:val="single"/>
        </w:rPr>
        <w:t xml:space="preserve"> Telecom, Inc.</w:t>
      </w:r>
      <w:r w:rsidRPr="00E53A8E">
        <w:rPr>
          <w:b/>
          <w:bCs/>
          <w:u w:val="single"/>
        </w:rPr>
        <w:t>, __ F. 3d __ (Fed. Cir. 2016) – “</w:t>
      </w:r>
      <w:r w:rsidRPr="00E53A8E">
        <w:rPr>
          <w:b/>
          <w:bCs/>
          <w:i/>
          <w:iCs/>
          <w:u w:val="single"/>
        </w:rPr>
        <w:t>Amdocs</w:t>
      </w:r>
      <w:r w:rsidRPr="00E53A8E">
        <w:rPr>
          <w:b/>
          <w:bCs/>
          <w:u w:val="single"/>
        </w:rPr>
        <w:t>”</w:t>
      </w:r>
    </w:p>
    <w:p w14:paraId="611FA8CA" w14:textId="77777777" w:rsidR="00AB30CB" w:rsidRPr="006768B8" w:rsidRDefault="00AB30CB" w:rsidP="00D80518">
      <w:pPr>
        <w:spacing w:before="480" w:line="360" w:lineRule="auto"/>
        <w:ind w:firstLine="720"/>
        <w:jc w:val="both"/>
        <w:rPr>
          <w:bCs/>
        </w:rPr>
      </w:pPr>
      <w:r w:rsidRPr="006768B8">
        <w:rPr>
          <w:bCs/>
          <w:i/>
          <w:iCs/>
        </w:rPr>
        <w:t>Amdocs </w:t>
      </w:r>
      <w:r w:rsidRPr="006768B8">
        <w:rPr>
          <w:bCs/>
        </w:rPr>
        <w:t>processes network usage records close to their sources before being transmitted to a centralized manager, thus preventing bottlenecks and reducing network bandwidth consumption.</w:t>
      </w:r>
    </w:p>
    <w:p w14:paraId="75A2A16D" w14:textId="77777777" w:rsidR="00E163E5" w:rsidRPr="000E2972" w:rsidRDefault="00E163E5" w:rsidP="00D80518">
      <w:pPr>
        <w:spacing w:before="480" w:line="360" w:lineRule="auto"/>
        <w:ind w:firstLine="720"/>
        <w:jc w:val="both"/>
        <w:rPr>
          <w:bCs/>
        </w:rPr>
      </w:pPr>
      <w:r w:rsidRPr="000E2972">
        <w:rPr>
          <w:bCs/>
        </w:rPr>
        <w:t xml:space="preserve">The present invention likewise </w:t>
      </w:r>
    </w:p>
    <w:p w14:paraId="7B17C562" w14:textId="77777777" w:rsidR="00E163E5" w:rsidRPr="000E2972" w:rsidRDefault="00E163E5" w:rsidP="00D80518">
      <w:pPr>
        <w:spacing w:before="480" w:line="360" w:lineRule="auto"/>
        <w:ind w:firstLine="720"/>
        <w:jc w:val="both"/>
        <w:rPr>
          <w:bCs/>
        </w:rPr>
      </w:pPr>
      <w:r w:rsidRPr="000E2972">
        <w:rPr>
          <w:bCs/>
        </w:rPr>
        <w:t xml:space="preserve">This provides a novel solution to the problem of </w:t>
      </w:r>
    </w:p>
    <w:p w14:paraId="5D053BCB" w14:textId="77777777" w:rsidR="00AB30CB" w:rsidRPr="006768B8" w:rsidRDefault="00AB30CB" w:rsidP="00D80518">
      <w:pPr>
        <w:spacing w:before="480" w:line="360" w:lineRule="auto"/>
        <w:ind w:firstLine="720"/>
        <w:jc w:val="both"/>
        <w:rPr>
          <w:bCs/>
        </w:rPr>
      </w:pPr>
      <w:r w:rsidRPr="006768B8">
        <w:rPr>
          <w:bCs/>
        </w:rPr>
        <w:t>Thus, the present invention is statutory under 35 U.S.C. § 101 according to the </w:t>
      </w:r>
      <w:r w:rsidRPr="006768B8">
        <w:rPr>
          <w:bCs/>
          <w:i/>
          <w:iCs/>
        </w:rPr>
        <w:t>Amdocs </w:t>
      </w:r>
      <w:r w:rsidRPr="006768B8">
        <w:rPr>
          <w:bCs/>
        </w:rPr>
        <w:t>court’s decision based on Step 2B of </w:t>
      </w:r>
      <w:r w:rsidRPr="006768B8">
        <w:rPr>
          <w:bCs/>
          <w:i/>
          <w:iCs/>
        </w:rPr>
        <w:t>Mayo</w:t>
      </w:r>
      <w:r w:rsidRPr="006768B8">
        <w:rPr>
          <w:bCs/>
        </w:rPr>
        <w:t>.</w:t>
      </w:r>
    </w:p>
    <w:p w14:paraId="2CD3D2C8" w14:textId="77777777" w:rsidR="00AB30CB" w:rsidRPr="00E53A8E" w:rsidRDefault="00AB30CB" w:rsidP="00D80518">
      <w:pPr>
        <w:spacing w:before="480" w:line="360" w:lineRule="auto"/>
        <w:jc w:val="both"/>
        <w:rPr>
          <w:b/>
          <w:bCs/>
          <w:u w:val="single"/>
        </w:rPr>
      </w:pPr>
      <w:r w:rsidRPr="00E53A8E">
        <w:rPr>
          <w:b/>
          <w:bCs/>
          <w:i/>
          <w:iCs/>
          <w:u w:val="single"/>
        </w:rPr>
        <w:t>BASCOM Global Internet Services, Inc. v. AT&amp;T Mobility LLC,</w:t>
      </w:r>
      <w:r w:rsidRPr="00E53A8E">
        <w:rPr>
          <w:b/>
          <w:bCs/>
          <w:u w:val="single"/>
        </w:rPr>
        <w:t> 827 F.3d 1341 (Fed. Cir 2016) – “</w:t>
      </w:r>
      <w:r w:rsidRPr="00E53A8E">
        <w:rPr>
          <w:b/>
          <w:bCs/>
          <w:i/>
          <w:iCs/>
          <w:u w:val="single"/>
        </w:rPr>
        <w:t>BASCOM</w:t>
      </w:r>
      <w:r w:rsidRPr="00E53A8E">
        <w:rPr>
          <w:b/>
          <w:bCs/>
          <w:u w:val="single"/>
        </w:rPr>
        <w:t>”</w:t>
      </w:r>
    </w:p>
    <w:p w14:paraId="554A1C0B" w14:textId="77777777" w:rsidR="00AB30CB" w:rsidRPr="006768B8" w:rsidRDefault="00AB30CB" w:rsidP="00D80518">
      <w:pPr>
        <w:spacing w:before="480" w:line="360" w:lineRule="auto"/>
        <w:ind w:firstLine="720"/>
        <w:jc w:val="both"/>
        <w:rPr>
          <w:bCs/>
        </w:rPr>
      </w:pPr>
      <w:r w:rsidRPr="006768B8">
        <w:rPr>
          <w:bCs/>
          <w:i/>
          <w:iCs/>
        </w:rPr>
        <w:t>BASCOM</w:t>
      </w:r>
      <w:r w:rsidRPr="006768B8">
        <w:rPr>
          <w:bCs/>
        </w:rPr>
        <w:t> lets a client tell an ISP server which filters to use when retrieving data, such that only data that the user wants will be returned.  Because this distributed system preserves network bandwidth, it is statutory.</w:t>
      </w:r>
    </w:p>
    <w:p w14:paraId="7887B5E6" w14:textId="77777777" w:rsidR="00E163E5" w:rsidRPr="000E2972" w:rsidRDefault="00E163E5" w:rsidP="00D80518">
      <w:pPr>
        <w:spacing w:before="480" w:line="360" w:lineRule="auto"/>
        <w:ind w:firstLine="720"/>
        <w:jc w:val="both"/>
        <w:rPr>
          <w:bCs/>
        </w:rPr>
      </w:pPr>
      <w:r w:rsidRPr="000E2972">
        <w:rPr>
          <w:bCs/>
        </w:rPr>
        <w:t xml:space="preserve">The present invention likewise </w:t>
      </w:r>
    </w:p>
    <w:p w14:paraId="095A30BE" w14:textId="77777777" w:rsidR="00E163E5" w:rsidRPr="000E2972" w:rsidRDefault="00E163E5" w:rsidP="00D80518">
      <w:pPr>
        <w:spacing w:before="480" w:line="360" w:lineRule="auto"/>
        <w:ind w:firstLine="720"/>
        <w:jc w:val="both"/>
        <w:rPr>
          <w:bCs/>
        </w:rPr>
      </w:pPr>
      <w:r w:rsidRPr="000E2972">
        <w:rPr>
          <w:bCs/>
        </w:rPr>
        <w:t xml:space="preserve">This provides a novel solution to the problem of </w:t>
      </w:r>
    </w:p>
    <w:p w14:paraId="640CA9FC" w14:textId="06DDF121" w:rsidR="00E163E5" w:rsidRPr="006768B8" w:rsidRDefault="00E163E5" w:rsidP="00D80518">
      <w:pPr>
        <w:spacing w:before="480" w:line="360" w:lineRule="auto"/>
        <w:ind w:firstLine="720"/>
        <w:jc w:val="both"/>
        <w:rPr>
          <w:bCs/>
        </w:rPr>
      </w:pPr>
      <w:r w:rsidRPr="006768B8">
        <w:rPr>
          <w:bCs/>
        </w:rPr>
        <w:t>Thus, the present invention is statutory under 35 U.S.C. § 101 according to the </w:t>
      </w:r>
      <w:r>
        <w:rPr>
          <w:bCs/>
          <w:i/>
          <w:iCs/>
        </w:rPr>
        <w:t>BASCOM</w:t>
      </w:r>
      <w:r w:rsidRPr="006768B8">
        <w:rPr>
          <w:bCs/>
          <w:i/>
          <w:iCs/>
        </w:rPr>
        <w:t> </w:t>
      </w:r>
      <w:r w:rsidRPr="006768B8">
        <w:rPr>
          <w:bCs/>
        </w:rPr>
        <w:t>court’s decision based on Step 2B of </w:t>
      </w:r>
      <w:r w:rsidRPr="006768B8">
        <w:rPr>
          <w:bCs/>
          <w:i/>
          <w:iCs/>
        </w:rPr>
        <w:t>Mayo</w:t>
      </w:r>
      <w:r w:rsidRPr="006768B8">
        <w:rPr>
          <w:bCs/>
        </w:rPr>
        <w:t>.</w:t>
      </w:r>
    </w:p>
    <w:p w14:paraId="3F157877" w14:textId="77777777" w:rsidR="00E163E5" w:rsidRPr="00E163E5" w:rsidRDefault="00E163E5" w:rsidP="00D80518">
      <w:pPr>
        <w:spacing w:before="480" w:line="360" w:lineRule="auto"/>
        <w:jc w:val="both"/>
        <w:outlineLvl w:val="0"/>
        <w:rPr>
          <w:b/>
          <w:bCs/>
          <w:u w:val="single"/>
        </w:rPr>
      </w:pPr>
      <w:proofErr w:type="spellStart"/>
      <w:r w:rsidRPr="00E163E5">
        <w:rPr>
          <w:b/>
          <w:bCs/>
          <w:i/>
          <w:u w:val="single"/>
        </w:rPr>
        <w:t>Classen</w:t>
      </w:r>
      <w:proofErr w:type="spellEnd"/>
      <w:r w:rsidRPr="00E163E5">
        <w:rPr>
          <w:b/>
          <w:bCs/>
          <w:i/>
          <w:u w:val="single"/>
        </w:rPr>
        <w:t xml:space="preserve"> Immunotherapies Inc. v. Biogen IDEC</w:t>
      </w:r>
      <w:r w:rsidRPr="00E163E5">
        <w:rPr>
          <w:b/>
          <w:bCs/>
          <w:u w:val="single"/>
        </w:rPr>
        <w:t>, 659 F.3d 1057 (Fed. Cir 2011) – “</w:t>
      </w:r>
      <w:proofErr w:type="spellStart"/>
      <w:r w:rsidRPr="00E163E5">
        <w:rPr>
          <w:b/>
          <w:bCs/>
          <w:i/>
          <w:u w:val="single"/>
        </w:rPr>
        <w:t>Classen</w:t>
      </w:r>
      <w:proofErr w:type="spellEnd"/>
      <w:r w:rsidRPr="00E163E5">
        <w:rPr>
          <w:b/>
          <w:bCs/>
          <w:u w:val="single"/>
        </w:rPr>
        <w:t>”</w:t>
      </w:r>
    </w:p>
    <w:p w14:paraId="35BB4532" w14:textId="77777777" w:rsidR="00E163E5" w:rsidRPr="00E163E5" w:rsidRDefault="00E163E5" w:rsidP="00D80518">
      <w:pPr>
        <w:spacing w:before="480" w:line="360" w:lineRule="auto"/>
        <w:jc w:val="both"/>
        <w:rPr>
          <w:bCs/>
        </w:rPr>
      </w:pPr>
      <w:r w:rsidRPr="00E163E5">
        <w:rPr>
          <w:bCs/>
          <w:i/>
        </w:rPr>
        <w:tab/>
      </w:r>
      <w:proofErr w:type="spellStart"/>
      <w:r w:rsidRPr="00E163E5">
        <w:rPr>
          <w:bCs/>
          <w:i/>
        </w:rPr>
        <w:t>Classen</w:t>
      </w:r>
      <w:proofErr w:type="spellEnd"/>
      <w:r w:rsidRPr="00E163E5">
        <w:rPr>
          <w:bCs/>
          <w:i/>
        </w:rPr>
        <w:t xml:space="preserve"> </w:t>
      </w:r>
      <w:r w:rsidRPr="00E163E5">
        <w:rPr>
          <w:bCs/>
        </w:rPr>
        <w:t>teaches a system for evaluating the efficacy of a certain immunization protocol, and then implements that protocol.  The implementation step raises the invention from an abstract idea (evaluating the protocol) to a statutory invention under 35 U.S.C. § 101.</w:t>
      </w:r>
    </w:p>
    <w:p w14:paraId="542ED524" w14:textId="77777777" w:rsidR="00E163E5" w:rsidRPr="000E2972" w:rsidRDefault="00E163E5" w:rsidP="00D80518">
      <w:pPr>
        <w:spacing w:before="480" w:line="360" w:lineRule="auto"/>
        <w:ind w:firstLine="720"/>
        <w:jc w:val="both"/>
        <w:rPr>
          <w:bCs/>
        </w:rPr>
      </w:pPr>
      <w:r w:rsidRPr="000E2972">
        <w:rPr>
          <w:bCs/>
        </w:rPr>
        <w:t xml:space="preserve">The present invention likewise </w:t>
      </w:r>
    </w:p>
    <w:p w14:paraId="23B3ACCF" w14:textId="77777777" w:rsidR="00E163E5" w:rsidRDefault="00E163E5" w:rsidP="00D80518">
      <w:pPr>
        <w:spacing w:before="480" w:line="360" w:lineRule="auto"/>
        <w:ind w:firstLine="720"/>
        <w:jc w:val="both"/>
        <w:rPr>
          <w:bCs/>
        </w:rPr>
      </w:pPr>
      <w:r w:rsidRPr="000E2972">
        <w:rPr>
          <w:bCs/>
        </w:rPr>
        <w:t xml:space="preserve">This provides a novel solution to the problem of </w:t>
      </w:r>
    </w:p>
    <w:p w14:paraId="3EF935CD" w14:textId="6795D610" w:rsidR="00E163E5" w:rsidRPr="006768B8" w:rsidRDefault="00E163E5" w:rsidP="00D80518">
      <w:pPr>
        <w:spacing w:before="480" w:line="360" w:lineRule="auto"/>
        <w:ind w:firstLine="720"/>
        <w:jc w:val="both"/>
        <w:rPr>
          <w:bCs/>
        </w:rPr>
      </w:pPr>
      <w:bookmarkStart w:id="0" w:name="_GoBack"/>
      <w:bookmarkEnd w:id="0"/>
      <w:r w:rsidRPr="006768B8">
        <w:rPr>
          <w:bCs/>
        </w:rPr>
        <w:t>Thus, the present invention is statutory under 35 U.S.C. § 101 according to the </w:t>
      </w:r>
      <w:proofErr w:type="spellStart"/>
      <w:r>
        <w:rPr>
          <w:bCs/>
          <w:i/>
          <w:iCs/>
        </w:rPr>
        <w:t>Classen</w:t>
      </w:r>
      <w:proofErr w:type="spellEnd"/>
      <w:r w:rsidRPr="006768B8">
        <w:rPr>
          <w:bCs/>
          <w:i/>
          <w:iCs/>
        </w:rPr>
        <w:t> </w:t>
      </w:r>
      <w:r w:rsidRPr="006768B8">
        <w:rPr>
          <w:bCs/>
        </w:rPr>
        <w:t>court’s decision based on Step 2B of </w:t>
      </w:r>
      <w:r w:rsidRPr="006768B8">
        <w:rPr>
          <w:bCs/>
          <w:i/>
          <w:iCs/>
        </w:rPr>
        <w:t>Mayo</w:t>
      </w:r>
      <w:r w:rsidRPr="006768B8">
        <w:rPr>
          <w:bCs/>
        </w:rPr>
        <w:t>.</w:t>
      </w:r>
    </w:p>
    <w:p w14:paraId="7A8C7B6B" w14:textId="77777777" w:rsidR="00E163E5" w:rsidRPr="00E163E5" w:rsidRDefault="00E163E5" w:rsidP="00D80518">
      <w:pPr>
        <w:spacing w:before="480" w:line="360" w:lineRule="auto"/>
        <w:jc w:val="both"/>
        <w:rPr>
          <w:b/>
          <w:bCs/>
          <w:u w:val="single"/>
        </w:rPr>
      </w:pPr>
      <w:r w:rsidRPr="00E163E5">
        <w:rPr>
          <w:b/>
          <w:bCs/>
          <w:i/>
          <w:u w:val="single"/>
        </w:rPr>
        <w:t xml:space="preserve">Diamond, Commissioner of Patents and Trademarks v. </w:t>
      </w:r>
      <w:proofErr w:type="spellStart"/>
      <w:r w:rsidRPr="00E163E5">
        <w:rPr>
          <w:b/>
          <w:bCs/>
          <w:i/>
          <w:u w:val="single"/>
        </w:rPr>
        <w:t>Diehr</w:t>
      </w:r>
      <w:proofErr w:type="spellEnd"/>
      <w:r w:rsidRPr="00E163E5">
        <w:rPr>
          <w:b/>
          <w:bCs/>
          <w:i/>
          <w:u w:val="single"/>
        </w:rPr>
        <w:t xml:space="preserve"> et al.</w:t>
      </w:r>
      <w:r w:rsidRPr="00E163E5">
        <w:rPr>
          <w:b/>
          <w:bCs/>
          <w:u w:val="single"/>
        </w:rPr>
        <w:t xml:space="preserve"> 450 U.S. 175 (1981) – “</w:t>
      </w:r>
      <w:proofErr w:type="spellStart"/>
      <w:r w:rsidRPr="00E163E5">
        <w:rPr>
          <w:b/>
          <w:bCs/>
          <w:i/>
          <w:u w:val="single"/>
        </w:rPr>
        <w:t>Diehr</w:t>
      </w:r>
      <w:proofErr w:type="spellEnd"/>
      <w:r w:rsidRPr="00E163E5">
        <w:rPr>
          <w:b/>
          <w:bCs/>
          <w:u w:val="single"/>
        </w:rPr>
        <w:t>”</w:t>
      </w:r>
    </w:p>
    <w:p w14:paraId="7A67BE70" w14:textId="176C997A" w:rsidR="00E163E5" w:rsidRPr="00E163E5" w:rsidRDefault="00E163E5" w:rsidP="00D80518">
      <w:pPr>
        <w:spacing w:before="480" w:line="360" w:lineRule="auto"/>
        <w:ind w:firstLine="720"/>
        <w:jc w:val="both"/>
        <w:rPr>
          <w:bCs/>
        </w:rPr>
      </w:pPr>
      <w:proofErr w:type="spellStart"/>
      <w:r w:rsidRPr="00E163E5">
        <w:rPr>
          <w:bCs/>
          <w:i/>
        </w:rPr>
        <w:t>Diehr</w:t>
      </w:r>
      <w:proofErr w:type="spellEnd"/>
      <w:r w:rsidRPr="00E163E5">
        <w:rPr>
          <w:bCs/>
        </w:rPr>
        <w:t xml:space="preserve"> uses an algorithm to determine when to open and close a rubber mold press.  There is no requirement </w:t>
      </w:r>
      <w:r w:rsidR="006D4DBD">
        <w:rPr>
          <w:bCs/>
        </w:rPr>
        <w:t xml:space="preserve">in the </w:t>
      </w:r>
      <w:proofErr w:type="spellStart"/>
      <w:r w:rsidR="006D4DBD">
        <w:rPr>
          <w:bCs/>
          <w:i/>
        </w:rPr>
        <w:t>Diehr</w:t>
      </w:r>
      <w:proofErr w:type="spellEnd"/>
      <w:r w:rsidR="006D4DBD">
        <w:rPr>
          <w:bCs/>
          <w:i/>
        </w:rPr>
        <w:t xml:space="preserve"> </w:t>
      </w:r>
      <w:r w:rsidR="006D4DBD">
        <w:rPr>
          <w:bCs/>
        </w:rPr>
        <w:t xml:space="preserve">patent </w:t>
      </w:r>
      <w:r w:rsidRPr="00E163E5">
        <w:rPr>
          <w:bCs/>
        </w:rPr>
        <w:t>that</w:t>
      </w:r>
      <w:r w:rsidR="00F0486B">
        <w:rPr>
          <w:bCs/>
        </w:rPr>
        <w:t xml:space="preserve"> opening</w:t>
      </w:r>
      <w:r w:rsidRPr="00E163E5">
        <w:rPr>
          <w:bCs/>
        </w:rPr>
        <w:t xml:space="preserve"> the rubber mold press </w:t>
      </w:r>
      <w:r w:rsidR="00F27D8A">
        <w:rPr>
          <w:bCs/>
        </w:rPr>
        <w:t xml:space="preserve">is to </w:t>
      </w:r>
      <w:r w:rsidRPr="00E163E5">
        <w:rPr>
          <w:bCs/>
        </w:rPr>
        <w:t xml:space="preserve">be performed by a machine, or that </w:t>
      </w:r>
      <w:proofErr w:type="gramStart"/>
      <w:r w:rsidRPr="00E163E5">
        <w:rPr>
          <w:bCs/>
        </w:rPr>
        <w:t>a product results</w:t>
      </w:r>
      <w:proofErr w:type="gramEnd"/>
      <w:r w:rsidRPr="00E163E5">
        <w:rPr>
          <w:bCs/>
        </w:rPr>
        <w:t xml:space="preserve"> from the process</w:t>
      </w:r>
      <w:r w:rsidR="006D4DBD">
        <w:rPr>
          <w:bCs/>
        </w:rPr>
        <w:t xml:space="preserve">.  Rather, the method of </w:t>
      </w:r>
      <w:r w:rsidR="00F0486B">
        <w:rPr>
          <w:bCs/>
        </w:rPr>
        <w:t>o</w:t>
      </w:r>
      <w:r w:rsidR="006D4DBD">
        <w:rPr>
          <w:bCs/>
        </w:rPr>
        <w:t xml:space="preserve">pening the rubber mold press at the appropriate time in </w:t>
      </w:r>
      <w:proofErr w:type="spellStart"/>
      <w:r w:rsidR="006D4DBD">
        <w:rPr>
          <w:bCs/>
          <w:i/>
        </w:rPr>
        <w:t>Diehr</w:t>
      </w:r>
      <w:proofErr w:type="spellEnd"/>
      <w:r w:rsidR="006D4DBD">
        <w:rPr>
          <w:bCs/>
          <w:i/>
        </w:rPr>
        <w:t xml:space="preserve"> </w:t>
      </w:r>
      <w:r w:rsidR="006D4DBD">
        <w:rPr>
          <w:bCs/>
        </w:rPr>
        <w:t>may be automatic or manual</w:t>
      </w:r>
      <w:r w:rsidR="006D4DBD" w:rsidRPr="006D4DBD">
        <w:rPr>
          <w:bCs/>
        </w:rPr>
        <w:t xml:space="preserve"> </w:t>
      </w:r>
      <w:r w:rsidRPr="00E163E5">
        <w:rPr>
          <w:bCs/>
        </w:rPr>
        <w:t>(see pages 179-180 of</w:t>
      </w:r>
      <w:r w:rsidR="006D4DBD">
        <w:rPr>
          <w:bCs/>
        </w:rPr>
        <w:t xml:space="preserve"> the</w:t>
      </w:r>
      <w:r w:rsidRPr="00E163E5">
        <w:rPr>
          <w:bCs/>
        </w:rPr>
        <w:t xml:space="preserve"> </w:t>
      </w:r>
      <w:proofErr w:type="spellStart"/>
      <w:r w:rsidRPr="00E163E5">
        <w:rPr>
          <w:bCs/>
          <w:i/>
        </w:rPr>
        <w:t>Diehr</w:t>
      </w:r>
      <w:proofErr w:type="spellEnd"/>
      <w:r w:rsidR="006D4DBD">
        <w:rPr>
          <w:bCs/>
          <w:i/>
        </w:rPr>
        <w:t xml:space="preserve"> </w:t>
      </w:r>
      <w:r w:rsidR="006D4DBD">
        <w:rPr>
          <w:bCs/>
        </w:rPr>
        <w:t>decision</w:t>
      </w:r>
      <w:r w:rsidRPr="00E163E5">
        <w:rPr>
          <w:bCs/>
        </w:rPr>
        <w:t>).</w:t>
      </w:r>
    </w:p>
    <w:p w14:paraId="1339268C" w14:textId="77777777" w:rsidR="00E163E5" w:rsidRPr="000E2972" w:rsidRDefault="00E163E5" w:rsidP="00D80518">
      <w:pPr>
        <w:spacing w:before="480" w:line="360" w:lineRule="auto"/>
        <w:ind w:firstLine="720"/>
        <w:jc w:val="both"/>
        <w:rPr>
          <w:bCs/>
        </w:rPr>
      </w:pPr>
      <w:r w:rsidRPr="000E2972">
        <w:rPr>
          <w:bCs/>
        </w:rPr>
        <w:t xml:space="preserve">The present invention likewise </w:t>
      </w:r>
    </w:p>
    <w:p w14:paraId="12887C7D" w14:textId="77777777" w:rsidR="00E163E5" w:rsidRPr="000E2972" w:rsidRDefault="00E163E5" w:rsidP="00D80518">
      <w:pPr>
        <w:spacing w:before="480" w:line="360" w:lineRule="auto"/>
        <w:ind w:firstLine="720"/>
        <w:jc w:val="both"/>
        <w:rPr>
          <w:bCs/>
        </w:rPr>
      </w:pPr>
      <w:r w:rsidRPr="000E2972">
        <w:rPr>
          <w:bCs/>
        </w:rPr>
        <w:t xml:space="preserve">This provides a novel solution to the problem of </w:t>
      </w:r>
    </w:p>
    <w:p w14:paraId="191C80A8" w14:textId="7ECA19CB" w:rsidR="00E163E5" w:rsidRPr="006768B8" w:rsidRDefault="00E163E5" w:rsidP="00D80518">
      <w:pPr>
        <w:spacing w:before="480" w:line="360" w:lineRule="auto"/>
        <w:ind w:firstLine="720"/>
        <w:jc w:val="both"/>
        <w:rPr>
          <w:bCs/>
        </w:rPr>
      </w:pPr>
      <w:r w:rsidRPr="006768B8">
        <w:rPr>
          <w:bCs/>
        </w:rPr>
        <w:t>Thus, the present invention is statutory under 35 U.S.C. § 101 according to the </w:t>
      </w:r>
      <w:proofErr w:type="spellStart"/>
      <w:r>
        <w:rPr>
          <w:bCs/>
          <w:i/>
          <w:iCs/>
        </w:rPr>
        <w:t>Diehr</w:t>
      </w:r>
      <w:proofErr w:type="spellEnd"/>
      <w:r w:rsidRPr="006768B8">
        <w:rPr>
          <w:bCs/>
          <w:i/>
          <w:iCs/>
        </w:rPr>
        <w:t> </w:t>
      </w:r>
      <w:r w:rsidRPr="006768B8">
        <w:rPr>
          <w:bCs/>
        </w:rPr>
        <w:t>court’s decision based on Step 2B of </w:t>
      </w:r>
      <w:r w:rsidRPr="006768B8">
        <w:rPr>
          <w:bCs/>
          <w:i/>
          <w:iCs/>
        </w:rPr>
        <w:t>Mayo</w:t>
      </w:r>
      <w:r w:rsidRPr="006768B8">
        <w:rPr>
          <w:bCs/>
        </w:rPr>
        <w:t>.</w:t>
      </w:r>
    </w:p>
    <w:p w14:paraId="0B3EA475" w14:textId="77777777" w:rsidR="00E163E5" w:rsidRPr="00E163E5" w:rsidRDefault="00E163E5" w:rsidP="00D80518">
      <w:pPr>
        <w:pStyle w:val="NormalWeb"/>
        <w:spacing w:before="480" w:beforeAutospacing="0" w:after="0" w:afterAutospacing="0" w:line="360" w:lineRule="auto"/>
        <w:jc w:val="both"/>
        <w:rPr>
          <w:b/>
          <w:i/>
          <w:u w:val="single"/>
        </w:rPr>
      </w:pPr>
      <w:r w:rsidRPr="00E163E5">
        <w:rPr>
          <w:b/>
          <w:i/>
          <w:u w:val="single"/>
        </w:rPr>
        <w:t>The Association for Molecular Pathology et al. v. United States Patent and Trademark Office, Myriad Genetics, Inc., et al.</w:t>
      </w:r>
      <w:r w:rsidRPr="00E163E5">
        <w:rPr>
          <w:b/>
          <w:u w:val="single"/>
        </w:rPr>
        <w:t>,__F.3d __ (Fed. Cir. 2012) – “</w:t>
      </w:r>
      <w:r w:rsidRPr="00E163E5">
        <w:rPr>
          <w:b/>
          <w:i/>
          <w:u w:val="single"/>
        </w:rPr>
        <w:t>Myriad CAFC”</w:t>
      </w:r>
    </w:p>
    <w:p w14:paraId="22E94D73" w14:textId="06D54069" w:rsidR="00E163E5" w:rsidRDefault="00E163E5" w:rsidP="00D80518">
      <w:pPr>
        <w:pStyle w:val="NormalWeb"/>
        <w:spacing w:before="480" w:beforeAutospacing="0" w:after="0" w:afterAutospacing="0" w:line="360" w:lineRule="auto"/>
        <w:jc w:val="both"/>
      </w:pPr>
      <w:r>
        <w:rPr>
          <w:i/>
        </w:rPr>
        <w:tab/>
        <w:t>Myriad CAFC</w:t>
      </w:r>
      <w:r>
        <w:t xml:space="preserve"> uses unnatural BRCA genes (DNA that only has exons capable of creating mRNA that builds proteins) to test the efficacy of therapeutic drugs.</w:t>
      </w:r>
    </w:p>
    <w:p w14:paraId="5C51012B" w14:textId="77777777" w:rsidR="00E163E5" w:rsidRPr="00E163E5" w:rsidRDefault="00E163E5" w:rsidP="00D80518">
      <w:pPr>
        <w:pStyle w:val="NormalWeb"/>
        <w:spacing w:before="480" w:beforeAutospacing="0" w:after="0" w:afterAutospacing="0" w:line="360" w:lineRule="auto"/>
        <w:ind w:firstLine="720"/>
        <w:jc w:val="both"/>
        <w:rPr>
          <w:bCs/>
        </w:rPr>
      </w:pPr>
      <w:r w:rsidRPr="00E163E5">
        <w:rPr>
          <w:bCs/>
        </w:rPr>
        <w:t xml:space="preserve">The present invention likewise </w:t>
      </w:r>
    </w:p>
    <w:p w14:paraId="2AA6A730" w14:textId="77777777" w:rsidR="00E163E5" w:rsidRPr="00E163E5" w:rsidRDefault="00E163E5" w:rsidP="00D80518">
      <w:pPr>
        <w:pStyle w:val="NormalWeb"/>
        <w:spacing w:before="480" w:beforeAutospacing="0" w:after="0" w:afterAutospacing="0" w:line="360" w:lineRule="auto"/>
        <w:ind w:firstLine="720"/>
        <w:jc w:val="both"/>
        <w:rPr>
          <w:bCs/>
        </w:rPr>
      </w:pPr>
      <w:r w:rsidRPr="00E163E5">
        <w:rPr>
          <w:bCs/>
        </w:rPr>
        <w:t xml:space="preserve">This provides a novel solution to the problem of </w:t>
      </w:r>
    </w:p>
    <w:p w14:paraId="6F900162" w14:textId="52933BDF" w:rsidR="00E163E5" w:rsidRDefault="00E163E5" w:rsidP="00D80518">
      <w:pPr>
        <w:pStyle w:val="NormalWeb"/>
        <w:spacing w:before="480" w:beforeAutospacing="0" w:after="0" w:afterAutospacing="0" w:line="360" w:lineRule="auto"/>
        <w:ind w:firstLine="720"/>
        <w:jc w:val="both"/>
        <w:rPr>
          <w:bCs/>
        </w:rPr>
      </w:pPr>
      <w:r w:rsidRPr="00E163E5">
        <w:rPr>
          <w:bCs/>
        </w:rPr>
        <w:t>Thus, the present invention is statutory under 3</w:t>
      </w:r>
      <w:r>
        <w:rPr>
          <w:bCs/>
        </w:rPr>
        <w:t xml:space="preserve">5 U.S.C. § 101 according to the </w:t>
      </w:r>
      <w:proofErr w:type="spellStart"/>
      <w:r>
        <w:rPr>
          <w:bCs/>
          <w:i/>
          <w:iCs/>
        </w:rPr>
        <w:t>Myraid</w:t>
      </w:r>
      <w:proofErr w:type="spellEnd"/>
      <w:r>
        <w:rPr>
          <w:bCs/>
          <w:i/>
          <w:iCs/>
        </w:rPr>
        <w:t xml:space="preserve"> CAFC</w:t>
      </w:r>
      <w:r w:rsidRPr="00E163E5">
        <w:rPr>
          <w:bCs/>
          <w:i/>
          <w:iCs/>
        </w:rPr>
        <w:t> </w:t>
      </w:r>
      <w:r w:rsidRPr="00E163E5">
        <w:rPr>
          <w:bCs/>
        </w:rPr>
        <w:t>court’s decision based on Step 2B of </w:t>
      </w:r>
      <w:r w:rsidRPr="00E163E5">
        <w:rPr>
          <w:bCs/>
          <w:i/>
          <w:iCs/>
        </w:rPr>
        <w:t>Mayo</w:t>
      </w:r>
      <w:r w:rsidRPr="00E163E5">
        <w:rPr>
          <w:bCs/>
        </w:rPr>
        <w:t>.</w:t>
      </w:r>
    </w:p>
    <w:p w14:paraId="23DCFE49" w14:textId="4B3A9CD0" w:rsidR="003F1F16" w:rsidRDefault="003F1F16" w:rsidP="00D80518">
      <w:pPr>
        <w:spacing w:before="480" w:line="360" w:lineRule="auto"/>
        <w:ind w:firstLine="720"/>
        <w:jc w:val="both"/>
        <w:rPr>
          <w:bCs/>
        </w:rPr>
      </w:pPr>
      <w:r w:rsidRPr="006768B8">
        <w:rPr>
          <w:bCs/>
        </w:rPr>
        <w:t>Therefore, according to the guidelines of the </w:t>
      </w:r>
      <w:r w:rsidRPr="006768B8">
        <w:rPr>
          <w:bCs/>
          <w:i/>
          <w:iCs/>
        </w:rPr>
        <w:t>February 2018 Guidelines</w:t>
      </w:r>
      <w:r w:rsidRPr="006768B8">
        <w:rPr>
          <w:bCs/>
        </w:rPr>
        <w:t>, the presently-claimed invention described in </w:t>
      </w:r>
      <w:r>
        <w:rPr>
          <w:bCs/>
        </w:rPr>
        <w:t xml:space="preserve">exemplary </w:t>
      </w:r>
      <w:r>
        <w:rPr>
          <w:b/>
          <w:bCs/>
        </w:rPr>
        <w:t>Claim XXXX</w:t>
      </w:r>
      <w:r w:rsidRPr="006768B8">
        <w:rPr>
          <w:bCs/>
        </w:rPr>
        <w:t xml:space="preserve"> is statutory under 35 U.S.C. § 101.</w:t>
      </w:r>
    </w:p>
    <w:p w14:paraId="12465A01" w14:textId="77777777" w:rsidR="003F1F16" w:rsidRPr="00566573" w:rsidRDefault="003F1F16" w:rsidP="00D80518">
      <w:pPr>
        <w:spacing w:before="480" w:line="360" w:lineRule="auto"/>
        <w:jc w:val="both"/>
        <w:rPr>
          <w:b/>
          <w:bCs/>
          <w:u w:val="single"/>
        </w:rPr>
      </w:pPr>
      <w:r>
        <w:rPr>
          <w:b/>
          <w:bCs/>
          <w:u w:val="single"/>
        </w:rPr>
        <w:t>April 19, 2018 USPTO Memorandum</w:t>
      </w:r>
    </w:p>
    <w:p w14:paraId="2FF7A46B" w14:textId="77777777" w:rsidR="003F1F16" w:rsidRDefault="003F1F16" w:rsidP="00D80518">
      <w:pPr>
        <w:spacing w:before="480" w:line="360" w:lineRule="auto"/>
        <w:ind w:firstLine="720"/>
        <w:jc w:val="both"/>
        <w:rPr>
          <w:bCs/>
        </w:rPr>
      </w:pPr>
      <w:r>
        <w:rPr>
          <w:bCs/>
        </w:rPr>
        <w:t>On April 19, 2018</w:t>
      </w:r>
      <w:r w:rsidRPr="006768B8">
        <w:rPr>
          <w:bCs/>
        </w:rPr>
        <w:t xml:space="preserve">, the USPTO issued </w:t>
      </w:r>
      <w:r>
        <w:rPr>
          <w:bCs/>
        </w:rPr>
        <w:t>a memorandum on the subject of “Changes in Examination Procedure Pertaining to Subject Matter Eligibility, Recent Subject Matter Eligibility Decision (</w:t>
      </w:r>
      <w:r>
        <w:rPr>
          <w:bCs/>
          <w:i/>
        </w:rPr>
        <w:t>Berkheimer v. HP, Inc.</w:t>
      </w:r>
      <w:r>
        <w:rPr>
          <w:bCs/>
        </w:rPr>
        <w:t>) – the “</w:t>
      </w:r>
      <w:r w:rsidRPr="00557B70">
        <w:rPr>
          <w:bCs/>
          <w:i/>
        </w:rPr>
        <w:t xml:space="preserve">April 2018 </w:t>
      </w:r>
      <w:r>
        <w:rPr>
          <w:bCs/>
          <w:i/>
        </w:rPr>
        <w:t>USPTO M</w:t>
      </w:r>
      <w:r w:rsidRPr="00557B70">
        <w:rPr>
          <w:bCs/>
          <w:i/>
        </w:rPr>
        <w:t>emo</w:t>
      </w:r>
      <w:r>
        <w:rPr>
          <w:bCs/>
        </w:rPr>
        <w:t>”.</w:t>
      </w:r>
    </w:p>
    <w:p w14:paraId="4A6B5E5C" w14:textId="77777777" w:rsidR="003F1F16" w:rsidRDefault="003F1F16" w:rsidP="00D80518">
      <w:pPr>
        <w:spacing w:before="480" w:line="360" w:lineRule="auto"/>
        <w:ind w:firstLine="720"/>
        <w:jc w:val="both"/>
        <w:rPr>
          <w:bCs/>
        </w:rPr>
      </w:pPr>
      <w:r>
        <w:rPr>
          <w:bCs/>
        </w:rPr>
        <w:t xml:space="preserve">The </w:t>
      </w:r>
      <w:r w:rsidRPr="00557B70">
        <w:rPr>
          <w:bCs/>
          <w:i/>
        </w:rPr>
        <w:t>April 2018 USPTO Memo</w:t>
      </w:r>
      <w:r>
        <w:rPr>
          <w:bCs/>
        </w:rPr>
        <w:t xml:space="preserve"> was issued in response to the February 8, 2018 CAFC decision in </w:t>
      </w:r>
      <w:r>
        <w:rPr>
          <w:bCs/>
          <w:i/>
        </w:rPr>
        <w:t>Berkheimer v. HP</w:t>
      </w:r>
      <w:r>
        <w:rPr>
          <w:bCs/>
        </w:rPr>
        <w:t>, 881 F.3d 1360 (Fed. Cir. 2018) – “</w:t>
      </w:r>
      <w:r>
        <w:rPr>
          <w:bCs/>
          <w:i/>
        </w:rPr>
        <w:t>Berkheimer</w:t>
      </w:r>
      <w:r>
        <w:rPr>
          <w:bCs/>
        </w:rPr>
        <w:t xml:space="preserve">”.  The </w:t>
      </w:r>
      <w:r>
        <w:rPr>
          <w:bCs/>
          <w:i/>
        </w:rPr>
        <w:t xml:space="preserve">Berkheimer </w:t>
      </w:r>
      <w:r>
        <w:rPr>
          <w:bCs/>
        </w:rPr>
        <w:t xml:space="preserve">decision addressed what constitutes “significantly more than the judicial exception” in </w:t>
      </w:r>
      <w:r w:rsidRPr="006768B8">
        <w:rPr>
          <w:bCs/>
        </w:rPr>
        <w:t>Step 2B of the </w:t>
      </w:r>
      <w:r w:rsidRPr="006768B8">
        <w:rPr>
          <w:bCs/>
          <w:i/>
          <w:iCs/>
        </w:rPr>
        <w:t>Mayo </w:t>
      </w:r>
      <w:r w:rsidRPr="006768B8">
        <w:rPr>
          <w:bCs/>
        </w:rPr>
        <w:t xml:space="preserve">test </w:t>
      </w:r>
      <w:r>
        <w:rPr>
          <w:bCs/>
        </w:rPr>
        <w:t xml:space="preserve">(also referred to as “Step 2 of </w:t>
      </w:r>
      <w:r>
        <w:rPr>
          <w:bCs/>
          <w:i/>
        </w:rPr>
        <w:t>Alice</w:t>
      </w:r>
      <w:r>
        <w:rPr>
          <w:bCs/>
        </w:rPr>
        <w:t>”)</w:t>
      </w:r>
      <w:r w:rsidRPr="006768B8">
        <w:rPr>
          <w:bCs/>
        </w:rPr>
        <w:t>.</w:t>
      </w:r>
      <w:r>
        <w:rPr>
          <w:bCs/>
        </w:rPr>
        <w:t xml:space="preserve">  The </w:t>
      </w:r>
      <w:r>
        <w:rPr>
          <w:bCs/>
          <w:i/>
        </w:rPr>
        <w:t xml:space="preserve">Berkheimer </w:t>
      </w:r>
      <w:r>
        <w:rPr>
          <w:bCs/>
        </w:rPr>
        <w:t xml:space="preserve">decision held that this question is a question of fact, and that “Whether a particular technology is well-understood, routine, and conventional goes beyond what was simply known in the prior art” (see page 14 of the </w:t>
      </w:r>
      <w:r>
        <w:rPr>
          <w:bCs/>
          <w:i/>
        </w:rPr>
        <w:t xml:space="preserve">Berkheimer </w:t>
      </w:r>
      <w:r>
        <w:rPr>
          <w:bCs/>
        </w:rPr>
        <w:t xml:space="preserve">slip opinion.  More specifically, if a claimed feature (e.g., Claims 4-7 in </w:t>
      </w:r>
      <w:r>
        <w:rPr>
          <w:bCs/>
          <w:i/>
        </w:rPr>
        <w:t>Berkheimer</w:t>
      </w:r>
      <w:r>
        <w:rPr>
          <w:bCs/>
        </w:rPr>
        <w:t xml:space="preserve">) “improves system operating efficiency” in a manner that is unique enough to differentiate it from processes in the prior art, then it is not “well-understood, routine, and conventional” (see pages 16-17 of the </w:t>
      </w:r>
      <w:r>
        <w:rPr>
          <w:bCs/>
          <w:i/>
        </w:rPr>
        <w:t xml:space="preserve">Berkheimer </w:t>
      </w:r>
      <w:r>
        <w:rPr>
          <w:bCs/>
        </w:rPr>
        <w:t xml:space="preserve">slip opinion).  As such, the invention is an improvement to computer functionality, rather than an abstract idea, and is statutory under 35 U.S.C. § 101 (see page 11 of the </w:t>
      </w:r>
      <w:r>
        <w:rPr>
          <w:bCs/>
          <w:i/>
        </w:rPr>
        <w:t xml:space="preserve">Berkheimer </w:t>
      </w:r>
      <w:r>
        <w:rPr>
          <w:bCs/>
        </w:rPr>
        <w:t xml:space="preserve">slip opinion, as well as </w:t>
      </w:r>
      <w:proofErr w:type="spellStart"/>
      <w:r>
        <w:rPr>
          <w:bCs/>
          <w:i/>
        </w:rPr>
        <w:t>Enfish</w:t>
      </w:r>
      <w:proofErr w:type="spellEnd"/>
      <w:r>
        <w:rPr>
          <w:bCs/>
          <w:i/>
        </w:rPr>
        <w:t xml:space="preserve">, LLC v. Microsoft Corp., </w:t>
      </w:r>
      <w:r>
        <w:rPr>
          <w:bCs/>
        </w:rPr>
        <w:t>822, F.3d 1327, 1335-36 (Fed. Cir. 2016)).</w:t>
      </w:r>
    </w:p>
    <w:p w14:paraId="140FBFD3" w14:textId="77777777" w:rsidR="003F1F16" w:rsidRDefault="003F1F16" w:rsidP="00D80518">
      <w:pPr>
        <w:spacing w:before="480" w:line="360" w:lineRule="auto"/>
        <w:ind w:firstLine="720"/>
        <w:jc w:val="both"/>
        <w:rPr>
          <w:bCs/>
        </w:rPr>
      </w:pPr>
      <w:r>
        <w:rPr>
          <w:bCs/>
        </w:rPr>
        <w:t xml:space="preserve">The </w:t>
      </w:r>
      <w:r>
        <w:rPr>
          <w:bCs/>
          <w:i/>
        </w:rPr>
        <w:t>April 2018 USPTO Memo</w:t>
      </w:r>
      <w:r>
        <w:rPr>
          <w:bCs/>
        </w:rPr>
        <w:t xml:space="preserve">, taking </w:t>
      </w:r>
      <w:r>
        <w:rPr>
          <w:bCs/>
          <w:i/>
        </w:rPr>
        <w:t>Berkheimer</w:t>
      </w:r>
      <w:r>
        <w:rPr>
          <w:bCs/>
        </w:rPr>
        <w:t xml:space="preserve"> as guidance, articulates four ways that an Examiner can show that the additional elements in the claim are “well-understood, routine or conventional”. </w:t>
      </w:r>
    </w:p>
    <w:p w14:paraId="3B3EB14F" w14:textId="77777777" w:rsidR="003F1F16" w:rsidRDefault="003F1F16" w:rsidP="00D80518">
      <w:pPr>
        <w:spacing w:before="480" w:line="360" w:lineRule="auto"/>
        <w:ind w:firstLine="720"/>
        <w:jc w:val="both"/>
        <w:rPr>
          <w:bCs/>
        </w:rPr>
      </w:pPr>
      <w:r>
        <w:rPr>
          <w:bCs/>
        </w:rPr>
        <w:t xml:space="preserve">In the first scenario described in the </w:t>
      </w:r>
      <w:r>
        <w:rPr>
          <w:bCs/>
          <w:i/>
        </w:rPr>
        <w:t>April 2018 USPTO Memo</w:t>
      </w:r>
      <w:r>
        <w:rPr>
          <w:bCs/>
        </w:rPr>
        <w:t>, if the specification of the claim being examined expressly states that the elements in the claim are well-understood, routine, and conventional, then they are.  This is not the case in the present patent application.</w:t>
      </w:r>
    </w:p>
    <w:p w14:paraId="6F24EB41" w14:textId="77777777" w:rsidR="003F1F16" w:rsidRDefault="003F1F16" w:rsidP="00D80518">
      <w:pPr>
        <w:spacing w:before="480" w:line="360" w:lineRule="auto"/>
        <w:ind w:firstLine="720"/>
        <w:jc w:val="both"/>
        <w:rPr>
          <w:bCs/>
        </w:rPr>
      </w:pPr>
      <w:r>
        <w:rPr>
          <w:bCs/>
        </w:rPr>
        <w:t xml:space="preserve">In the third scenario described in the </w:t>
      </w:r>
      <w:r>
        <w:rPr>
          <w:bCs/>
          <w:i/>
        </w:rPr>
        <w:t>April 2018 USPTO Memo</w:t>
      </w:r>
      <w:r>
        <w:rPr>
          <w:bCs/>
        </w:rPr>
        <w:t>, if the Office Action cites an authoritative document (e.g., a textbook) that expressly states that the elements in the claim are well-understood, routine, and conventional, then they are.  This is not the case in the present patent application.</w:t>
      </w:r>
    </w:p>
    <w:p w14:paraId="7662085B" w14:textId="77777777" w:rsidR="003F1F16" w:rsidRDefault="003F1F16" w:rsidP="00D80518">
      <w:pPr>
        <w:spacing w:before="480" w:line="360" w:lineRule="auto"/>
        <w:ind w:firstLine="720"/>
        <w:jc w:val="both"/>
        <w:rPr>
          <w:bCs/>
        </w:rPr>
      </w:pPr>
      <w:r>
        <w:rPr>
          <w:bCs/>
        </w:rPr>
        <w:t xml:space="preserve">In the fourth scenario described in the </w:t>
      </w:r>
      <w:r>
        <w:rPr>
          <w:bCs/>
          <w:i/>
        </w:rPr>
        <w:t>April 2018 USPTO Memo</w:t>
      </w:r>
      <w:r>
        <w:rPr>
          <w:bCs/>
        </w:rPr>
        <w:t>, if the Office Action takes Official Notice that the elements in the claim are well-understood, routine, and conventional, then the Examiner must be willing to respond to a challenge to such a holding with an affidavit, etc.  The present Office Action does not take Official Notice, and thus this is not the case in the present patent application.</w:t>
      </w:r>
    </w:p>
    <w:p w14:paraId="29E7930E" w14:textId="77777777" w:rsidR="003F1F16" w:rsidRDefault="003F1F16" w:rsidP="00D80518">
      <w:pPr>
        <w:spacing w:before="480" w:line="360" w:lineRule="auto"/>
        <w:ind w:firstLine="720"/>
        <w:jc w:val="both"/>
        <w:rPr>
          <w:bCs/>
        </w:rPr>
      </w:pPr>
      <w:r>
        <w:rPr>
          <w:bCs/>
        </w:rPr>
        <w:t xml:space="preserve">In the second scenario described in the </w:t>
      </w:r>
      <w:r>
        <w:rPr>
          <w:bCs/>
          <w:i/>
        </w:rPr>
        <w:t>April 2018 USPTO Memo</w:t>
      </w:r>
      <w:r>
        <w:rPr>
          <w:bCs/>
        </w:rPr>
        <w:t xml:space="preserve">, the Office Action may cite a court decision from Section 2106.05(d)(II) of the MPEP that describes the element(s) of the present patent application as being well-understood, routine, conventional in order to meet the requirement of Step 2B of </w:t>
      </w:r>
      <w:r>
        <w:rPr>
          <w:bCs/>
          <w:i/>
        </w:rPr>
        <w:t>Mayo</w:t>
      </w:r>
      <w:r>
        <w:rPr>
          <w:bCs/>
        </w:rPr>
        <w:t>.</w:t>
      </w:r>
    </w:p>
    <w:p w14:paraId="34014DA3" w14:textId="77777777" w:rsidR="003F1F16" w:rsidRDefault="003F1F16" w:rsidP="00D80518">
      <w:pPr>
        <w:spacing w:before="480" w:line="360" w:lineRule="auto"/>
        <w:ind w:firstLine="720"/>
        <w:jc w:val="both"/>
        <w:rPr>
          <w:bCs/>
        </w:rPr>
      </w:pPr>
      <w:r>
        <w:rPr>
          <w:bCs/>
        </w:rPr>
        <w:t xml:space="preserve">The present Office Action cites </w:t>
      </w:r>
      <w:r>
        <w:rPr>
          <w:bCs/>
          <w:i/>
        </w:rPr>
        <w:t>Electric Power Group v. Alstom, et al.</w:t>
      </w:r>
      <w:r>
        <w:rPr>
          <w:bCs/>
        </w:rPr>
        <w:t>,</w:t>
      </w:r>
      <w:r w:rsidRPr="007D6748">
        <w:t xml:space="preserve"> </w:t>
      </w:r>
      <w:r w:rsidRPr="007D6748">
        <w:rPr>
          <w:bCs/>
        </w:rPr>
        <w:t>830 F.3d 1350, 119 U.S.P.Q.2d 1739 (Fed. Cir. 2016)</w:t>
      </w:r>
      <w:r>
        <w:rPr>
          <w:bCs/>
        </w:rPr>
        <w:t xml:space="preserve"> – “</w:t>
      </w:r>
      <w:r>
        <w:rPr>
          <w:bCs/>
          <w:i/>
        </w:rPr>
        <w:t>Electric Power”</w:t>
      </w:r>
      <w:r>
        <w:rPr>
          <w:bCs/>
        </w:rPr>
        <w:t xml:space="preserve"> and </w:t>
      </w:r>
      <w:proofErr w:type="gramStart"/>
      <w:r>
        <w:rPr>
          <w:bCs/>
          <w:i/>
        </w:rPr>
        <w:t>In</w:t>
      </w:r>
      <w:proofErr w:type="gramEnd"/>
      <w:r>
        <w:rPr>
          <w:bCs/>
          <w:i/>
        </w:rPr>
        <w:t xml:space="preserve"> re Schrader</w:t>
      </w:r>
      <w:r>
        <w:rPr>
          <w:bCs/>
        </w:rPr>
        <w:t>, 22 F.3d 290, 30 U.S.P.Q. 2d 1455 (Fed. Cir. 1994) – “</w:t>
      </w:r>
      <w:r>
        <w:rPr>
          <w:bCs/>
          <w:i/>
        </w:rPr>
        <w:t>Schrader</w:t>
      </w:r>
      <w:r>
        <w:rPr>
          <w:bCs/>
        </w:rPr>
        <w:t>”.  Neither case describes elements that are similar in concept to the present invention.</w:t>
      </w:r>
    </w:p>
    <w:p w14:paraId="310C3FFB" w14:textId="3763348A" w:rsidR="003F1F16" w:rsidRDefault="003F1F16" w:rsidP="00D80518">
      <w:pPr>
        <w:spacing w:before="480" w:line="360" w:lineRule="auto"/>
        <w:ind w:firstLine="720"/>
        <w:jc w:val="both"/>
        <w:rPr>
          <w:bCs/>
        </w:rPr>
      </w:pPr>
      <w:r>
        <w:rPr>
          <w:bCs/>
          <w:i/>
        </w:rPr>
        <w:t>Electric Power</w:t>
      </w:r>
      <w:r>
        <w:rPr>
          <w:bCs/>
        </w:rPr>
        <w:t xml:space="preserve"> monitors data from a power system grid, and displays the results on a conventional computer display.  </w:t>
      </w:r>
      <w:r>
        <w:rPr>
          <w:bCs/>
        </w:rPr>
        <w:t>The present invention is directed to…which is unrelated to</w:t>
      </w:r>
      <w:r w:rsidR="00D80518">
        <w:rPr>
          <w:bCs/>
        </w:rPr>
        <w:t xml:space="preserve"> the elements/concepts taught in</w:t>
      </w:r>
      <w:r>
        <w:rPr>
          <w:bCs/>
        </w:rPr>
        <w:t xml:space="preserve"> </w:t>
      </w:r>
      <w:r>
        <w:rPr>
          <w:bCs/>
          <w:i/>
        </w:rPr>
        <w:t>Electric</w:t>
      </w:r>
      <w:r w:rsidRPr="00D80518">
        <w:rPr>
          <w:bCs/>
          <w:i/>
        </w:rPr>
        <w:t xml:space="preserve"> Power</w:t>
      </w:r>
      <w:r>
        <w:rPr>
          <w:bCs/>
        </w:rPr>
        <w:t xml:space="preserve">. Therefore, the present invention is not rendered invalid (non-statutory) under the </w:t>
      </w:r>
      <w:r w:rsidR="00D80518">
        <w:rPr>
          <w:bCs/>
        </w:rPr>
        <w:t>elements/</w:t>
      </w:r>
      <w:r>
        <w:rPr>
          <w:bCs/>
        </w:rPr>
        <w:t xml:space="preserve">concepts </w:t>
      </w:r>
      <w:r w:rsidR="00D80518">
        <w:rPr>
          <w:bCs/>
        </w:rPr>
        <w:t>taught in</w:t>
      </w:r>
      <w:r>
        <w:rPr>
          <w:bCs/>
        </w:rPr>
        <w:t xml:space="preserve"> </w:t>
      </w:r>
      <w:r>
        <w:rPr>
          <w:bCs/>
          <w:i/>
        </w:rPr>
        <w:t>Electric Power</w:t>
      </w:r>
      <w:r>
        <w:rPr>
          <w:bCs/>
        </w:rPr>
        <w:t>.</w:t>
      </w:r>
    </w:p>
    <w:p w14:paraId="44A6F5FC" w14:textId="35EC7684" w:rsidR="00D80518" w:rsidRDefault="003F1F16" w:rsidP="00D80518">
      <w:pPr>
        <w:spacing w:before="480" w:line="360" w:lineRule="auto"/>
        <w:ind w:firstLine="720"/>
        <w:jc w:val="both"/>
        <w:rPr>
          <w:bCs/>
        </w:rPr>
      </w:pPr>
      <w:r>
        <w:rPr>
          <w:bCs/>
          <w:i/>
        </w:rPr>
        <w:t xml:space="preserve">Schrader </w:t>
      </w:r>
      <w:r>
        <w:rPr>
          <w:bCs/>
        </w:rPr>
        <w:t xml:space="preserve">is directed to a method of taking multiple bids for a product, and then identifying the bids. </w:t>
      </w:r>
      <w:r w:rsidR="00D80518">
        <w:rPr>
          <w:bCs/>
        </w:rPr>
        <w:t>The present invention is directed to…which is unrelated to</w:t>
      </w:r>
      <w:r w:rsidR="00D80518">
        <w:rPr>
          <w:bCs/>
        </w:rPr>
        <w:t xml:space="preserve"> the elements/concepts taught in</w:t>
      </w:r>
      <w:r w:rsidR="00D80518">
        <w:rPr>
          <w:bCs/>
        </w:rPr>
        <w:t xml:space="preserve"> </w:t>
      </w:r>
      <w:proofErr w:type="spellStart"/>
      <w:r w:rsidR="00D80518">
        <w:rPr>
          <w:bCs/>
          <w:i/>
        </w:rPr>
        <w:t>Schrade</w:t>
      </w:r>
      <w:proofErr w:type="spellEnd"/>
      <w:r w:rsidR="00D80518">
        <w:rPr>
          <w:bCs/>
        </w:rPr>
        <w:t xml:space="preserve">. Therefore, the present invention is not rendered invalid (non-statutory) under the </w:t>
      </w:r>
      <w:r w:rsidR="00D80518">
        <w:rPr>
          <w:bCs/>
        </w:rPr>
        <w:t>elements/</w:t>
      </w:r>
      <w:r w:rsidR="00D80518">
        <w:rPr>
          <w:bCs/>
        </w:rPr>
        <w:t xml:space="preserve">concepts </w:t>
      </w:r>
      <w:r w:rsidR="00D80518">
        <w:rPr>
          <w:bCs/>
        </w:rPr>
        <w:t>taught in</w:t>
      </w:r>
      <w:r w:rsidR="00D80518">
        <w:rPr>
          <w:bCs/>
        </w:rPr>
        <w:t xml:space="preserve"> </w:t>
      </w:r>
      <w:proofErr w:type="spellStart"/>
      <w:r w:rsidR="00D80518">
        <w:rPr>
          <w:bCs/>
          <w:i/>
        </w:rPr>
        <w:t>Schrade</w:t>
      </w:r>
      <w:proofErr w:type="spellEnd"/>
      <w:r w:rsidR="00D80518">
        <w:rPr>
          <w:bCs/>
        </w:rPr>
        <w:t>.</w:t>
      </w:r>
    </w:p>
    <w:p w14:paraId="053458F2" w14:textId="77777777" w:rsidR="003F1F16" w:rsidRPr="00D313BD" w:rsidRDefault="003F1F16" w:rsidP="00D80518">
      <w:pPr>
        <w:spacing w:before="480" w:line="360" w:lineRule="auto"/>
        <w:ind w:firstLine="720"/>
        <w:jc w:val="both"/>
        <w:rPr>
          <w:bCs/>
          <w:i/>
        </w:rPr>
      </w:pPr>
      <w:r>
        <w:rPr>
          <w:bCs/>
        </w:rPr>
        <w:t>For reasons so stated, Applicants respectfully request that the 35 U.S.C. § 101 rejections be withdrawn.</w:t>
      </w:r>
      <w:r>
        <w:rPr>
          <w:bCs/>
          <w:i/>
        </w:rPr>
        <w:t xml:space="preserve"> </w:t>
      </w:r>
    </w:p>
    <w:p w14:paraId="293970A9" w14:textId="77777777" w:rsidR="0076505A" w:rsidRDefault="0076505A" w:rsidP="00D80518">
      <w:pPr>
        <w:spacing w:before="480" w:line="360" w:lineRule="auto"/>
        <w:ind w:firstLine="720"/>
        <w:jc w:val="both"/>
      </w:pPr>
    </w:p>
    <w:sectPr w:rsidR="0076505A" w:rsidSect="009A3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C5B21"/>
    <w:multiLevelType w:val="hybridMultilevel"/>
    <w:tmpl w:val="8C6807EA"/>
    <w:lvl w:ilvl="0" w:tplc="102E1D38">
      <w:start w:val="1"/>
      <w:numFmt w:val="bullet"/>
      <w:lvlText w:val="•"/>
      <w:lvlJc w:val="left"/>
      <w:pPr>
        <w:tabs>
          <w:tab w:val="num" w:pos="720"/>
        </w:tabs>
        <w:ind w:left="720" w:hanging="360"/>
      </w:pPr>
      <w:rPr>
        <w:rFonts w:ascii="Arial" w:hAnsi="Arial" w:hint="default"/>
      </w:rPr>
    </w:lvl>
    <w:lvl w:ilvl="1" w:tplc="6C06A3B8" w:tentative="1">
      <w:start w:val="1"/>
      <w:numFmt w:val="bullet"/>
      <w:lvlText w:val="•"/>
      <w:lvlJc w:val="left"/>
      <w:pPr>
        <w:tabs>
          <w:tab w:val="num" w:pos="1440"/>
        </w:tabs>
        <w:ind w:left="1440" w:hanging="360"/>
      </w:pPr>
      <w:rPr>
        <w:rFonts w:ascii="Arial" w:hAnsi="Arial" w:hint="default"/>
      </w:rPr>
    </w:lvl>
    <w:lvl w:ilvl="2" w:tplc="334A2A10">
      <w:start w:val="1"/>
      <w:numFmt w:val="bullet"/>
      <w:lvlText w:val="•"/>
      <w:lvlJc w:val="left"/>
      <w:pPr>
        <w:tabs>
          <w:tab w:val="num" w:pos="2160"/>
        </w:tabs>
        <w:ind w:left="2160" w:hanging="360"/>
      </w:pPr>
      <w:rPr>
        <w:rFonts w:ascii="Arial" w:hAnsi="Arial" w:hint="default"/>
      </w:rPr>
    </w:lvl>
    <w:lvl w:ilvl="3" w:tplc="FF4CAD82">
      <w:numFmt w:val="bullet"/>
      <w:lvlText w:val="–"/>
      <w:lvlJc w:val="left"/>
      <w:pPr>
        <w:tabs>
          <w:tab w:val="num" w:pos="2880"/>
        </w:tabs>
        <w:ind w:left="2880" w:hanging="360"/>
      </w:pPr>
      <w:rPr>
        <w:rFonts w:ascii="Arial" w:hAnsi="Arial" w:hint="default"/>
      </w:rPr>
    </w:lvl>
    <w:lvl w:ilvl="4" w:tplc="08B6756E" w:tentative="1">
      <w:start w:val="1"/>
      <w:numFmt w:val="bullet"/>
      <w:lvlText w:val="•"/>
      <w:lvlJc w:val="left"/>
      <w:pPr>
        <w:tabs>
          <w:tab w:val="num" w:pos="3600"/>
        </w:tabs>
        <w:ind w:left="3600" w:hanging="360"/>
      </w:pPr>
      <w:rPr>
        <w:rFonts w:ascii="Arial" w:hAnsi="Arial" w:hint="default"/>
      </w:rPr>
    </w:lvl>
    <w:lvl w:ilvl="5" w:tplc="96BE83A4" w:tentative="1">
      <w:start w:val="1"/>
      <w:numFmt w:val="bullet"/>
      <w:lvlText w:val="•"/>
      <w:lvlJc w:val="left"/>
      <w:pPr>
        <w:tabs>
          <w:tab w:val="num" w:pos="4320"/>
        </w:tabs>
        <w:ind w:left="4320" w:hanging="360"/>
      </w:pPr>
      <w:rPr>
        <w:rFonts w:ascii="Arial" w:hAnsi="Arial" w:hint="default"/>
      </w:rPr>
    </w:lvl>
    <w:lvl w:ilvl="6" w:tplc="A8F8C372" w:tentative="1">
      <w:start w:val="1"/>
      <w:numFmt w:val="bullet"/>
      <w:lvlText w:val="•"/>
      <w:lvlJc w:val="left"/>
      <w:pPr>
        <w:tabs>
          <w:tab w:val="num" w:pos="5040"/>
        </w:tabs>
        <w:ind w:left="5040" w:hanging="360"/>
      </w:pPr>
      <w:rPr>
        <w:rFonts w:ascii="Arial" w:hAnsi="Arial" w:hint="default"/>
      </w:rPr>
    </w:lvl>
    <w:lvl w:ilvl="7" w:tplc="6982243C" w:tentative="1">
      <w:start w:val="1"/>
      <w:numFmt w:val="bullet"/>
      <w:lvlText w:val="•"/>
      <w:lvlJc w:val="left"/>
      <w:pPr>
        <w:tabs>
          <w:tab w:val="num" w:pos="5760"/>
        </w:tabs>
        <w:ind w:left="5760" w:hanging="360"/>
      </w:pPr>
      <w:rPr>
        <w:rFonts w:ascii="Arial" w:hAnsi="Arial" w:hint="default"/>
      </w:rPr>
    </w:lvl>
    <w:lvl w:ilvl="8" w:tplc="6D8E3E3A" w:tentative="1">
      <w:start w:val="1"/>
      <w:numFmt w:val="bullet"/>
      <w:lvlText w:val="•"/>
      <w:lvlJc w:val="left"/>
      <w:pPr>
        <w:tabs>
          <w:tab w:val="num" w:pos="6480"/>
        </w:tabs>
        <w:ind w:left="6480" w:hanging="360"/>
      </w:pPr>
      <w:rPr>
        <w:rFonts w:ascii="Arial" w:hAnsi="Arial" w:hint="default"/>
      </w:rPr>
    </w:lvl>
  </w:abstractNum>
  <w:abstractNum w:abstractNumId="1">
    <w:nsid w:val="6D1216E5"/>
    <w:multiLevelType w:val="hybridMultilevel"/>
    <w:tmpl w:val="134A4A66"/>
    <w:lvl w:ilvl="0" w:tplc="B42EB78C">
      <w:start w:val="1"/>
      <w:numFmt w:val="bullet"/>
      <w:lvlText w:val="•"/>
      <w:lvlJc w:val="left"/>
      <w:pPr>
        <w:tabs>
          <w:tab w:val="num" w:pos="720"/>
        </w:tabs>
        <w:ind w:left="720" w:hanging="360"/>
      </w:pPr>
      <w:rPr>
        <w:rFonts w:ascii="Arial" w:hAnsi="Arial" w:hint="default"/>
      </w:rPr>
    </w:lvl>
    <w:lvl w:ilvl="1" w:tplc="06D0DD9C" w:tentative="1">
      <w:start w:val="1"/>
      <w:numFmt w:val="bullet"/>
      <w:lvlText w:val="•"/>
      <w:lvlJc w:val="left"/>
      <w:pPr>
        <w:tabs>
          <w:tab w:val="num" w:pos="1440"/>
        </w:tabs>
        <w:ind w:left="1440" w:hanging="360"/>
      </w:pPr>
      <w:rPr>
        <w:rFonts w:ascii="Arial" w:hAnsi="Arial" w:hint="default"/>
      </w:rPr>
    </w:lvl>
    <w:lvl w:ilvl="2" w:tplc="2D3E2590">
      <w:start w:val="1"/>
      <w:numFmt w:val="bullet"/>
      <w:lvlText w:val="•"/>
      <w:lvlJc w:val="left"/>
      <w:pPr>
        <w:tabs>
          <w:tab w:val="num" w:pos="2160"/>
        </w:tabs>
        <w:ind w:left="2160" w:hanging="360"/>
      </w:pPr>
      <w:rPr>
        <w:rFonts w:ascii="Arial" w:hAnsi="Arial" w:hint="default"/>
      </w:rPr>
    </w:lvl>
    <w:lvl w:ilvl="3" w:tplc="5CCEDC02">
      <w:numFmt w:val="bullet"/>
      <w:lvlText w:val="–"/>
      <w:lvlJc w:val="left"/>
      <w:pPr>
        <w:tabs>
          <w:tab w:val="num" w:pos="2880"/>
        </w:tabs>
        <w:ind w:left="2880" w:hanging="360"/>
      </w:pPr>
      <w:rPr>
        <w:rFonts w:ascii="Arial" w:hAnsi="Arial" w:hint="default"/>
      </w:rPr>
    </w:lvl>
    <w:lvl w:ilvl="4" w:tplc="D16A6306" w:tentative="1">
      <w:start w:val="1"/>
      <w:numFmt w:val="bullet"/>
      <w:lvlText w:val="•"/>
      <w:lvlJc w:val="left"/>
      <w:pPr>
        <w:tabs>
          <w:tab w:val="num" w:pos="3600"/>
        </w:tabs>
        <w:ind w:left="3600" w:hanging="360"/>
      </w:pPr>
      <w:rPr>
        <w:rFonts w:ascii="Arial" w:hAnsi="Arial" w:hint="default"/>
      </w:rPr>
    </w:lvl>
    <w:lvl w:ilvl="5" w:tplc="3D9847B0" w:tentative="1">
      <w:start w:val="1"/>
      <w:numFmt w:val="bullet"/>
      <w:lvlText w:val="•"/>
      <w:lvlJc w:val="left"/>
      <w:pPr>
        <w:tabs>
          <w:tab w:val="num" w:pos="4320"/>
        </w:tabs>
        <w:ind w:left="4320" w:hanging="360"/>
      </w:pPr>
      <w:rPr>
        <w:rFonts w:ascii="Arial" w:hAnsi="Arial" w:hint="default"/>
      </w:rPr>
    </w:lvl>
    <w:lvl w:ilvl="6" w:tplc="AD7C10DE" w:tentative="1">
      <w:start w:val="1"/>
      <w:numFmt w:val="bullet"/>
      <w:lvlText w:val="•"/>
      <w:lvlJc w:val="left"/>
      <w:pPr>
        <w:tabs>
          <w:tab w:val="num" w:pos="5040"/>
        </w:tabs>
        <w:ind w:left="5040" w:hanging="360"/>
      </w:pPr>
      <w:rPr>
        <w:rFonts w:ascii="Arial" w:hAnsi="Arial" w:hint="default"/>
      </w:rPr>
    </w:lvl>
    <w:lvl w:ilvl="7" w:tplc="5868DF18" w:tentative="1">
      <w:start w:val="1"/>
      <w:numFmt w:val="bullet"/>
      <w:lvlText w:val="•"/>
      <w:lvlJc w:val="left"/>
      <w:pPr>
        <w:tabs>
          <w:tab w:val="num" w:pos="5760"/>
        </w:tabs>
        <w:ind w:left="5760" w:hanging="360"/>
      </w:pPr>
      <w:rPr>
        <w:rFonts w:ascii="Arial" w:hAnsi="Arial" w:hint="default"/>
      </w:rPr>
    </w:lvl>
    <w:lvl w:ilvl="8" w:tplc="4B7A08F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BB"/>
    <w:rsid w:val="00050B30"/>
    <w:rsid w:val="000E2972"/>
    <w:rsid w:val="002F7264"/>
    <w:rsid w:val="003F1F16"/>
    <w:rsid w:val="00534BBB"/>
    <w:rsid w:val="0057726C"/>
    <w:rsid w:val="00663208"/>
    <w:rsid w:val="00665EAA"/>
    <w:rsid w:val="006D4DBD"/>
    <w:rsid w:val="0076505A"/>
    <w:rsid w:val="00766B7B"/>
    <w:rsid w:val="00767EAE"/>
    <w:rsid w:val="00963325"/>
    <w:rsid w:val="009A3DD5"/>
    <w:rsid w:val="00AB30CB"/>
    <w:rsid w:val="00B439AB"/>
    <w:rsid w:val="00B845C2"/>
    <w:rsid w:val="00C51837"/>
    <w:rsid w:val="00D80518"/>
    <w:rsid w:val="00E163E5"/>
    <w:rsid w:val="00F0486B"/>
    <w:rsid w:val="00F27D8A"/>
    <w:rsid w:val="00F529A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2E549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30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972"/>
    <w:pPr>
      <w:spacing w:before="100" w:beforeAutospacing="1" w:after="100" w:afterAutospacing="1"/>
    </w:pPr>
  </w:style>
  <w:style w:type="paragraph" w:styleId="ListParagraph">
    <w:name w:val="List Paragraph"/>
    <w:basedOn w:val="Normal"/>
    <w:uiPriority w:val="34"/>
    <w:qFormat/>
    <w:rsid w:val="00050B30"/>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6682">
      <w:bodyDiv w:val="1"/>
      <w:marLeft w:val="0"/>
      <w:marRight w:val="0"/>
      <w:marTop w:val="0"/>
      <w:marBottom w:val="0"/>
      <w:divBdr>
        <w:top w:val="none" w:sz="0" w:space="0" w:color="auto"/>
        <w:left w:val="none" w:sz="0" w:space="0" w:color="auto"/>
        <w:bottom w:val="none" w:sz="0" w:space="0" w:color="auto"/>
        <w:right w:val="none" w:sz="0" w:space="0" w:color="auto"/>
      </w:divBdr>
      <w:divsChild>
        <w:div w:id="819229552">
          <w:marLeft w:val="1800"/>
          <w:marRight w:val="0"/>
          <w:marTop w:val="96"/>
          <w:marBottom w:val="0"/>
          <w:divBdr>
            <w:top w:val="none" w:sz="0" w:space="0" w:color="auto"/>
            <w:left w:val="none" w:sz="0" w:space="0" w:color="auto"/>
            <w:bottom w:val="none" w:sz="0" w:space="0" w:color="auto"/>
            <w:right w:val="none" w:sz="0" w:space="0" w:color="auto"/>
          </w:divBdr>
        </w:div>
        <w:div w:id="627245836">
          <w:marLeft w:val="2520"/>
          <w:marRight w:val="0"/>
          <w:marTop w:val="82"/>
          <w:marBottom w:val="0"/>
          <w:divBdr>
            <w:top w:val="none" w:sz="0" w:space="0" w:color="auto"/>
            <w:left w:val="none" w:sz="0" w:space="0" w:color="auto"/>
            <w:bottom w:val="none" w:sz="0" w:space="0" w:color="auto"/>
            <w:right w:val="none" w:sz="0" w:space="0" w:color="auto"/>
          </w:divBdr>
        </w:div>
        <w:div w:id="10230439">
          <w:marLeft w:val="2520"/>
          <w:marRight w:val="0"/>
          <w:marTop w:val="82"/>
          <w:marBottom w:val="0"/>
          <w:divBdr>
            <w:top w:val="none" w:sz="0" w:space="0" w:color="auto"/>
            <w:left w:val="none" w:sz="0" w:space="0" w:color="auto"/>
            <w:bottom w:val="none" w:sz="0" w:space="0" w:color="auto"/>
            <w:right w:val="none" w:sz="0" w:space="0" w:color="auto"/>
          </w:divBdr>
        </w:div>
      </w:divsChild>
    </w:div>
    <w:div w:id="578368702">
      <w:bodyDiv w:val="1"/>
      <w:marLeft w:val="0"/>
      <w:marRight w:val="0"/>
      <w:marTop w:val="0"/>
      <w:marBottom w:val="0"/>
      <w:divBdr>
        <w:top w:val="none" w:sz="0" w:space="0" w:color="auto"/>
        <w:left w:val="none" w:sz="0" w:space="0" w:color="auto"/>
        <w:bottom w:val="none" w:sz="0" w:space="0" w:color="auto"/>
        <w:right w:val="none" w:sz="0" w:space="0" w:color="auto"/>
      </w:divBdr>
      <w:divsChild>
        <w:div w:id="2110078150">
          <w:marLeft w:val="1800"/>
          <w:marRight w:val="0"/>
          <w:marTop w:val="96"/>
          <w:marBottom w:val="0"/>
          <w:divBdr>
            <w:top w:val="none" w:sz="0" w:space="0" w:color="auto"/>
            <w:left w:val="none" w:sz="0" w:space="0" w:color="auto"/>
            <w:bottom w:val="none" w:sz="0" w:space="0" w:color="auto"/>
            <w:right w:val="none" w:sz="0" w:space="0" w:color="auto"/>
          </w:divBdr>
        </w:div>
        <w:div w:id="102113857">
          <w:marLeft w:val="2520"/>
          <w:marRight w:val="0"/>
          <w:marTop w:val="82"/>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2476</Words>
  <Characters>14115</Characters>
  <Application>Microsoft Macintosh Word</Application>
  <DocSecurity>0</DocSecurity>
  <Lines>117</Lines>
  <Paragraphs>33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Claim Rejections under 35 U.S.C. § 101</vt:lpstr>
      <vt:lpstr>February 2018 Quick Reference Sheet</vt:lpstr>
      <vt:lpstr>Step 1 of the Mayo test</vt:lpstr>
      <vt:lpstr>Step 2A of the Mayo test</vt:lpstr>
      <vt:lpstr>DDR Holdings, LLC v. Hotels.com L.P., 773 F.3d 1245 (Fed. Cir. 2014) – “DDR”</vt:lpstr>
      <vt:lpstr>Enfish, LLC v. Microsoft Corporation, 822 F.3d 1327 (Fed. Cir. 2016) – “Enfish”</vt:lpstr>
      <vt:lpstr>Finjan, Inc. v. Blue Coat Systems, Inc., __F.3d__(Fed. Cir. 2018) – “Finjan”</vt:lpstr>
      <vt:lpstr>McRO, Inc. v. Bandai Namco Games America Inc., __F.3d__(Fed. Cir. 2016) – “McRO”</vt:lpstr>
      <vt:lpstr>Thales Visionix Inc. v. United States et al.__F.3d__(Fed. Cir 2017) – “Thales”</vt:lpstr>
      <vt:lpstr>Trading Technologies International, Inc. v. CQG, Inc. et al.__F.3d__(Fed. Cir. 2</vt:lpstr>
      <vt:lpstr>Visual Memory LLC, v. Nvidia Corp.__F.3d__(Fed. Cir. 2017) – “Visual Memory”</vt:lpstr>
      <vt:lpstr>Step 2B of the Mayo test</vt:lpstr>
      <vt:lpstr>Amdocs (Israel) Ltd. V. Openet Telecom, Inc., __ F. 3d __ (Fed. Cir. 2016) – “Am</vt:lpstr>
      <vt:lpstr>Classen Immunotherapies Inc. v. Biogen IDEC, 659 F.3d 1057 (Fed. Cir 2011) – “Cl</vt:lpstr>
    </vt:vector>
  </TitlesOfParts>
  <LinksUpToDate>false</LinksUpToDate>
  <CharactersWithSpaces>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Boice</dc:creator>
  <cp:keywords/>
  <dc:description/>
  <cp:lastModifiedBy>Jim Boice</cp:lastModifiedBy>
  <cp:revision>2</cp:revision>
  <dcterms:created xsi:type="dcterms:W3CDTF">2018-08-27T15:15:00Z</dcterms:created>
  <dcterms:modified xsi:type="dcterms:W3CDTF">2018-08-27T15:15:00Z</dcterms:modified>
</cp:coreProperties>
</file>