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EC1" w:rsidRPr="00B146D1" w:rsidRDefault="00DE27FA" w:rsidP="00B354F6">
      <w:pPr>
        <w:spacing w:after="0"/>
        <w:jc w:val="center"/>
        <w:rPr>
          <w:b/>
        </w:rPr>
      </w:pPr>
      <w:r>
        <w:rPr>
          <w:b/>
        </w:rPr>
        <w:t>Naloxone Standing</w:t>
      </w:r>
      <w:r w:rsidR="00E314C9">
        <w:rPr>
          <w:b/>
        </w:rPr>
        <w:t xml:space="preserve"> for Walworth County </w:t>
      </w:r>
      <w:r w:rsidR="00E314C9">
        <w:rPr>
          <w:b/>
        </w:rPr>
        <w:t>Drug and Alcohol Coalition</w:t>
      </w:r>
      <w:r w:rsidR="0073741B">
        <w:rPr>
          <w:b/>
        </w:rPr>
        <w:t xml:space="preserve"> </w:t>
      </w:r>
      <w:r w:rsidR="007132FD">
        <w:rPr>
          <w:b/>
        </w:rPr>
        <w:t xml:space="preserve"> </w:t>
      </w:r>
      <w:r w:rsidR="00CB6A2A">
        <w:rPr>
          <w:b/>
        </w:rPr>
        <w:t xml:space="preserve"> </w:t>
      </w:r>
    </w:p>
    <w:p w:rsidR="00B354F6" w:rsidRPr="00B146D1" w:rsidRDefault="00B354F6" w:rsidP="00B354F6">
      <w:pPr>
        <w:spacing w:after="0"/>
        <w:jc w:val="center"/>
        <w:rPr>
          <w:b/>
        </w:rPr>
      </w:pPr>
    </w:p>
    <w:p w:rsidR="00B354F6" w:rsidRPr="00B146D1" w:rsidRDefault="00B354F6" w:rsidP="00B354F6">
      <w:pPr>
        <w:spacing w:after="0"/>
        <w:rPr>
          <w:b/>
        </w:rPr>
      </w:pPr>
      <w:r w:rsidRPr="00B146D1">
        <w:rPr>
          <w:b/>
        </w:rPr>
        <w:t>SUBJECT:</w:t>
      </w:r>
    </w:p>
    <w:p w:rsidR="00B354F6" w:rsidRDefault="00DE27FA" w:rsidP="00B354F6">
      <w:pPr>
        <w:spacing w:after="0"/>
      </w:pPr>
      <w:r>
        <w:t>Standing</w:t>
      </w:r>
      <w:r w:rsidR="00E314C9">
        <w:t xml:space="preserve"> Order for </w:t>
      </w:r>
      <w:r w:rsidR="00E314C9">
        <w:t xml:space="preserve">Walworth County </w:t>
      </w:r>
      <w:r w:rsidR="007604EF">
        <w:t xml:space="preserve">Drug and Alcohol Coalition </w:t>
      </w:r>
      <w:r w:rsidR="00CB6A2A">
        <w:t>and</w:t>
      </w:r>
      <w:r w:rsidR="0073741B">
        <w:t>/or</w:t>
      </w:r>
      <w:r w:rsidR="00CB6A2A">
        <w:t xml:space="preserve"> Recovery Coaches</w:t>
      </w:r>
      <w:r w:rsidR="0073741B">
        <w:t>/Peer Support Specialist</w:t>
      </w:r>
      <w:r w:rsidR="00CB6A2A">
        <w:t xml:space="preserve"> or contracted staff </w:t>
      </w:r>
      <w:r w:rsidR="00B354F6">
        <w:t>for Naloxone Dispensing for Opioid Overdose Prevention</w:t>
      </w:r>
    </w:p>
    <w:p w:rsidR="00B354F6" w:rsidRDefault="00B354F6" w:rsidP="00B354F6">
      <w:pPr>
        <w:spacing w:after="0"/>
      </w:pPr>
    </w:p>
    <w:p w:rsidR="00B354F6" w:rsidRPr="00B146D1" w:rsidRDefault="00B354F6" w:rsidP="00B354F6">
      <w:pPr>
        <w:spacing w:after="0"/>
        <w:rPr>
          <w:b/>
        </w:rPr>
      </w:pPr>
      <w:r w:rsidRPr="00B146D1">
        <w:rPr>
          <w:b/>
        </w:rPr>
        <w:t>EFFECTIVE DATE:</w:t>
      </w:r>
    </w:p>
    <w:p w:rsidR="00B354F6" w:rsidRDefault="00E314C9" w:rsidP="00B354F6">
      <w:pPr>
        <w:spacing w:after="0"/>
      </w:pPr>
      <w:r>
        <w:t>March 2, 2021</w:t>
      </w:r>
      <w:r w:rsidR="00CB6A2A">
        <w:t xml:space="preserve"> </w:t>
      </w:r>
    </w:p>
    <w:p w:rsidR="00B354F6" w:rsidRDefault="00B354F6" w:rsidP="00B354F6">
      <w:pPr>
        <w:spacing w:after="0"/>
      </w:pPr>
    </w:p>
    <w:p w:rsidR="00B354F6" w:rsidRPr="00B146D1" w:rsidRDefault="00B354F6" w:rsidP="00B354F6">
      <w:pPr>
        <w:spacing w:after="0"/>
        <w:rPr>
          <w:b/>
        </w:rPr>
      </w:pPr>
      <w:r w:rsidRPr="00B146D1">
        <w:rPr>
          <w:b/>
        </w:rPr>
        <w:t>EXPIRATION OF STANDING ORDER:</w:t>
      </w:r>
    </w:p>
    <w:p w:rsidR="00B354F6" w:rsidRDefault="00B354F6" w:rsidP="00B354F6">
      <w:pPr>
        <w:spacing w:after="0"/>
      </w:pPr>
      <w:r>
        <w:t>The naloxone standing order must be renew</w:t>
      </w:r>
      <w:r w:rsidR="000A4046">
        <w:t xml:space="preserve">ed </w:t>
      </w:r>
      <w:r w:rsidR="00CB6A2A">
        <w:t>two years</w:t>
      </w:r>
      <w:r w:rsidR="000A4046">
        <w:t xml:space="preserve"> from the start date</w:t>
      </w:r>
    </w:p>
    <w:p w:rsidR="00B354F6" w:rsidRDefault="00B354F6" w:rsidP="00B354F6">
      <w:pPr>
        <w:spacing w:after="0"/>
      </w:pPr>
    </w:p>
    <w:p w:rsidR="00B354F6" w:rsidRPr="00B146D1" w:rsidRDefault="00B354F6" w:rsidP="00B354F6">
      <w:pPr>
        <w:spacing w:after="0"/>
        <w:rPr>
          <w:b/>
        </w:rPr>
      </w:pPr>
      <w:r w:rsidRPr="00B146D1">
        <w:rPr>
          <w:b/>
        </w:rPr>
        <w:t>APPROVED FOR USE AS A POPULATION-BASED STANDING ORDER BY:</w:t>
      </w:r>
    </w:p>
    <w:p w:rsidR="00B354F6" w:rsidRDefault="00CB6A2A" w:rsidP="00B354F6">
      <w:pPr>
        <w:spacing w:after="0"/>
      </w:pPr>
      <w:r>
        <w:t>______________________________</w:t>
      </w:r>
    </w:p>
    <w:p w:rsidR="00B354F6" w:rsidRDefault="00B354F6" w:rsidP="00B354F6">
      <w:pPr>
        <w:spacing w:after="0"/>
      </w:pPr>
    </w:p>
    <w:p w:rsidR="00B354F6" w:rsidRPr="00B146D1" w:rsidRDefault="00B354F6" w:rsidP="00B354F6">
      <w:pPr>
        <w:spacing w:after="0"/>
        <w:rPr>
          <w:b/>
        </w:rPr>
      </w:pPr>
      <w:r w:rsidRPr="00B146D1">
        <w:rPr>
          <w:b/>
        </w:rPr>
        <w:t>PURPOSE:</w:t>
      </w:r>
    </w:p>
    <w:p w:rsidR="00B354F6" w:rsidRDefault="00B354F6" w:rsidP="00B354F6">
      <w:pPr>
        <w:spacing w:after="0"/>
      </w:pPr>
      <w:r>
        <w:t>This standing order delegates authority to</w:t>
      </w:r>
      <w:r w:rsidR="007132FD">
        <w:t xml:space="preserve"> </w:t>
      </w:r>
      <w:r w:rsidR="00E314C9">
        <w:t xml:space="preserve">Walworth County Drug and Alcohol Coalition </w:t>
      </w:r>
      <w:r w:rsidR="0073741B">
        <w:t xml:space="preserve">staff </w:t>
      </w:r>
      <w:r>
        <w:t>and contracted staff and outlines the policies and procedures necessary for dispensing naloxone without a prescription to patients at risk of an opioid overdose or to individuals in a position to assist the patient at risk for overdose.</w:t>
      </w:r>
    </w:p>
    <w:p w:rsidR="00B354F6" w:rsidRDefault="00B354F6" w:rsidP="00B354F6">
      <w:pPr>
        <w:spacing w:after="0"/>
      </w:pPr>
    </w:p>
    <w:p w:rsidR="00B354F6" w:rsidRPr="00B146D1" w:rsidRDefault="00B354F6" w:rsidP="00B354F6">
      <w:pPr>
        <w:spacing w:after="0"/>
        <w:rPr>
          <w:b/>
        </w:rPr>
      </w:pPr>
      <w:r w:rsidRPr="00B146D1">
        <w:rPr>
          <w:b/>
        </w:rPr>
        <w:t>POLICY:</w:t>
      </w:r>
    </w:p>
    <w:p w:rsidR="00B354F6" w:rsidRDefault="00B354F6" w:rsidP="00B354F6">
      <w:pPr>
        <w:spacing w:after="0"/>
      </w:pPr>
      <w:r>
        <w:t>This standing order authorizes</w:t>
      </w:r>
      <w:r w:rsidR="007604EF">
        <w:t xml:space="preserve"> </w:t>
      </w:r>
      <w:r w:rsidR="00E314C9">
        <w:t xml:space="preserve">Walworth County Drug and Alcohol Coalition </w:t>
      </w:r>
      <w:r>
        <w:t>staff and contracted staff</w:t>
      </w:r>
      <w:r w:rsidR="00C5489A">
        <w:t xml:space="preserve"> to maintain supplies of naloxone kits for the purposes of dispensing to an individual at risk for an opioid overdose, or to an individual in a </w:t>
      </w:r>
      <w:r w:rsidR="000A4046">
        <w:t>position to assist a person</w:t>
      </w:r>
      <w:r w:rsidR="00C5489A">
        <w:t xml:space="preserve"> at risk for overdose.  </w:t>
      </w:r>
    </w:p>
    <w:p w:rsidR="00C5489A" w:rsidRDefault="00C5489A" w:rsidP="00B354F6">
      <w:pPr>
        <w:spacing w:after="0"/>
      </w:pPr>
    </w:p>
    <w:p w:rsidR="00C5489A" w:rsidRDefault="00C5489A" w:rsidP="00B354F6">
      <w:pPr>
        <w:spacing w:after="0"/>
      </w:pPr>
      <w:r>
        <w:t xml:space="preserve">This standing order covers the possession and dispensing of naloxone kits, to include naloxone hydrochloride, intramuscular syringes or nasal </w:t>
      </w:r>
      <w:r w:rsidR="001179D6">
        <w:t>spray</w:t>
      </w:r>
      <w:r>
        <w:t xml:space="preserve"> devices/atomizers</w:t>
      </w:r>
      <w:r w:rsidR="001071C2">
        <w:t xml:space="preserve"> and other required supplies for naloxone administration</w:t>
      </w:r>
      <w:r>
        <w:t>.</w:t>
      </w:r>
    </w:p>
    <w:p w:rsidR="00C5489A" w:rsidRDefault="00C5489A" w:rsidP="00B354F6">
      <w:pPr>
        <w:spacing w:after="0"/>
      </w:pPr>
    </w:p>
    <w:p w:rsidR="00C5489A" w:rsidRDefault="00C5489A" w:rsidP="00B354F6">
      <w:pPr>
        <w:spacing w:after="0"/>
      </w:pPr>
      <w:r>
        <w:t>This standing order will be renewed annually.</w:t>
      </w:r>
    </w:p>
    <w:p w:rsidR="00C5489A" w:rsidRDefault="00C5489A" w:rsidP="00B354F6">
      <w:pPr>
        <w:spacing w:after="0"/>
      </w:pPr>
    </w:p>
    <w:p w:rsidR="00C5489A" w:rsidRPr="00B146D1" w:rsidRDefault="00C5489A" w:rsidP="00B354F6">
      <w:pPr>
        <w:spacing w:after="0"/>
        <w:rPr>
          <w:b/>
        </w:rPr>
      </w:pPr>
      <w:r w:rsidRPr="00B146D1">
        <w:rPr>
          <w:b/>
        </w:rPr>
        <w:t>AUTHORITY:</w:t>
      </w:r>
    </w:p>
    <w:p w:rsidR="00C5489A" w:rsidRDefault="00C5489A" w:rsidP="00B354F6">
      <w:pPr>
        <w:spacing w:after="0"/>
      </w:pPr>
      <w:r>
        <w:t xml:space="preserve">This standing order is issued pursuant to Wis. Stat. § </w:t>
      </w:r>
      <w:r w:rsidR="00630522">
        <w:t>448.037, which permits physicians and physician assistants to issue a standing order to one or more persons authorizing the dispensing of an opioid antagonist.  This standing order authorizes</w:t>
      </w:r>
      <w:r w:rsidR="007132FD">
        <w:t xml:space="preserve"> </w:t>
      </w:r>
      <w:r w:rsidR="00DE27FA">
        <w:t>Satori House Recovery</w:t>
      </w:r>
      <w:r w:rsidR="0073741B">
        <w:t xml:space="preserve"> </w:t>
      </w:r>
      <w:r w:rsidR="00630522">
        <w:t xml:space="preserve">staff and contracted staff to dispense naloxone and devices for naloxone administration pursuant to following the procedures outlined herein.  Unlimited refills are authorized. </w:t>
      </w:r>
    </w:p>
    <w:p w:rsidR="00630522" w:rsidRDefault="00630522" w:rsidP="00B354F6">
      <w:pPr>
        <w:spacing w:after="0"/>
      </w:pPr>
    </w:p>
    <w:p w:rsidR="00630522" w:rsidRPr="00B146D1" w:rsidRDefault="00630522" w:rsidP="00B354F6">
      <w:pPr>
        <w:spacing w:after="0"/>
        <w:rPr>
          <w:b/>
        </w:rPr>
      </w:pPr>
      <w:r w:rsidRPr="00B146D1">
        <w:rPr>
          <w:b/>
        </w:rPr>
        <w:t>PROCEDURES:</w:t>
      </w:r>
    </w:p>
    <w:p w:rsidR="00630522" w:rsidRPr="00B146D1" w:rsidRDefault="00630522" w:rsidP="00B354F6">
      <w:pPr>
        <w:spacing w:after="0"/>
        <w:rPr>
          <w:b/>
        </w:rPr>
      </w:pPr>
      <w:r w:rsidRPr="00B146D1">
        <w:rPr>
          <w:b/>
        </w:rPr>
        <w:t xml:space="preserve">1.  Standing order compliance requirements: </w:t>
      </w:r>
    </w:p>
    <w:p w:rsidR="00630522" w:rsidRDefault="00630522" w:rsidP="00630522">
      <w:pPr>
        <w:spacing w:after="0"/>
        <w:ind w:left="720"/>
      </w:pPr>
      <w:r>
        <w:t>a.  A copy of the standing order signed by a Wisconsin licensed physician must be maintained on file and be readily retrievable at</w:t>
      </w:r>
      <w:r w:rsidR="007604EF">
        <w:t xml:space="preserve"> </w:t>
      </w:r>
      <w:r w:rsidR="007604EF">
        <w:softHyphen/>
      </w:r>
      <w:r w:rsidR="007604EF">
        <w:softHyphen/>
      </w:r>
      <w:r w:rsidR="007604EF">
        <w:softHyphen/>
      </w:r>
      <w:r w:rsidR="007604EF">
        <w:softHyphen/>
      </w:r>
      <w:r w:rsidR="007604EF">
        <w:softHyphen/>
      </w:r>
      <w:r w:rsidR="007604EF">
        <w:softHyphen/>
      </w:r>
      <w:r w:rsidR="007604EF">
        <w:softHyphen/>
      </w:r>
      <w:r w:rsidR="007604EF">
        <w:softHyphen/>
      </w:r>
      <w:r w:rsidR="007604EF">
        <w:softHyphen/>
      </w:r>
      <w:r w:rsidR="007604EF">
        <w:softHyphen/>
      </w:r>
      <w:r w:rsidR="007604EF">
        <w:softHyphen/>
      </w:r>
      <w:r w:rsidR="007604EF">
        <w:softHyphen/>
      </w:r>
      <w:r w:rsidR="007604EF">
        <w:softHyphen/>
      </w:r>
      <w:r w:rsidR="00E314C9" w:rsidRPr="00E314C9">
        <w:t xml:space="preserve"> </w:t>
      </w:r>
      <w:r w:rsidR="00E314C9">
        <w:t>12 S. Wisconsin Elkhorn, WI 53121</w:t>
      </w:r>
      <w:r>
        <w:t>.</w:t>
      </w:r>
    </w:p>
    <w:p w:rsidR="00630522" w:rsidRDefault="000A4046" w:rsidP="00630522">
      <w:pPr>
        <w:spacing w:after="0"/>
        <w:ind w:left="720"/>
      </w:pPr>
      <w:r>
        <w:lastRenderedPageBreak/>
        <w:t xml:space="preserve">b.  Participating nurses, </w:t>
      </w:r>
      <w:r w:rsidR="00630522">
        <w:t>staff</w:t>
      </w:r>
      <w:r>
        <w:t xml:space="preserve"> and contracted staff</w:t>
      </w:r>
      <w:r w:rsidR="00630522">
        <w:t xml:space="preserve"> must complete a training related to naloxone dispensing and administration</w:t>
      </w:r>
      <w:r w:rsidR="001071C2">
        <w:t xml:space="preserve"> and pass a Post Training evaluation with 80% or higher accuracy</w:t>
      </w:r>
      <w:r w:rsidR="00630522">
        <w:t>.</w:t>
      </w:r>
    </w:p>
    <w:p w:rsidR="00630522" w:rsidRDefault="00630522" w:rsidP="00630522">
      <w:pPr>
        <w:spacing w:after="0"/>
        <w:ind w:left="720"/>
      </w:pPr>
      <w:r>
        <w:t xml:space="preserve">c. </w:t>
      </w:r>
      <w:r w:rsidR="00E314C9">
        <w:t xml:space="preserve">Walworth County Drug and Alcohol Coalition </w:t>
      </w:r>
      <w:r w:rsidR="00CF0010">
        <w:t xml:space="preserve">or </w:t>
      </w:r>
      <w:r w:rsidR="007132FD">
        <w:t>Manager</w:t>
      </w:r>
      <w:r>
        <w:t xml:space="preserve"> must sign the standing order to attest that all dispensing staff have completed the required training and are familiar with naloxone rescue kits and the patient education materials. </w:t>
      </w:r>
    </w:p>
    <w:p w:rsidR="00630522" w:rsidRDefault="00630522" w:rsidP="00630522">
      <w:pPr>
        <w:spacing w:after="0"/>
        <w:ind w:left="720"/>
      </w:pPr>
      <w:r>
        <w:t>d.  The dispensing staff must educate the patient and distribute the patient education materials at the time of dispensing.</w:t>
      </w:r>
    </w:p>
    <w:p w:rsidR="00B146D1" w:rsidRDefault="00B146D1" w:rsidP="00B146D1">
      <w:pPr>
        <w:spacing w:after="0"/>
      </w:pPr>
    </w:p>
    <w:p w:rsidR="00B146D1" w:rsidRDefault="00B146D1" w:rsidP="00B146D1">
      <w:pPr>
        <w:spacing w:after="0"/>
        <w:jc w:val="center"/>
        <w:rPr>
          <w:b/>
        </w:rPr>
      </w:pPr>
      <w:r w:rsidRPr="00B146D1">
        <w:rPr>
          <w:b/>
        </w:rPr>
        <w:t>Naloxone HCI Dispensing Protocol</w:t>
      </w:r>
    </w:p>
    <w:p w:rsidR="00B146D1" w:rsidRPr="00B146D1" w:rsidRDefault="00B146D1" w:rsidP="00B146D1">
      <w:pPr>
        <w:spacing w:after="0"/>
      </w:pPr>
    </w:p>
    <w:tbl>
      <w:tblPr>
        <w:tblStyle w:val="TableGrid"/>
        <w:tblW w:w="9849" w:type="dxa"/>
        <w:tblInd w:w="175" w:type="dxa"/>
        <w:tblLook w:val="04A0" w:firstRow="1" w:lastRow="0" w:firstColumn="1" w:lastColumn="0" w:noHBand="0" w:noVBand="1"/>
      </w:tblPr>
      <w:tblGrid>
        <w:gridCol w:w="1832"/>
        <w:gridCol w:w="1260"/>
        <w:gridCol w:w="2460"/>
        <w:gridCol w:w="600"/>
        <w:gridCol w:w="3689"/>
        <w:gridCol w:w="8"/>
      </w:tblGrid>
      <w:tr w:rsidR="004B4565" w:rsidTr="002A73AB">
        <w:trPr>
          <w:gridAfter w:val="1"/>
          <w:wAfter w:w="8" w:type="dxa"/>
        </w:trPr>
        <w:tc>
          <w:tcPr>
            <w:tcW w:w="1832" w:type="dxa"/>
          </w:tcPr>
          <w:p w:rsidR="004B4565" w:rsidRPr="004B4565" w:rsidRDefault="004B4565" w:rsidP="00630522">
            <w:pPr>
              <w:rPr>
                <w:b/>
              </w:rPr>
            </w:pPr>
            <w:r>
              <w:rPr>
                <w:b/>
              </w:rPr>
              <w:t>Clinical Pharmacology Description</w:t>
            </w:r>
          </w:p>
        </w:tc>
        <w:tc>
          <w:tcPr>
            <w:tcW w:w="8009" w:type="dxa"/>
            <w:gridSpan w:val="4"/>
          </w:tcPr>
          <w:p w:rsidR="004B4565" w:rsidRDefault="004B4565" w:rsidP="00630522">
            <w:r>
              <w:t xml:space="preserve">Naloxone is indicated for the complete or partial reversal of opioid overdose induced by natural or synthetic opioids and exhibited by respiratory depression or unresponsiveness.  </w:t>
            </w:r>
            <w:r w:rsidRPr="004B4565">
              <w:rPr>
                <w:b/>
              </w:rPr>
              <w:t xml:space="preserve">It may be delivered as intranasal or intramuscular.  </w:t>
            </w:r>
          </w:p>
        </w:tc>
      </w:tr>
      <w:tr w:rsidR="004B4565" w:rsidTr="002A73AB">
        <w:trPr>
          <w:gridAfter w:val="1"/>
          <w:wAfter w:w="8" w:type="dxa"/>
        </w:trPr>
        <w:tc>
          <w:tcPr>
            <w:tcW w:w="1832" w:type="dxa"/>
          </w:tcPr>
          <w:p w:rsidR="004B4565" w:rsidRPr="00203F3D" w:rsidRDefault="00203F3D" w:rsidP="00630522">
            <w:pPr>
              <w:rPr>
                <w:b/>
              </w:rPr>
            </w:pPr>
            <w:r w:rsidRPr="00203F3D">
              <w:rPr>
                <w:b/>
              </w:rPr>
              <w:t>Eligible Candidates</w:t>
            </w:r>
          </w:p>
        </w:tc>
        <w:tc>
          <w:tcPr>
            <w:tcW w:w="8009" w:type="dxa"/>
            <w:gridSpan w:val="4"/>
          </w:tcPr>
          <w:p w:rsidR="004B4565" w:rsidRDefault="00203F3D" w:rsidP="00630522">
            <w:r>
              <w:t>People w</w:t>
            </w:r>
            <w:r w:rsidR="00BE41CF">
              <w:t>ho voluntarily request naloxone may include</w:t>
            </w:r>
            <w:r>
              <w:t>:</w:t>
            </w:r>
          </w:p>
          <w:p w:rsidR="00203F3D" w:rsidRDefault="00203F3D" w:rsidP="00203F3D">
            <w:pPr>
              <w:pStyle w:val="ListParagraph"/>
              <w:numPr>
                <w:ilvl w:val="0"/>
                <w:numId w:val="1"/>
              </w:numPr>
              <w:ind w:left="346" w:hanging="346"/>
            </w:pPr>
            <w:r>
              <w:t>Any individual who is at risk of experiencing an opioid-related overdose.</w:t>
            </w:r>
          </w:p>
          <w:p w:rsidR="00203F3D" w:rsidRDefault="00203F3D" w:rsidP="00203F3D">
            <w:pPr>
              <w:pStyle w:val="ListParagraph"/>
              <w:numPr>
                <w:ilvl w:val="0"/>
                <w:numId w:val="1"/>
              </w:numPr>
              <w:ind w:left="346"/>
            </w:pPr>
            <w:r>
              <w:t>Any family member, friend, or other person who may assist an individual at risk for an opioid-related overdose.</w:t>
            </w:r>
          </w:p>
          <w:p w:rsidR="008B364A" w:rsidRDefault="008B364A" w:rsidP="00203F3D">
            <w:pPr>
              <w:pStyle w:val="ListParagraph"/>
              <w:numPr>
                <w:ilvl w:val="0"/>
                <w:numId w:val="1"/>
              </w:numPr>
              <w:ind w:left="346"/>
            </w:pPr>
            <w:r>
              <w:t>Any trained Professional First Responder trained to assist an individual at risk for an opioid-related overdose,</w:t>
            </w:r>
          </w:p>
          <w:p w:rsidR="00203F3D" w:rsidRDefault="00203F3D" w:rsidP="00203F3D"/>
          <w:p w:rsidR="00203F3D" w:rsidRDefault="00BE41CF" w:rsidP="00203F3D">
            <w:r>
              <w:t xml:space="preserve">The following are </w:t>
            </w:r>
            <w:r w:rsidR="00203F3D">
              <w:t>additiona</w:t>
            </w:r>
            <w:r>
              <w:t>l individuals to offer naloxone to</w:t>
            </w:r>
            <w:r w:rsidR="00203F3D">
              <w:t>:</w:t>
            </w:r>
          </w:p>
          <w:p w:rsidR="00203F3D" w:rsidRDefault="00203F3D" w:rsidP="00203F3D">
            <w:pPr>
              <w:pStyle w:val="ListParagraph"/>
              <w:numPr>
                <w:ilvl w:val="0"/>
                <w:numId w:val="1"/>
              </w:numPr>
              <w:ind w:left="346"/>
            </w:pPr>
            <w:r>
              <w:t>Take prescription narcotic pain relievers for more than three months.</w:t>
            </w:r>
          </w:p>
          <w:p w:rsidR="00203F3D" w:rsidRDefault="00203F3D" w:rsidP="00203F3D">
            <w:pPr>
              <w:pStyle w:val="ListParagraph"/>
              <w:numPr>
                <w:ilvl w:val="0"/>
                <w:numId w:val="1"/>
              </w:numPr>
              <w:ind w:left="346"/>
            </w:pPr>
            <w:r>
              <w:t>Take methadone or buprenorphine (Suboxone or Subutex) for treatment of opioid use disorder.</w:t>
            </w:r>
          </w:p>
          <w:p w:rsidR="00203F3D" w:rsidRDefault="00203F3D" w:rsidP="00203F3D">
            <w:pPr>
              <w:pStyle w:val="ListParagraph"/>
              <w:numPr>
                <w:ilvl w:val="0"/>
                <w:numId w:val="1"/>
              </w:numPr>
              <w:ind w:left="346"/>
            </w:pPr>
            <w:r>
              <w:t>Have experienced a previous non-fatal opioid overdose.</w:t>
            </w:r>
          </w:p>
          <w:p w:rsidR="00203F3D" w:rsidRDefault="00203F3D" w:rsidP="00203F3D">
            <w:pPr>
              <w:pStyle w:val="ListParagraph"/>
              <w:numPr>
                <w:ilvl w:val="0"/>
                <w:numId w:val="1"/>
              </w:numPr>
              <w:ind w:left="346"/>
            </w:pPr>
            <w:r>
              <w:t xml:space="preserve">Have a </w:t>
            </w:r>
            <w:r w:rsidR="001179D6">
              <w:t>history</w:t>
            </w:r>
            <w:r>
              <w:t xml:space="preserve"> of nonmedical opioid use.</w:t>
            </w:r>
          </w:p>
          <w:p w:rsidR="00203F3D" w:rsidRDefault="00203F3D" w:rsidP="00203F3D">
            <w:pPr>
              <w:pStyle w:val="ListParagraph"/>
              <w:numPr>
                <w:ilvl w:val="0"/>
                <w:numId w:val="1"/>
              </w:numPr>
              <w:ind w:left="346"/>
            </w:pPr>
            <w:r>
              <w:t>Take a higher-dose (</w:t>
            </w:r>
            <w:r>
              <w:rPr>
                <w:u w:val="single"/>
              </w:rPr>
              <w:t>&gt;</w:t>
            </w:r>
            <w:r>
              <w:t xml:space="preserve"> 90 mg morphine equivalent/day) opioid prescription.</w:t>
            </w:r>
          </w:p>
          <w:p w:rsidR="00203F3D" w:rsidRDefault="00203F3D" w:rsidP="00203F3D">
            <w:pPr>
              <w:pStyle w:val="ListParagraph"/>
              <w:numPr>
                <w:ilvl w:val="0"/>
                <w:numId w:val="1"/>
              </w:numPr>
              <w:ind w:left="346"/>
            </w:pPr>
            <w:r>
              <w:t>Receive any opioid prescription for pain, plus:</w:t>
            </w:r>
          </w:p>
          <w:p w:rsidR="00203F3D" w:rsidRDefault="00203F3D" w:rsidP="00203F3D">
            <w:pPr>
              <w:pStyle w:val="ListParagraph"/>
              <w:numPr>
                <w:ilvl w:val="1"/>
                <w:numId w:val="1"/>
              </w:numPr>
            </w:pPr>
            <w:r>
              <w:t>Smoking, COPD, emphysema, asthma, sleep apnea, respiratory infection, other respiratory illness.</w:t>
            </w:r>
          </w:p>
          <w:p w:rsidR="00203F3D" w:rsidRDefault="00203F3D" w:rsidP="00203F3D">
            <w:pPr>
              <w:pStyle w:val="ListParagraph"/>
              <w:numPr>
                <w:ilvl w:val="1"/>
                <w:numId w:val="1"/>
              </w:numPr>
            </w:pPr>
            <w:r>
              <w:t>Renal dysfunction, hepatic disease, cardiac illness, HIVAIDS.</w:t>
            </w:r>
          </w:p>
          <w:p w:rsidR="00203F3D" w:rsidRDefault="00203F3D" w:rsidP="00203F3D">
            <w:pPr>
              <w:pStyle w:val="ListParagraph"/>
              <w:numPr>
                <w:ilvl w:val="1"/>
                <w:numId w:val="1"/>
              </w:numPr>
            </w:pPr>
            <w:r>
              <w:t>Have concurrent prescription for benzodiazepines.</w:t>
            </w:r>
          </w:p>
          <w:p w:rsidR="00203F3D" w:rsidRDefault="00203F3D" w:rsidP="00203F3D">
            <w:pPr>
              <w:pStyle w:val="ListParagraph"/>
              <w:numPr>
                <w:ilvl w:val="1"/>
                <w:numId w:val="1"/>
              </w:numPr>
            </w:pPr>
            <w:r>
              <w:t xml:space="preserve">Have concurrent prescription for </w:t>
            </w:r>
            <w:r w:rsidR="001179D6">
              <w:t>Selective</w:t>
            </w:r>
            <w:r>
              <w:t xml:space="preserve"> Serotonin Reuptake Inhibitor (SSRI) or Tricyclic antidepressant.</w:t>
            </w:r>
          </w:p>
          <w:p w:rsidR="00203F3D" w:rsidRDefault="00203F3D" w:rsidP="00203F3D">
            <w:pPr>
              <w:pStyle w:val="ListParagraph"/>
              <w:numPr>
                <w:ilvl w:val="1"/>
                <w:numId w:val="1"/>
              </w:numPr>
            </w:pPr>
            <w:r>
              <w:t>Have difficulty accessing emergency medical services (distance, remoteness).</w:t>
            </w:r>
          </w:p>
          <w:p w:rsidR="00203F3D" w:rsidRDefault="008B364A" w:rsidP="00203F3D">
            <w:pPr>
              <w:pStyle w:val="ListParagraph"/>
              <w:numPr>
                <w:ilvl w:val="0"/>
                <w:numId w:val="2"/>
              </w:numPr>
              <w:ind w:left="346"/>
            </w:pPr>
            <w:r>
              <w:t xml:space="preserve">Have a family member, </w:t>
            </w:r>
            <w:r w:rsidR="00203F3D">
              <w:t>friend</w:t>
            </w:r>
            <w:r>
              <w:t>, co-worker</w:t>
            </w:r>
            <w:r w:rsidR="00203F3D">
              <w:t xml:space="preserve"> that meets any of the above.</w:t>
            </w:r>
          </w:p>
          <w:p w:rsidR="00E50E99" w:rsidRDefault="00E50E99" w:rsidP="00203F3D">
            <w:pPr>
              <w:pStyle w:val="ListParagraph"/>
              <w:numPr>
                <w:ilvl w:val="0"/>
                <w:numId w:val="2"/>
              </w:numPr>
              <w:ind w:left="346"/>
            </w:pPr>
            <w:r>
              <w:t xml:space="preserve">Report no known contraindication, sensitivity, or allergy to naloxone hydrochloride.  If contraindication exists, refer individual to medical provider for evaluation.  </w:t>
            </w:r>
          </w:p>
          <w:p w:rsidR="00E50E99" w:rsidRDefault="00E50E99" w:rsidP="00203F3D">
            <w:pPr>
              <w:pStyle w:val="ListParagraph"/>
              <w:numPr>
                <w:ilvl w:val="0"/>
                <w:numId w:val="2"/>
              </w:numPr>
              <w:ind w:left="346"/>
            </w:pPr>
            <w:r>
              <w:t>Are oriented to person, place, and time and able to understand and learn the essential components of overdose response and naloxone administration.</w:t>
            </w:r>
          </w:p>
          <w:p w:rsidR="0076488B" w:rsidRDefault="0076488B" w:rsidP="0076488B">
            <w:pPr>
              <w:pStyle w:val="ListParagraph"/>
              <w:ind w:left="346"/>
            </w:pPr>
          </w:p>
        </w:tc>
      </w:tr>
      <w:tr w:rsidR="004B4565" w:rsidTr="002A73AB">
        <w:trPr>
          <w:gridAfter w:val="1"/>
          <w:wAfter w:w="8" w:type="dxa"/>
        </w:trPr>
        <w:tc>
          <w:tcPr>
            <w:tcW w:w="1832" w:type="dxa"/>
          </w:tcPr>
          <w:p w:rsidR="004B4565" w:rsidRPr="00E50E99" w:rsidRDefault="00E50E99" w:rsidP="00630522">
            <w:pPr>
              <w:rPr>
                <w:b/>
              </w:rPr>
            </w:pPr>
            <w:r>
              <w:rPr>
                <w:b/>
              </w:rPr>
              <w:t>Order to dispense</w:t>
            </w:r>
          </w:p>
        </w:tc>
        <w:tc>
          <w:tcPr>
            <w:tcW w:w="8009" w:type="dxa"/>
            <w:gridSpan w:val="4"/>
          </w:tcPr>
          <w:p w:rsidR="004B4565" w:rsidRDefault="00E50E99" w:rsidP="00630522">
            <w:r>
              <w:t>Upon satisfactory assessment that the person to receive the naloxone is a person at risk of experiencing an opioid-related overdose or an individual in a position to assist an individual at risk for overdose, and upon providing</w:t>
            </w:r>
            <w:r w:rsidR="00BE41CF">
              <w:t xml:space="preserve"> education and</w:t>
            </w:r>
            <w:r>
              <w:t xml:space="preserve"> consultation to </w:t>
            </w:r>
            <w:r>
              <w:lastRenderedPageBreak/>
              <w:t>that individual regarding recognizing and responding to suspected opioid overdose, deliver naloxone kits.</w:t>
            </w:r>
          </w:p>
          <w:p w:rsidR="00E50E99" w:rsidRDefault="00E50E99" w:rsidP="00630522"/>
          <w:p w:rsidR="00E50E99" w:rsidRDefault="00E50E99" w:rsidP="00630522">
            <w:r>
              <w:t>The specific naloxone f</w:t>
            </w:r>
            <w:r w:rsidR="00BE41CF">
              <w:t>ormulation shall be selected fro</w:t>
            </w:r>
            <w:r>
              <w:t>m the list below in accordance with the recipient’s performance and training to administer a particular formulation.</w:t>
            </w:r>
          </w:p>
          <w:p w:rsidR="00E50E99" w:rsidRDefault="00E50E99" w:rsidP="00630522"/>
        </w:tc>
      </w:tr>
      <w:tr w:rsidR="005B28CC" w:rsidTr="002A73AB">
        <w:trPr>
          <w:gridAfter w:val="1"/>
          <w:wAfter w:w="8" w:type="dxa"/>
          <w:trHeight w:val="270"/>
        </w:trPr>
        <w:tc>
          <w:tcPr>
            <w:tcW w:w="1832" w:type="dxa"/>
            <w:vMerge w:val="restart"/>
          </w:tcPr>
          <w:p w:rsidR="005B28CC" w:rsidRPr="00CE79EF" w:rsidRDefault="005B28CC" w:rsidP="00630522">
            <w:pPr>
              <w:rPr>
                <w:b/>
              </w:rPr>
            </w:pPr>
            <w:r>
              <w:rPr>
                <w:b/>
              </w:rPr>
              <w:lastRenderedPageBreak/>
              <w:t>Product and Quantity to be Dispensed</w:t>
            </w:r>
          </w:p>
        </w:tc>
        <w:tc>
          <w:tcPr>
            <w:tcW w:w="1260" w:type="dxa"/>
            <w:vMerge w:val="restart"/>
            <w:vAlign w:val="center"/>
          </w:tcPr>
          <w:p w:rsidR="005B28CC" w:rsidRPr="00CE79EF" w:rsidRDefault="005B28CC" w:rsidP="00CE79EF">
            <w:pPr>
              <w:jc w:val="center"/>
              <w:rPr>
                <w:b/>
              </w:rPr>
            </w:pPr>
            <w:r>
              <w:rPr>
                <w:b/>
              </w:rPr>
              <w:t>Medication</w:t>
            </w:r>
          </w:p>
        </w:tc>
        <w:tc>
          <w:tcPr>
            <w:tcW w:w="3060" w:type="dxa"/>
            <w:gridSpan w:val="2"/>
          </w:tcPr>
          <w:p w:rsidR="005B28CC" w:rsidRPr="00CE79EF" w:rsidRDefault="005B28CC" w:rsidP="000D45B1">
            <w:pPr>
              <w:jc w:val="center"/>
              <w:rPr>
                <w:b/>
              </w:rPr>
            </w:pPr>
            <w:r w:rsidRPr="00CE79EF">
              <w:rPr>
                <w:b/>
              </w:rPr>
              <w:t>Intramuscular</w:t>
            </w:r>
          </w:p>
        </w:tc>
        <w:tc>
          <w:tcPr>
            <w:tcW w:w="3689" w:type="dxa"/>
          </w:tcPr>
          <w:p w:rsidR="005B28CC" w:rsidRPr="00CE79EF" w:rsidRDefault="005B28CC" w:rsidP="00CE79EF">
            <w:pPr>
              <w:jc w:val="center"/>
              <w:rPr>
                <w:b/>
              </w:rPr>
            </w:pPr>
            <w:r>
              <w:rPr>
                <w:b/>
              </w:rPr>
              <w:t xml:space="preserve">Intranasal - </w:t>
            </w:r>
            <w:r w:rsidRPr="005549F7">
              <w:rPr>
                <w:b/>
              </w:rPr>
              <w:t>Ready to Use</w:t>
            </w:r>
          </w:p>
        </w:tc>
      </w:tr>
      <w:tr w:rsidR="005B28CC" w:rsidTr="002A73AB">
        <w:trPr>
          <w:gridAfter w:val="1"/>
          <w:wAfter w:w="8" w:type="dxa"/>
          <w:trHeight w:val="1215"/>
        </w:trPr>
        <w:tc>
          <w:tcPr>
            <w:tcW w:w="1832" w:type="dxa"/>
            <w:vMerge/>
          </w:tcPr>
          <w:p w:rsidR="005B28CC" w:rsidRDefault="005B28CC" w:rsidP="00630522">
            <w:pPr>
              <w:rPr>
                <w:b/>
              </w:rPr>
            </w:pPr>
          </w:p>
        </w:tc>
        <w:tc>
          <w:tcPr>
            <w:tcW w:w="1260" w:type="dxa"/>
            <w:vMerge/>
          </w:tcPr>
          <w:p w:rsidR="005B28CC" w:rsidRDefault="005B28CC" w:rsidP="00630522">
            <w:pPr>
              <w:rPr>
                <w:b/>
              </w:rPr>
            </w:pPr>
          </w:p>
        </w:tc>
        <w:tc>
          <w:tcPr>
            <w:tcW w:w="3060" w:type="dxa"/>
            <w:gridSpan w:val="2"/>
          </w:tcPr>
          <w:p w:rsidR="005B28CC" w:rsidRPr="00CE79EF" w:rsidRDefault="00021AB9" w:rsidP="00630522">
            <w:r>
              <w:t>Five</w:t>
            </w:r>
            <w:r w:rsidR="005B28CC">
              <w:t xml:space="preserve"> single-use 1 ml vials of naloxone hydrochloride (0.4 mg/ml)</w:t>
            </w:r>
          </w:p>
        </w:tc>
        <w:tc>
          <w:tcPr>
            <w:tcW w:w="3689" w:type="dxa"/>
          </w:tcPr>
          <w:p w:rsidR="005B28CC" w:rsidRPr="005549F7" w:rsidRDefault="005B28CC" w:rsidP="000D45B1">
            <w:pPr>
              <w:ind w:right="-104"/>
            </w:pPr>
            <w:r w:rsidRPr="005549F7">
              <w:t>Pre-packaged kits with two single-use spray devices containing Naloxone HCL (4 mg/0.1 ml)</w:t>
            </w:r>
          </w:p>
        </w:tc>
      </w:tr>
      <w:tr w:rsidR="005B28CC" w:rsidTr="002A73AB">
        <w:trPr>
          <w:gridAfter w:val="1"/>
          <w:wAfter w:w="8" w:type="dxa"/>
          <w:trHeight w:val="1185"/>
        </w:trPr>
        <w:tc>
          <w:tcPr>
            <w:tcW w:w="1832" w:type="dxa"/>
            <w:vMerge/>
          </w:tcPr>
          <w:p w:rsidR="005B28CC" w:rsidRDefault="005B28CC" w:rsidP="00630522">
            <w:pPr>
              <w:rPr>
                <w:b/>
              </w:rPr>
            </w:pPr>
          </w:p>
        </w:tc>
        <w:tc>
          <w:tcPr>
            <w:tcW w:w="1260" w:type="dxa"/>
            <w:vAlign w:val="center"/>
          </w:tcPr>
          <w:p w:rsidR="005B28CC" w:rsidRDefault="005B28CC" w:rsidP="00630522">
            <w:pPr>
              <w:rPr>
                <w:b/>
              </w:rPr>
            </w:pPr>
            <w:r>
              <w:rPr>
                <w:b/>
              </w:rPr>
              <w:t>Supplies</w:t>
            </w:r>
          </w:p>
        </w:tc>
        <w:tc>
          <w:tcPr>
            <w:tcW w:w="3060" w:type="dxa"/>
            <w:gridSpan w:val="2"/>
          </w:tcPr>
          <w:p w:rsidR="005B28CC" w:rsidRDefault="00021AB9" w:rsidP="005B28CC">
            <w:r>
              <w:t>Five</w:t>
            </w:r>
            <w:r w:rsidR="005B28CC">
              <w:t xml:space="preserve"> intramuscular needle syringes (3 m</w:t>
            </w:r>
            <w:r w:rsidR="00EE558B">
              <w:t>l</w:t>
            </w:r>
            <w:r w:rsidR="005B28CC">
              <w:t>, 25 G, 1 inch)</w:t>
            </w:r>
            <w:r w:rsidR="00BA549D">
              <w:t>,</w:t>
            </w:r>
          </w:p>
          <w:p w:rsidR="005B28CC" w:rsidRDefault="00D37683" w:rsidP="005B28CC">
            <w:r>
              <w:t xml:space="preserve">Non Latex </w:t>
            </w:r>
            <w:r w:rsidR="005B28CC">
              <w:t>Gloves</w:t>
            </w:r>
          </w:p>
          <w:p w:rsidR="00A624CE" w:rsidRDefault="00D37683" w:rsidP="00A624CE">
            <w:r>
              <w:t>Barrier Mask for mouth to mouth resuscitation</w:t>
            </w:r>
          </w:p>
          <w:p w:rsidR="0076488B" w:rsidRDefault="0076488B" w:rsidP="00A624CE"/>
        </w:tc>
        <w:tc>
          <w:tcPr>
            <w:tcW w:w="3689" w:type="dxa"/>
          </w:tcPr>
          <w:p w:rsidR="00D37683" w:rsidRDefault="00D37683" w:rsidP="00D37683">
            <w:r>
              <w:t>Non Latex Gloves</w:t>
            </w:r>
          </w:p>
          <w:p w:rsidR="005B28CC" w:rsidRPr="005549F7" w:rsidRDefault="00D37683" w:rsidP="00D37683">
            <w:pPr>
              <w:ind w:right="-104"/>
            </w:pPr>
            <w:r>
              <w:t>Barrier Mask for mouth to mouth resuscitation</w:t>
            </w:r>
          </w:p>
        </w:tc>
      </w:tr>
      <w:tr w:rsidR="00E50E99" w:rsidTr="002A73AB">
        <w:trPr>
          <w:gridAfter w:val="1"/>
          <w:wAfter w:w="8" w:type="dxa"/>
        </w:trPr>
        <w:tc>
          <w:tcPr>
            <w:tcW w:w="1832" w:type="dxa"/>
          </w:tcPr>
          <w:p w:rsidR="00E50E99" w:rsidRPr="00BF56F1" w:rsidRDefault="000B4553" w:rsidP="00630522">
            <w:pPr>
              <w:rPr>
                <w:b/>
              </w:rPr>
            </w:pPr>
            <w:r w:rsidRPr="00BF56F1">
              <w:rPr>
                <w:b/>
              </w:rPr>
              <w:t>Patient Handout</w:t>
            </w:r>
            <w:r w:rsidR="00BE41CF" w:rsidRPr="00BF56F1">
              <w:rPr>
                <w:b/>
              </w:rPr>
              <w:t>s</w:t>
            </w:r>
          </w:p>
        </w:tc>
        <w:tc>
          <w:tcPr>
            <w:tcW w:w="8009" w:type="dxa"/>
            <w:gridSpan w:val="4"/>
          </w:tcPr>
          <w:p w:rsidR="00E50E99" w:rsidRDefault="00BF56F1" w:rsidP="00875984">
            <w:pPr>
              <w:pStyle w:val="ListParagraph"/>
              <w:numPr>
                <w:ilvl w:val="0"/>
                <w:numId w:val="3"/>
              </w:numPr>
              <w:ind w:left="346"/>
            </w:pPr>
            <w:r>
              <w:rPr>
                <w:b/>
              </w:rPr>
              <w:t>S-C-A-R-E-M-E  h</w:t>
            </w:r>
            <w:r w:rsidR="00A414AF" w:rsidRPr="00A414AF">
              <w:rPr>
                <w:b/>
              </w:rPr>
              <w:t>andout</w:t>
            </w:r>
            <w:r w:rsidR="00A414AF">
              <w:t xml:space="preserve"> </w:t>
            </w:r>
            <w:r w:rsidR="007A014B">
              <w:rPr>
                <w:b/>
              </w:rPr>
              <w:t xml:space="preserve"> adapted f</w:t>
            </w:r>
            <w:r w:rsidR="00A414AF" w:rsidRPr="00BF56F1">
              <w:rPr>
                <w:b/>
              </w:rPr>
              <w:t>rom AIDS Resource Center of Wisconsin (ARCW).</w:t>
            </w:r>
            <w:r w:rsidR="00A414AF">
              <w:t xml:space="preserve">  Includes </w:t>
            </w:r>
            <w:r w:rsidR="00875984">
              <w:t>detail</w:t>
            </w:r>
            <w:r w:rsidR="00A414AF">
              <w:t>ed</w:t>
            </w:r>
            <w:r w:rsidR="00875984">
              <w:t xml:space="preserve"> steps to recognize, prevent, and triage emergency response for an opioid-related overdose.</w:t>
            </w:r>
          </w:p>
          <w:p w:rsidR="0083037B" w:rsidRDefault="00875984" w:rsidP="00A624CE">
            <w:pPr>
              <w:pStyle w:val="ListParagraph"/>
              <w:numPr>
                <w:ilvl w:val="0"/>
                <w:numId w:val="3"/>
              </w:numPr>
              <w:ind w:left="346"/>
            </w:pPr>
            <w:r w:rsidRPr="00875984">
              <w:t xml:space="preserve">Step-by-step instructions for responding to an overdose and administration of </w:t>
            </w:r>
            <w:r w:rsidR="0083037B">
              <w:t>intramuscular</w:t>
            </w:r>
            <w:r w:rsidR="007A014B">
              <w:t xml:space="preserve"> / Nasal </w:t>
            </w:r>
            <w:r w:rsidR="0083037B">
              <w:t xml:space="preserve"> </w:t>
            </w:r>
            <w:r w:rsidR="0083037B" w:rsidRPr="00BF56F1">
              <w:t xml:space="preserve">naloxone </w:t>
            </w:r>
            <w:r w:rsidR="00420EF8">
              <w:t xml:space="preserve"> </w:t>
            </w:r>
          </w:p>
          <w:p w:rsidR="00A624CE" w:rsidRPr="00A414AF" w:rsidRDefault="00A624CE" w:rsidP="00A624CE">
            <w:pPr>
              <w:pStyle w:val="ListParagraph"/>
              <w:numPr>
                <w:ilvl w:val="0"/>
                <w:numId w:val="3"/>
              </w:numPr>
              <w:ind w:left="346"/>
            </w:pPr>
            <w:r>
              <w:t>Optional: Frequently asked Questions, (materials required  for PDO or other funders)</w:t>
            </w:r>
          </w:p>
          <w:p w:rsidR="00A414AF" w:rsidRPr="00875984" w:rsidRDefault="00A414AF" w:rsidP="00A414AF">
            <w:pPr>
              <w:pStyle w:val="ListParagraph"/>
              <w:ind w:left="346"/>
            </w:pPr>
          </w:p>
        </w:tc>
      </w:tr>
      <w:tr w:rsidR="0083037B" w:rsidTr="00EA22E9">
        <w:tc>
          <w:tcPr>
            <w:tcW w:w="9849" w:type="dxa"/>
            <w:gridSpan w:val="6"/>
          </w:tcPr>
          <w:p w:rsidR="0083037B" w:rsidRPr="0083037B" w:rsidRDefault="0083037B" w:rsidP="0083037B">
            <w:pPr>
              <w:jc w:val="center"/>
              <w:rPr>
                <w:b/>
              </w:rPr>
            </w:pPr>
            <w:r>
              <w:rPr>
                <w:b/>
              </w:rPr>
              <w:t>Patient Education</w:t>
            </w:r>
          </w:p>
        </w:tc>
      </w:tr>
      <w:tr w:rsidR="0083037B" w:rsidTr="00EA22E9">
        <w:tc>
          <w:tcPr>
            <w:tcW w:w="9849" w:type="dxa"/>
            <w:gridSpan w:val="6"/>
          </w:tcPr>
          <w:p w:rsidR="0083037B" w:rsidRDefault="0083037B" w:rsidP="00630522">
            <w:r>
              <w:t>Provide client with information about different naloxone delivery options and ask what type they would like, depending on preference and availability.</w:t>
            </w:r>
            <w:r w:rsidR="002A73AB">
              <w:t xml:space="preserve"> Patient Education will be based upon recommendations from:     </w:t>
            </w:r>
          </w:p>
          <w:p w:rsidR="002A73AB" w:rsidRDefault="002A73AB" w:rsidP="002A73AB">
            <w:pPr>
              <w:pStyle w:val="ListParagraph"/>
              <w:numPr>
                <w:ilvl w:val="0"/>
                <w:numId w:val="10"/>
              </w:numPr>
            </w:pPr>
            <w:r>
              <w:t>SAMSHA Opioid Overdose Prevention Toolkit</w:t>
            </w:r>
          </w:p>
          <w:p w:rsidR="002A73AB" w:rsidRDefault="002A73AB" w:rsidP="002A73AB">
            <w:pPr>
              <w:pStyle w:val="ListParagraph"/>
              <w:numPr>
                <w:ilvl w:val="0"/>
                <w:numId w:val="10"/>
              </w:numPr>
            </w:pPr>
            <w:r>
              <w:t>S-C-A-R-E-M-E procedures adapted from AIDS Resource Center of WI</w:t>
            </w:r>
          </w:p>
          <w:p w:rsidR="002A73AB" w:rsidRDefault="002A73AB" w:rsidP="002A73AB">
            <w:pPr>
              <w:pStyle w:val="ListParagraph"/>
              <w:numPr>
                <w:ilvl w:val="0"/>
                <w:numId w:val="10"/>
              </w:numPr>
            </w:pPr>
            <w:r>
              <w:t>American Heart Association resuscitation procedures for Opiate Overdose</w:t>
            </w:r>
          </w:p>
          <w:p w:rsidR="0076488B" w:rsidRDefault="0076488B" w:rsidP="002A73AB">
            <w:pPr>
              <w:pStyle w:val="ListParagraph"/>
              <w:numPr>
                <w:ilvl w:val="0"/>
                <w:numId w:val="10"/>
              </w:numPr>
            </w:pPr>
            <w:r>
              <w:t>Guide to Developing  and Managing Overdose Prevention and Take-Home Naloxone Projects</w:t>
            </w:r>
          </w:p>
          <w:p w:rsidR="002A73AB" w:rsidRDefault="002A73AB" w:rsidP="00CF0010">
            <w:pPr>
              <w:pStyle w:val="ListParagraph"/>
            </w:pPr>
          </w:p>
        </w:tc>
      </w:tr>
      <w:tr w:rsidR="0083037B" w:rsidTr="00EA22E9">
        <w:tc>
          <w:tcPr>
            <w:tcW w:w="9849" w:type="dxa"/>
            <w:gridSpan w:val="6"/>
          </w:tcPr>
          <w:p w:rsidR="0083037B" w:rsidRDefault="0083037B" w:rsidP="00630522">
            <w:r>
              <w:t>Patient education regarding overdose recognition and naloxone administration should include:</w:t>
            </w:r>
          </w:p>
          <w:p w:rsidR="0083037B" w:rsidRDefault="0083037B" w:rsidP="0083037B">
            <w:pPr>
              <w:pStyle w:val="ListParagraph"/>
              <w:numPr>
                <w:ilvl w:val="0"/>
                <w:numId w:val="4"/>
              </w:numPr>
            </w:pPr>
            <w:r>
              <w:t>Review of risk factors for opioid overdose and possible prevention actions.</w:t>
            </w:r>
          </w:p>
          <w:p w:rsidR="0083037B" w:rsidRDefault="0083037B" w:rsidP="0083037B">
            <w:pPr>
              <w:pStyle w:val="ListParagraph"/>
              <w:numPr>
                <w:ilvl w:val="0"/>
                <w:numId w:val="4"/>
              </w:numPr>
            </w:pPr>
            <w:r>
              <w:t>Recognition of opioid overdose:  Call 911 as soon as possible for a person suspected of an opioid overdose with respiratory depression or unresponsiveness</w:t>
            </w:r>
            <w:r w:rsidRPr="00BF56F1">
              <w:t>.  See</w:t>
            </w:r>
            <w:r w:rsidR="00BF56F1">
              <w:t xml:space="preserve"> </w:t>
            </w:r>
            <w:r w:rsidR="00BF56F1" w:rsidRPr="00BF56F1">
              <w:rPr>
                <w:b/>
              </w:rPr>
              <w:t>S-C-A-R-E-M-E handout</w:t>
            </w:r>
            <w:r>
              <w:t xml:space="preserve"> for how to </w:t>
            </w:r>
            <w:r w:rsidR="00BF56F1">
              <w:t>recognize an overdose and recovery</w:t>
            </w:r>
            <w:r>
              <w:t xml:space="preserve"> position.</w:t>
            </w:r>
          </w:p>
          <w:p w:rsidR="0083037B" w:rsidRPr="00BA549D" w:rsidRDefault="0083037B" w:rsidP="0083037B">
            <w:pPr>
              <w:pStyle w:val="ListParagraph"/>
              <w:numPr>
                <w:ilvl w:val="0"/>
                <w:numId w:val="4"/>
              </w:numPr>
            </w:pPr>
            <w:r>
              <w:t>Initiate rescue breathing</w:t>
            </w:r>
            <w:r w:rsidRPr="00BF56F1">
              <w:t>.  See</w:t>
            </w:r>
            <w:r w:rsidR="00BF56F1" w:rsidRPr="00BF56F1">
              <w:t xml:space="preserve"> </w:t>
            </w:r>
            <w:r w:rsidR="00BF56F1" w:rsidRPr="00BF56F1">
              <w:rPr>
                <w:b/>
              </w:rPr>
              <w:t>S</w:t>
            </w:r>
            <w:r w:rsidR="00BF56F1">
              <w:rPr>
                <w:b/>
              </w:rPr>
              <w:t>-</w:t>
            </w:r>
            <w:r w:rsidR="00BF56F1" w:rsidRPr="00BF56F1">
              <w:rPr>
                <w:b/>
              </w:rPr>
              <w:t>C</w:t>
            </w:r>
            <w:r w:rsidR="00BF56F1">
              <w:rPr>
                <w:b/>
              </w:rPr>
              <w:t>-</w:t>
            </w:r>
            <w:r w:rsidR="00BF56F1" w:rsidRPr="00BF56F1">
              <w:rPr>
                <w:b/>
              </w:rPr>
              <w:t>A</w:t>
            </w:r>
            <w:r w:rsidR="00BF56F1">
              <w:rPr>
                <w:b/>
              </w:rPr>
              <w:t>-</w:t>
            </w:r>
            <w:r w:rsidR="00BF56F1" w:rsidRPr="00BF56F1">
              <w:rPr>
                <w:b/>
              </w:rPr>
              <w:t>R</w:t>
            </w:r>
            <w:r w:rsidR="00BF56F1">
              <w:rPr>
                <w:b/>
              </w:rPr>
              <w:t>-</w:t>
            </w:r>
            <w:r w:rsidR="00BF56F1" w:rsidRPr="00BF56F1">
              <w:rPr>
                <w:b/>
              </w:rPr>
              <w:t>E</w:t>
            </w:r>
            <w:r w:rsidR="00BF56F1">
              <w:rPr>
                <w:b/>
              </w:rPr>
              <w:t>-</w:t>
            </w:r>
            <w:r w:rsidR="00BF56F1" w:rsidRPr="00BF56F1">
              <w:rPr>
                <w:b/>
              </w:rPr>
              <w:t>M</w:t>
            </w:r>
            <w:r w:rsidR="00BF56F1">
              <w:rPr>
                <w:b/>
              </w:rPr>
              <w:t>-</w:t>
            </w:r>
            <w:r w:rsidR="00BF56F1" w:rsidRPr="00BF56F1">
              <w:rPr>
                <w:b/>
              </w:rPr>
              <w:t>E handout</w:t>
            </w:r>
            <w:r w:rsidR="00BF56F1">
              <w:t xml:space="preserve"> </w:t>
            </w:r>
            <w:r w:rsidR="00BF56F1" w:rsidRPr="00BA549D">
              <w:t>or</w:t>
            </w:r>
            <w:r w:rsidRPr="00BA549D">
              <w:t xml:space="preserve"> </w:t>
            </w:r>
            <w:r w:rsidR="00420EF8">
              <w:t xml:space="preserve">Step by Step: </w:t>
            </w:r>
            <w:r w:rsidRPr="00BA549D">
              <w:rPr>
                <w:b/>
              </w:rPr>
              <w:t xml:space="preserve">How to Respond to an Overdose and How to </w:t>
            </w:r>
            <w:r w:rsidRPr="00BA549D">
              <w:t>Give Naloxone handout.</w:t>
            </w:r>
          </w:p>
          <w:p w:rsidR="0083037B" w:rsidRPr="00420EF8" w:rsidRDefault="0083037B" w:rsidP="00BA549D">
            <w:pPr>
              <w:pStyle w:val="ListParagraph"/>
              <w:numPr>
                <w:ilvl w:val="0"/>
                <w:numId w:val="4"/>
              </w:numPr>
            </w:pPr>
            <w:r w:rsidRPr="00BA549D">
              <w:t xml:space="preserve">Administer naloxone as follows:  </w:t>
            </w:r>
            <w:r w:rsidR="00BA549D" w:rsidRPr="00BA549D">
              <w:t xml:space="preserve">See </w:t>
            </w:r>
            <w:r w:rsidR="00BA549D" w:rsidRPr="00BA549D">
              <w:rPr>
                <w:b/>
              </w:rPr>
              <w:t>S-C-A-R-E-M-E handout</w:t>
            </w:r>
            <w:r w:rsidR="00BA549D" w:rsidRPr="00BA549D">
              <w:t xml:space="preserve"> or </w:t>
            </w:r>
            <w:r w:rsidR="00420EF8">
              <w:t xml:space="preserve">Step by Step: </w:t>
            </w:r>
            <w:r w:rsidR="00BA549D" w:rsidRPr="00BA549D">
              <w:rPr>
                <w:b/>
              </w:rPr>
              <w:t>How to Respond to an Overdose and How to Give Naloxone handout.</w:t>
            </w:r>
          </w:p>
          <w:p w:rsidR="00420EF8" w:rsidRDefault="00420EF8" w:rsidP="00420EF8">
            <w:pPr>
              <w:pStyle w:val="ListParagraph"/>
            </w:pPr>
          </w:p>
          <w:p w:rsidR="00CF0010" w:rsidRPr="00C94828" w:rsidRDefault="00CF0010" w:rsidP="00420EF8">
            <w:pPr>
              <w:pStyle w:val="ListParagraph"/>
            </w:pPr>
          </w:p>
          <w:p w:rsidR="00C94828" w:rsidRDefault="00C94828" w:rsidP="00C94828">
            <w:pPr>
              <w:pStyle w:val="ListParagraph"/>
            </w:pPr>
          </w:p>
        </w:tc>
      </w:tr>
      <w:tr w:rsidR="009377E2" w:rsidTr="00EA22E9">
        <w:trPr>
          <w:gridAfter w:val="1"/>
          <w:wAfter w:w="8" w:type="dxa"/>
          <w:trHeight w:val="270"/>
        </w:trPr>
        <w:tc>
          <w:tcPr>
            <w:tcW w:w="1832" w:type="dxa"/>
            <w:vMerge w:val="restart"/>
          </w:tcPr>
          <w:p w:rsidR="009377E2" w:rsidRPr="009377E2" w:rsidRDefault="009377E2" w:rsidP="00630522">
            <w:pPr>
              <w:rPr>
                <w:b/>
              </w:rPr>
            </w:pPr>
            <w:r w:rsidRPr="009377E2">
              <w:rPr>
                <w:b/>
              </w:rPr>
              <w:lastRenderedPageBreak/>
              <w:t>Medication Administration Instructions</w:t>
            </w:r>
          </w:p>
        </w:tc>
        <w:tc>
          <w:tcPr>
            <w:tcW w:w="3720" w:type="dxa"/>
            <w:gridSpan w:val="2"/>
          </w:tcPr>
          <w:p w:rsidR="009377E2" w:rsidRPr="009377E2" w:rsidRDefault="009377E2" w:rsidP="009377E2">
            <w:pPr>
              <w:jc w:val="center"/>
              <w:rPr>
                <w:b/>
              </w:rPr>
            </w:pPr>
            <w:r>
              <w:rPr>
                <w:b/>
              </w:rPr>
              <w:t>Intramuscular</w:t>
            </w:r>
          </w:p>
        </w:tc>
        <w:tc>
          <w:tcPr>
            <w:tcW w:w="4289" w:type="dxa"/>
            <w:gridSpan w:val="2"/>
          </w:tcPr>
          <w:p w:rsidR="009377E2" w:rsidRDefault="009377E2" w:rsidP="009377E2">
            <w:pPr>
              <w:jc w:val="center"/>
              <w:rPr>
                <w:b/>
              </w:rPr>
            </w:pPr>
            <w:r>
              <w:rPr>
                <w:b/>
              </w:rPr>
              <w:t>Intranasal</w:t>
            </w:r>
          </w:p>
          <w:p w:rsidR="009377E2" w:rsidRPr="009377E2" w:rsidRDefault="009377E2" w:rsidP="009377E2">
            <w:pPr>
              <w:jc w:val="center"/>
              <w:rPr>
                <w:b/>
              </w:rPr>
            </w:pPr>
            <w:r>
              <w:rPr>
                <w:b/>
              </w:rPr>
              <w:t>Ready to Use</w:t>
            </w:r>
          </w:p>
        </w:tc>
      </w:tr>
      <w:tr w:rsidR="009377E2" w:rsidTr="00EA22E9">
        <w:trPr>
          <w:gridAfter w:val="1"/>
          <w:wAfter w:w="8" w:type="dxa"/>
          <w:trHeight w:val="525"/>
        </w:trPr>
        <w:tc>
          <w:tcPr>
            <w:tcW w:w="1832" w:type="dxa"/>
            <w:vMerge/>
          </w:tcPr>
          <w:p w:rsidR="009377E2" w:rsidRPr="009377E2" w:rsidRDefault="009377E2" w:rsidP="00630522">
            <w:pPr>
              <w:rPr>
                <w:b/>
              </w:rPr>
            </w:pPr>
          </w:p>
        </w:tc>
        <w:tc>
          <w:tcPr>
            <w:tcW w:w="3720" w:type="dxa"/>
            <w:gridSpan w:val="2"/>
          </w:tcPr>
          <w:p w:rsidR="009377E2" w:rsidRPr="009377E2" w:rsidRDefault="009377E2" w:rsidP="009377E2">
            <w:pPr>
              <w:pStyle w:val="ListParagraph"/>
              <w:numPr>
                <w:ilvl w:val="0"/>
                <w:numId w:val="5"/>
              </w:numPr>
              <w:ind w:left="256"/>
              <w:rPr>
                <w:b/>
              </w:rPr>
            </w:pPr>
            <w:r>
              <w:t>Uncap the naloxone vial and uncap the muscle needle syringe.</w:t>
            </w:r>
          </w:p>
          <w:p w:rsidR="009377E2" w:rsidRPr="006C41A5" w:rsidRDefault="009377E2" w:rsidP="009377E2">
            <w:pPr>
              <w:pStyle w:val="ListParagraph"/>
              <w:numPr>
                <w:ilvl w:val="0"/>
                <w:numId w:val="5"/>
              </w:numPr>
              <w:ind w:left="256"/>
              <w:rPr>
                <w:b/>
              </w:rPr>
            </w:pPr>
            <w:r>
              <w:t>Insert the muscle needle through the rubber membrane on the naloxone vial, turn the vial upside down, draw up 1 cc of naloxone liqui</w:t>
            </w:r>
            <w:r w:rsidR="006C41A5">
              <w:t>d into the syringe, and withdraw the needle from the vial.</w:t>
            </w:r>
          </w:p>
          <w:p w:rsidR="006C41A5" w:rsidRPr="006C41A5" w:rsidRDefault="006C41A5" w:rsidP="009377E2">
            <w:pPr>
              <w:pStyle w:val="ListParagraph"/>
              <w:numPr>
                <w:ilvl w:val="0"/>
                <w:numId w:val="5"/>
              </w:numPr>
              <w:ind w:left="256"/>
              <w:rPr>
                <w:b/>
              </w:rPr>
            </w:pPr>
            <w:r>
              <w:t>If time allows, open alcohol wipe and rub the area where the injection will be administered.</w:t>
            </w:r>
          </w:p>
          <w:p w:rsidR="006C41A5" w:rsidRPr="006C41A5" w:rsidRDefault="006C41A5" w:rsidP="009377E2">
            <w:pPr>
              <w:pStyle w:val="ListParagraph"/>
              <w:numPr>
                <w:ilvl w:val="0"/>
                <w:numId w:val="5"/>
              </w:numPr>
              <w:ind w:left="256"/>
              <w:rPr>
                <w:b/>
              </w:rPr>
            </w:pPr>
            <w:r>
              <w:t xml:space="preserve">Insert the needle into the muscle of the upper arm or thigh of the victim, </w:t>
            </w:r>
            <w:r w:rsidR="009465F8">
              <w:t xml:space="preserve">at a 90 degree angle to the skin, </w:t>
            </w:r>
            <w:r>
              <w:t xml:space="preserve">through clothing </w:t>
            </w:r>
            <w:r w:rsidRPr="00D65519">
              <w:t xml:space="preserve">if </w:t>
            </w:r>
            <w:r w:rsidR="00D65519" w:rsidRPr="00D65519">
              <w:t>needed</w:t>
            </w:r>
            <w:r>
              <w:t>, and push on the plunger to inject the naloxone.</w:t>
            </w:r>
          </w:p>
          <w:p w:rsidR="00726F1E" w:rsidRPr="00420EF8" w:rsidRDefault="006C41A5" w:rsidP="00420EF8">
            <w:pPr>
              <w:pStyle w:val="ListParagraph"/>
              <w:numPr>
                <w:ilvl w:val="0"/>
                <w:numId w:val="5"/>
              </w:numPr>
              <w:ind w:left="256"/>
              <w:rPr>
                <w:b/>
              </w:rPr>
            </w:pPr>
            <w:r>
              <w:t xml:space="preserve">If there is no response after </w:t>
            </w:r>
            <w:r w:rsidR="00420EF8">
              <w:t>two (2)-</w:t>
            </w:r>
            <w:r>
              <w:t>three (3) minutes, repeat the injection.</w:t>
            </w:r>
          </w:p>
        </w:tc>
        <w:tc>
          <w:tcPr>
            <w:tcW w:w="4289" w:type="dxa"/>
            <w:gridSpan w:val="2"/>
          </w:tcPr>
          <w:p w:rsidR="009377E2" w:rsidRPr="006C41A5" w:rsidRDefault="006C41A5" w:rsidP="006C41A5">
            <w:pPr>
              <w:pStyle w:val="ListParagraph"/>
              <w:numPr>
                <w:ilvl w:val="0"/>
                <w:numId w:val="6"/>
              </w:numPr>
              <w:ind w:left="316"/>
              <w:rPr>
                <w:b/>
              </w:rPr>
            </w:pPr>
            <w:r>
              <w:t>Peel back package to remove the device.</w:t>
            </w:r>
          </w:p>
          <w:p w:rsidR="006C41A5" w:rsidRPr="006C41A5" w:rsidRDefault="006C41A5" w:rsidP="006C41A5">
            <w:pPr>
              <w:pStyle w:val="ListParagraph"/>
              <w:numPr>
                <w:ilvl w:val="0"/>
                <w:numId w:val="6"/>
              </w:numPr>
              <w:ind w:left="316"/>
              <w:rPr>
                <w:b/>
              </w:rPr>
            </w:pPr>
            <w:r>
              <w:t xml:space="preserve">Place the tip of nozzle in either </w:t>
            </w:r>
            <w:r w:rsidR="001179D6">
              <w:t>nostril</w:t>
            </w:r>
            <w:r>
              <w:t>.</w:t>
            </w:r>
          </w:p>
          <w:p w:rsidR="009465F8" w:rsidRPr="009465F8" w:rsidRDefault="009465F8" w:rsidP="006C41A5">
            <w:pPr>
              <w:pStyle w:val="ListParagraph"/>
              <w:numPr>
                <w:ilvl w:val="0"/>
                <w:numId w:val="6"/>
              </w:numPr>
              <w:ind w:left="316"/>
              <w:rPr>
                <w:b/>
              </w:rPr>
            </w:pPr>
            <w:r>
              <w:t>Extend the patient’s head (as appropriate and safe for both patient and rescue provider.</w:t>
            </w:r>
          </w:p>
          <w:p w:rsidR="006C41A5" w:rsidRPr="006C41A5" w:rsidRDefault="006C41A5" w:rsidP="006C41A5">
            <w:pPr>
              <w:pStyle w:val="ListParagraph"/>
              <w:numPr>
                <w:ilvl w:val="0"/>
                <w:numId w:val="6"/>
              </w:numPr>
              <w:ind w:left="316"/>
              <w:rPr>
                <w:b/>
              </w:rPr>
            </w:pPr>
            <w:r>
              <w:t>Press plunger firmly to release the dose into patient’s nose.</w:t>
            </w:r>
          </w:p>
          <w:p w:rsidR="006C41A5" w:rsidRPr="006C41A5" w:rsidRDefault="006C41A5" w:rsidP="00420EF8">
            <w:pPr>
              <w:pStyle w:val="ListParagraph"/>
              <w:numPr>
                <w:ilvl w:val="0"/>
                <w:numId w:val="6"/>
              </w:numPr>
              <w:ind w:left="316"/>
              <w:rPr>
                <w:b/>
              </w:rPr>
            </w:pPr>
            <w:r>
              <w:t>If there is no response, after two</w:t>
            </w:r>
            <w:r w:rsidR="00420EF8">
              <w:t xml:space="preserve"> (2)</w:t>
            </w:r>
            <w:r>
              <w:t xml:space="preserve"> to thre</w:t>
            </w:r>
            <w:r w:rsidR="00420EF8">
              <w:t>e (3)</w:t>
            </w:r>
            <w:r>
              <w:t xml:space="preserve"> minutes, give an ad</w:t>
            </w:r>
            <w:r w:rsidR="005446A5">
              <w:t>ditional dose of nasal spray using a new device.</w:t>
            </w:r>
          </w:p>
        </w:tc>
      </w:tr>
      <w:tr w:rsidR="009377E2" w:rsidTr="00EA22E9">
        <w:trPr>
          <w:gridAfter w:val="1"/>
          <w:wAfter w:w="8" w:type="dxa"/>
        </w:trPr>
        <w:tc>
          <w:tcPr>
            <w:tcW w:w="1832" w:type="dxa"/>
          </w:tcPr>
          <w:p w:rsidR="009377E2" w:rsidRDefault="009377E2" w:rsidP="00630522"/>
        </w:tc>
        <w:tc>
          <w:tcPr>
            <w:tcW w:w="8009" w:type="dxa"/>
            <w:gridSpan w:val="4"/>
          </w:tcPr>
          <w:p w:rsidR="009377E2" w:rsidRDefault="005446A5" w:rsidP="009465F8">
            <w:r w:rsidRPr="005446A5">
              <w:rPr>
                <w:b/>
              </w:rPr>
              <w:t>SPECIAL NOTE:</w:t>
            </w:r>
            <w:r>
              <w:t xml:space="preserve">  Sometimes more than one dose is needed.  If there is no reaction in two to three minutes, give a </w:t>
            </w:r>
            <w:r w:rsidR="009465F8">
              <w:t xml:space="preserve">additional </w:t>
            </w:r>
            <w:r>
              <w:t>dose</w:t>
            </w:r>
            <w:r w:rsidR="009465F8">
              <w:t>s</w:t>
            </w:r>
            <w:r>
              <w:t>.</w:t>
            </w:r>
          </w:p>
        </w:tc>
      </w:tr>
      <w:tr w:rsidR="00B64A32" w:rsidTr="00EA22E9">
        <w:tc>
          <w:tcPr>
            <w:tcW w:w="1832" w:type="dxa"/>
          </w:tcPr>
          <w:p w:rsidR="00B64A32" w:rsidRPr="00B64A32" w:rsidRDefault="00B64A32" w:rsidP="00630522">
            <w:pPr>
              <w:rPr>
                <w:b/>
              </w:rPr>
            </w:pPr>
            <w:r w:rsidRPr="00B64A32">
              <w:rPr>
                <w:b/>
              </w:rPr>
              <w:t>After Naloxone Administration</w:t>
            </w:r>
          </w:p>
        </w:tc>
        <w:tc>
          <w:tcPr>
            <w:tcW w:w="8017" w:type="dxa"/>
            <w:gridSpan w:val="5"/>
          </w:tcPr>
          <w:p w:rsidR="00B64A32" w:rsidRDefault="00B64A32" w:rsidP="00B64A32">
            <w:pPr>
              <w:pStyle w:val="ListParagraph"/>
              <w:numPr>
                <w:ilvl w:val="0"/>
                <w:numId w:val="7"/>
              </w:numPr>
              <w:ind w:left="316"/>
            </w:pPr>
            <w:r>
              <w:t>Continue rescue breathing and monitor respiration and responsiveness of the naloxone recipient until emergency help arrives.</w:t>
            </w:r>
          </w:p>
          <w:p w:rsidR="00B64A32" w:rsidRDefault="00B64A32" w:rsidP="00B64A32">
            <w:pPr>
              <w:pStyle w:val="ListParagraph"/>
              <w:numPr>
                <w:ilvl w:val="0"/>
                <w:numId w:val="7"/>
              </w:numPr>
              <w:ind w:left="316"/>
            </w:pPr>
            <w:r>
              <w:t>Once overdose victim is breathing again, put in recovery position</w:t>
            </w:r>
            <w:r w:rsidR="00021AB9">
              <w:t xml:space="preserve"> and continue to monitor</w:t>
            </w:r>
            <w:r>
              <w:t>.</w:t>
            </w:r>
          </w:p>
          <w:p w:rsidR="00B64A32" w:rsidRDefault="00B64A32" w:rsidP="00B64A32">
            <w:pPr>
              <w:pStyle w:val="ListParagraph"/>
              <w:numPr>
                <w:ilvl w:val="0"/>
                <w:numId w:val="7"/>
              </w:numPr>
              <w:ind w:left="316"/>
            </w:pPr>
            <w:r>
              <w:t xml:space="preserve">Make sure </w:t>
            </w:r>
            <w:r w:rsidR="00021AB9">
              <w:t>victim</w:t>
            </w:r>
            <w:r>
              <w:t xml:space="preserve"> do</w:t>
            </w:r>
            <w:r w:rsidR="00021AB9">
              <w:t>es</w:t>
            </w:r>
            <w:r>
              <w:t xml:space="preserve"> not take more opi</w:t>
            </w:r>
            <w:r w:rsidR="00021AB9">
              <w:t>ate</w:t>
            </w:r>
            <w:r>
              <w:t>s even if they do not feel well.</w:t>
            </w:r>
          </w:p>
          <w:p w:rsidR="00726F1E" w:rsidRDefault="009465F8" w:rsidP="0076488B">
            <w:pPr>
              <w:pStyle w:val="ListParagraph"/>
              <w:numPr>
                <w:ilvl w:val="0"/>
                <w:numId w:val="7"/>
              </w:numPr>
              <w:ind w:left="316"/>
            </w:pPr>
            <w:r>
              <w:t>Provide hand off information to Rescue Professionals when they arrive.</w:t>
            </w:r>
          </w:p>
        </w:tc>
      </w:tr>
      <w:tr w:rsidR="00B64A32" w:rsidTr="00EA22E9">
        <w:tc>
          <w:tcPr>
            <w:tcW w:w="1832" w:type="dxa"/>
          </w:tcPr>
          <w:p w:rsidR="00B64A32" w:rsidRPr="00B64A32" w:rsidRDefault="00B64A32" w:rsidP="00630522">
            <w:pPr>
              <w:rPr>
                <w:b/>
              </w:rPr>
            </w:pPr>
            <w:r w:rsidRPr="00B64A32">
              <w:rPr>
                <w:b/>
              </w:rPr>
              <w:t>Contraindications</w:t>
            </w:r>
          </w:p>
        </w:tc>
        <w:tc>
          <w:tcPr>
            <w:tcW w:w="8017" w:type="dxa"/>
            <w:gridSpan w:val="5"/>
          </w:tcPr>
          <w:p w:rsidR="00B64A32" w:rsidRDefault="00B64A32" w:rsidP="00630522">
            <w:r>
              <w:t>Patients known to be hypersensitive to naloxone hydrochloride.</w:t>
            </w:r>
          </w:p>
        </w:tc>
      </w:tr>
      <w:tr w:rsidR="00B64A32" w:rsidTr="00EA22E9">
        <w:tc>
          <w:tcPr>
            <w:tcW w:w="1832" w:type="dxa"/>
          </w:tcPr>
          <w:p w:rsidR="00B64A32" w:rsidRPr="00B64A32" w:rsidRDefault="00B64A32" w:rsidP="00630522">
            <w:pPr>
              <w:rPr>
                <w:b/>
              </w:rPr>
            </w:pPr>
            <w:r w:rsidRPr="00B64A32">
              <w:rPr>
                <w:b/>
              </w:rPr>
              <w:t>Precautions</w:t>
            </w:r>
          </w:p>
        </w:tc>
        <w:tc>
          <w:tcPr>
            <w:tcW w:w="8017" w:type="dxa"/>
            <w:gridSpan w:val="5"/>
          </w:tcPr>
          <w:p w:rsidR="00B64A32" w:rsidRDefault="00B64A32" w:rsidP="00B64A32">
            <w:pPr>
              <w:pStyle w:val="ListParagraph"/>
              <w:numPr>
                <w:ilvl w:val="0"/>
                <w:numId w:val="8"/>
              </w:numPr>
              <w:ind w:left="316"/>
            </w:pPr>
            <w:r>
              <w:t>Risk of recurrent respiratory depression:</w:t>
            </w:r>
            <w:r w:rsidR="007D500D">
              <w:t xml:space="preserve"> </w:t>
            </w:r>
            <w:r>
              <w:t xml:space="preserve"> duration of action of opioids may </w:t>
            </w:r>
            <w:r w:rsidR="001179D6">
              <w:t>exceed</w:t>
            </w:r>
            <w:r>
              <w:t xml:space="preserve"> that of naloxone resulting in return of respiratory depression – medical attention should be sought immediately when responding to a suspected overdose.</w:t>
            </w:r>
          </w:p>
          <w:p w:rsidR="00B64A32" w:rsidRDefault="00B64A32" w:rsidP="00B64A32">
            <w:pPr>
              <w:pStyle w:val="ListParagraph"/>
              <w:numPr>
                <w:ilvl w:val="0"/>
                <w:numId w:val="8"/>
              </w:numPr>
              <w:ind w:left="316"/>
            </w:pPr>
            <w:r>
              <w:t xml:space="preserve">Precipitation of opioid withdrawal: </w:t>
            </w:r>
            <w:r w:rsidR="007D500D">
              <w:t xml:space="preserve"> </w:t>
            </w:r>
            <w:r>
              <w:t>adverse reactions are related to re</w:t>
            </w:r>
            <w:r w:rsidR="00A342C4">
              <w:t>versing dependency and precipitating withdrawal and include fever, hypertension, tachycardia, agitation, restlessness, diarrhea, nausea/vomiting, myalgia, diaphoresis, abdominal cramping, yawning, and sneezing.</w:t>
            </w:r>
          </w:p>
          <w:p w:rsidR="00A342C4" w:rsidRDefault="00A342C4" w:rsidP="00A342C4">
            <w:pPr>
              <w:pStyle w:val="ListParagraph"/>
              <w:numPr>
                <w:ilvl w:val="1"/>
                <w:numId w:val="8"/>
              </w:numPr>
            </w:pPr>
            <w:r>
              <w:t>These symptoms may appear within minutes of Naloxone administration.</w:t>
            </w:r>
          </w:p>
          <w:p w:rsidR="00A342C4" w:rsidRDefault="00A342C4" w:rsidP="00A342C4">
            <w:pPr>
              <w:pStyle w:val="ListParagraph"/>
              <w:numPr>
                <w:ilvl w:val="1"/>
                <w:numId w:val="8"/>
              </w:numPr>
            </w:pPr>
            <w:r>
              <w:t>The severity and duration of the withdrawal syndrome is related to the dose of Naloxone and the degree of opioid dependence.  Adverse effects beyond opioid withdrawal are rare.</w:t>
            </w:r>
          </w:p>
          <w:p w:rsidR="00A342C4" w:rsidRDefault="00A342C4" w:rsidP="00A342C4">
            <w:pPr>
              <w:pStyle w:val="ListParagraph"/>
              <w:numPr>
                <w:ilvl w:val="0"/>
                <w:numId w:val="8"/>
              </w:numPr>
              <w:ind w:left="316"/>
            </w:pPr>
            <w:r>
              <w:t>Naloxone crosses the placenta, and may precipitate withdrawal in the fetus.  The fetus should be evaluated for signs of distress after naloxone is used.  Naloxone should only be used in pregnant women with opioid dependence in situations of life-threatening overdose.</w:t>
            </w:r>
          </w:p>
        </w:tc>
      </w:tr>
      <w:tr w:rsidR="00B64A32" w:rsidTr="00EA22E9">
        <w:tc>
          <w:tcPr>
            <w:tcW w:w="1832" w:type="dxa"/>
          </w:tcPr>
          <w:p w:rsidR="00B64A32" w:rsidRPr="00B64A32" w:rsidRDefault="00A342C4" w:rsidP="00630522">
            <w:pPr>
              <w:rPr>
                <w:b/>
              </w:rPr>
            </w:pPr>
            <w:r>
              <w:rPr>
                <w:b/>
              </w:rPr>
              <w:lastRenderedPageBreak/>
              <w:t>Additional Patient Education</w:t>
            </w:r>
          </w:p>
        </w:tc>
        <w:tc>
          <w:tcPr>
            <w:tcW w:w="8017" w:type="dxa"/>
            <w:gridSpan w:val="5"/>
          </w:tcPr>
          <w:p w:rsidR="00B64A32" w:rsidRDefault="00CF0010" w:rsidP="00A342C4">
            <w:pPr>
              <w:pStyle w:val="ListParagraph"/>
              <w:numPr>
                <w:ilvl w:val="0"/>
                <w:numId w:val="9"/>
              </w:numPr>
              <w:ind w:left="316"/>
            </w:pPr>
            <w:r>
              <w:t>Organization s</w:t>
            </w:r>
            <w:r w:rsidR="009E6A58">
              <w:t>taff</w:t>
            </w:r>
            <w:r w:rsidR="00A342C4">
              <w:t xml:space="preserve"> will provide information on safe disposal of used sharps and unus</w:t>
            </w:r>
            <w:r w:rsidR="003B1481">
              <w:t xml:space="preserve">ed/unwanted medication.  For more information about prescription drug collection programs or events and managing household medical </w:t>
            </w:r>
            <w:r w:rsidR="007D500D">
              <w:t>s</w:t>
            </w:r>
            <w:r w:rsidR="003B1481">
              <w:t>harps, refer to DOJ’s “Dose of Reality</w:t>
            </w:r>
            <w:r w:rsidR="003B1481" w:rsidRPr="00060639">
              <w:t>” website</w:t>
            </w:r>
            <w:r w:rsidR="00060639">
              <w:t xml:space="preserve"> (</w:t>
            </w:r>
            <w:r w:rsidR="00060639" w:rsidRPr="00060639">
              <w:rPr>
                <w:color w:val="0070C0"/>
                <w:u w:val="single"/>
              </w:rPr>
              <w:t>doseofrealitywi.gov</w:t>
            </w:r>
            <w:r w:rsidR="00060639">
              <w:t>)</w:t>
            </w:r>
            <w:r w:rsidR="009465F8">
              <w:t>or WI DNR website (</w:t>
            </w:r>
            <w:hyperlink r:id="rId7" w:history="1">
              <w:r w:rsidR="009465F8" w:rsidRPr="00A62EDE">
                <w:rPr>
                  <w:rStyle w:val="Hyperlink"/>
                </w:rPr>
                <w:t>http://dnr.wi.gov/topic/healthwaste/householdsharps.html</w:t>
              </w:r>
            </w:hyperlink>
            <w:r w:rsidR="009465F8">
              <w:t xml:space="preserve"> )</w:t>
            </w:r>
            <w:r w:rsidR="003B1481">
              <w:t xml:space="preserve">.  </w:t>
            </w:r>
          </w:p>
          <w:p w:rsidR="003B1481" w:rsidRDefault="003B1481" w:rsidP="00A342C4">
            <w:pPr>
              <w:pStyle w:val="ListParagraph"/>
              <w:numPr>
                <w:ilvl w:val="0"/>
                <w:numId w:val="9"/>
              </w:numPr>
              <w:ind w:left="316"/>
            </w:pPr>
            <w:r>
              <w:t>Instruct the individual/parent/guardian to call the medical provider if questions, concerns, or problems arrive.</w:t>
            </w:r>
          </w:p>
          <w:p w:rsidR="003B1481" w:rsidRDefault="003B1481" w:rsidP="00A342C4">
            <w:pPr>
              <w:pStyle w:val="ListParagraph"/>
              <w:numPr>
                <w:ilvl w:val="0"/>
                <w:numId w:val="9"/>
              </w:numPr>
              <w:ind w:left="316"/>
            </w:pPr>
            <w:r>
              <w:t>Encourage opioid user to communicate with primary care provider regarding overdose, use of naloxone, and availability of behavioral health services.</w:t>
            </w:r>
          </w:p>
          <w:p w:rsidR="003B1481" w:rsidRPr="00D65519" w:rsidRDefault="003B1481" w:rsidP="00A342C4">
            <w:pPr>
              <w:pStyle w:val="ListParagraph"/>
              <w:numPr>
                <w:ilvl w:val="0"/>
                <w:numId w:val="9"/>
              </w:numPr>
              <w:ind w:left="316"/>
            </w:pPr>
            <w:r>
              <w:t xml:space="preserve">See provider information and/or referral for substance use disorders treatment resources.  See </w:t>
            </w:r>
            <w:r w:rsidRPr="00060639">
              <w:rPr>
                <w:b/>
                <w:u w:val="single"/>
              </w:rPr>
              <w:t>Patient Resource Guide (P-01575).</w:t>
            </w:r>
          </w:p>
          <w:p w:rsidR="003B1481" w:rsidRDefault="003B1481" w:rsidP="00A342C4">
            <w:pPr>
              <w:pStyle w:val="ListParagraph"/>
              <w:numPr>
                <w:ilvl w:val="0"/>
                <w:numId w:val="9"/>
              </w:numPr>
              <w:ind w:left="316"/>
            </w:pPr>
            <w:r>
              <w:t>Instruct the individual/parent/guardian to return for a refill as needed, subject to use and expiration of naloxone (</w:t>
            </w:r>
            <w:r w:rsidR="009465F8">
              <w:t xml:space="preserve">approximately </w:t>
            </w:r>
            <w:r>
              <w:t>18 months).</w:t>
            </w:r>
          </w:p>
          <w:p w:rsidR="003B1481" w:rsidRDefault="003B1481" w:rsidP="003B1481">
            <w:pPr>
              <w:pStyle w:val="ListParagraph"/>
              <w:numPr>
                <w:ilvl w:val="0"/>
                <w:numId w:val="9"/>
              </w:numPr>
              <w:ind w:left="316"/>
            </w:pPr>
            <w:r>
              <w:t>Repeat patient education is not necessary for individuals requesting a refill if they demonstrate knowledge of overdose recognition and naloxone administration.</w:t>
            </w:r>
          </w:p>
        </w:tc>
      </w:tr>
    </w:tbl>
    <w:p w:rsidR="00EA22E9" w:rsidRDefault="00EA22E9"/>
    <w:p w:rsidR="00726F1E" w:rsidRDefault="00726F1E"/>
    <w:p w:rsidR="00726F1E" w:rsidRDefault="00726F1E"/>
    <w:tbl>
      <w:tblPr>
        <w:tblStyle w:val="TableGrid"/>
        <w:tblW w:w="9849" w:type="dxa"/>
        <w:tblInd w:w="175" w:type="dxa"/>
        <w:tblLook w:val="04A0" w:firstRow="1" w:lastRow="0" w:firstColumn="1" w:lastColumn="0" w:noHBand="0" w:noVBand="1"/>
      </w:tblPr>
      <w:tblGrid>
        <w:gridCol w:w="9849"/>
      </w:tblGrid>
      <w:tr w:rsidR="003B1481" w:rsidTr="00EA22E9">
        <w:tc>
          <w:tcPr>
            <w:tcW w:w="9849" w:type="dxa"/>
          </w:tcPr>
          <w:p w:rsidR="003B1481" w:rsidRDefault="003B1481" w:rsidP="00630522">
            <w:pPr>
              <w:rPr>
                <w:b/>
              </w:rPr>
            </w:pPr>
            <w:r>
              <w:rPr>
                <w:b/>
              </w:rPr>
              <w:t>Naloxone Standing Order Signatures:</w:t>
            </w:r>
          </w:p>
          <w:p w:rsidR="003B1481" w:rsidRDefault="003B1481" w:rsidP="00630522">
            <w:pPr>
              <w:rPr>
                <w:b/>
              </w:rPr>
            </w:pPr>
          </w:p>
          <w:p w:rsidR="003B1481" w:rsidRDefault="003B1481" w:rsidP="00630522">
            <w:pPr>
              <w:rPr>
                <w:b/>
              </w:rPr>
            </w:pPr>
          </w:p>
          <w:p w:rsidR="003B1481" w:rsidRDefault="00754DDE" w:rsidP="00EA22E9">
            <w:pPr>
              <w:tabs>
                <w:tab w:val="left" w:pos="6750"/>
                <w:tab w:val="right" w:pos="9632"/>
              </w:tabs>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3912870</wp:posOffset>
                      </wp:positionH>
                      <wp:positionV relativeFrom="paragraph">
                        <wp:posOffset>80010</wp:posOffset>
                      </wp:positionV>
                      <wp:extent cx="1971675" cy="9525"/>
                      <wp:effectExtent l="0" t="0"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16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8E5F84"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1pt,6.3pt" to="463.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" strokecolor="black [3213]" strokeweight=".5pt">
                      <v:stroke joinstyle="miter"/>
                      <o:lock v:ext="edit" shapetype="f"/>
                    </v:lin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80010</wp:posOffset>
                      </wp:positionV>
                      <wp:extent cx="3305175" cy="19050"/>
                      <wp:effectExtent l="0" t="0" r="952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051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2454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3pt" to="264.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" strokecolor="black [3213]" strokeweight=".5pt">
                      <v:stroke joinstyle="miter"/>
                      <o:lock v:ext="edit" shapetype="f"/>
                    </v:line>
                  </w:pict>
                </mc:Fallback>
              </mc:AlternateContent>
            </w:r>
            <w:r w:rsidR="003B1481">
              <w:rPr>
                <w:b/>
              </w:rPr>
              <w:tab/>
            </w:r>
            <w:r w:rsidR="00EA22E9">
              <w:rPr>
                <w:b/>
              </w:rPr>
              <w:tab/>
            </w:r>
          </w:p>
          <w:p w:rsidR="003B1481" w:rsidRDefault="006770DB" w:rsidP="003B1481">
            <w:pPr>
              <w:tabs>
                <w:tab w:val="left" w:pos="6465"/>
                <w:tab w:val="right" w:pos="9435"/>
              </w:tabs>
              <w:ind w:left="75"/>
              <w:rPr>
                <w:b/>
              </w:rPr>
            </w:pPr>
            <w:r>
              <w:rPr>
                <w:b/>
              </w:rPr>
              <w:t xml:space="preserve">SIGNATURE:  </w:t>
            </w:r>
            <w:r w:rsidR="00C94828">
              <w:rPr>
                <w:b/>
              </w:rPr>
              <w:t>Timothy Westlake M.D</w:t>
            </w:r>
            <w:r w:rsidR="003B1481">
              <w:rPr>
                <w:b/>
              </w:rPr>
              <w:t xml:space="preserve">.                                      </w:t>
            </w:r>
            <w:r w:rsidR="00A063F3">
              <w:rPr>
                <w:b/>
              </w:rPr>
              <w:t xml:space="preserve">                                    </w:t>
            </w:r>
            <w:r w:rsidR="003B1481">
              <w:rPr>
                <w:b/>
              </w:rPr>
              <w:t xml:space="preserve"> Date Signed</w:t>
            </w:r>
          </w:p>
          <w:p w:rsidR="003B1481" w:rsidRDefault="006770DB" w:rsidP="00EA22E9">
            <w:pPr>
              <w:tabs>
                <w:tab w:val="left" w:pos="6465"/>
                <w:tab w:val="right" w:pos="9435"/>
              </w:tabs>
              <w:ind w:left="75"/>
              <w:rPr>
                <w:b/>
              </w:rPr>
            </w:pPr>
            <w:r>
              <w:rPr>
                <w:b/>
              </w:rPr>
              <w:t xml:space="preserve">                         </w:t>
            </w:r>
            <w:r w:rsidR="00C94828">
              <w:rPr>
                <w:b/>
              </w:rPr>
              <w:t>Medical Consultant</w:t>
            </w:r>
          </w:p>
          <w:p w:rsidR="00EA22E9" w:rsidRDefault="00EA22E9" w:rsidP="00EA22E9">
            <w:pPr>
              <w:tabs>
                <w:tab w:val="left" w:pos="6465"/>
                <w:tab w:val="right" w:pos="9435"/>
              </w:tabs>
              <w:ind w:left="75"/>
              <w:rPr>
                <w:b/>
              </w:rPr>
            </w:pPr>
          </w:p>
          <w:p w:rsidR="00EA22E9" w:rsidRDefault="00EA22E9" w:rsidP="00EA22E9">
            <w:pPr>
              <w:tabs>
                <w:tab w:val="left" w:pos="6465"/>
                <w:tab w:val="right" w:pos="9435"/>
              </w:tabs>
              <w:ind w:left="75"/>
            </w:pPr>
            <w:r>
              <w:t>By signing this Naloxone Standing</w:t>
            </w:r>
            <w:r w:rsidR="00C94828">
              <w:t xml:space="preserve"> Order for nurses and staff,</w:t>
            </w:r>
            <w:r w:rsidR="00DE27FA">
              <w:t xml:space="preserve"> </w:t>
            </w:r>
            <w:r w:rsidR="00E314C9">
              <w:t xml:space="preserve">Walworth County Drug and Alcohol Coalition </w:t>
            </w:r>
            <w:bookmarkStart w:id="0" w:name="_GoBack"/>
            <w:bookmarkEnd w:id="0"/>
            <w:r w:rsidR="00C94828">
              <w:t>attests that all</w:t>
            </w:r>
            <w:r>
              <w:t xml:space="preserve"> staff</w:t>
            </w:r>
            <w:r w:rsidR="00C94828">
              <w:t xml:space="preserve"> and contracted staff</w:t>
            </w:r>
            <w:r>
              <w:t xml:space="preserve"> have received training on Naloxone, and </w:t>
            </w:r>
            <w:r w:rsidR="00C94828">
              <w:t xml:space="preserve">have </w:t>
            </w:r>
            <w:r>
              <w:t>read and understand both the naloxone standing order and the naloxone patient education materials.</w:t>
            </w:r>
          </w:p>
          <w:p w:rsidR="00EA22E9" w:rsidRDefault="00EA22E9" w:rsidP="00EA22E9">
            <w:pPr>
              <w:tabs>
                <w:tab w:val="left" w:pos="6465"/>
                <w:tab w:val="right" w:pos="9435"/>
              </w:tabs>
              <w:ind w:left="75"/>
            </w:pPr>
          </w:p>
          <w:p w:rsidR="00EA22E9" w:rsidRDefault="00EA22E9" w:rsidP="00EA22E9">
            <w:pPr>
              <w:tabs>
                <w:tab w:val="left" w:pos="6465"/>
                <w:tab w:val="right" w:pos="9435"/>
              </w:tabs>
              <w:ind w:left="75"/>
            </w:pPr>
          </w:p>
          <w:p w:rsidR="006770DB" w:rsidRDefault="006770DB" w:rsidP="006770DB">
            <w:pPr>
              <w:rPr>
                <w:b/>
              </w:rPr>
            </w:pPr>
          </w:p>
          <w:p w:rsidR="006770DB" w:rsidRDefault="00754DDE" w:rsidP="006770DB">
            <w:pPr>
              <w:tabs>
                <w:tab w:val="left" w:pos="6750"/>
                <w:tab w:val="right" w:pos="9632"/>
              </w:tabs>
              <w:rPr>
                <w:b/>
              </w:rPr>
            </w:pPr>
            <w:r>
              <w:rPr>
                <w:b/>
                <w:noProof/>
              </w:rPr>
              <mc:AlternateContent>
                <mc:Choice Requires="wps">
                  <w:drawing>
                    <wp:anchor distT="0" distB="0" distL="114300" distR="114300" simplePos="0" relativeHeight="251663360" behindDoc="0" locked="0" layoutInCell="1" allowOverlap="1">
                      <wp:simplePos x="0" y="0"/>
                      <wp:positionH relativeFrom="column">
                        <wp:posOffset>3912870</wp:posOffset>
                      </wp:positionH>
                      <wp:positionV relativeFrom="paragraph">
                        <wp:posOffset>80010</wp:posOffset>
                      </wp:positionV>
                      <wp:extent cx="1971675" cy="9525"/>
                      <wp:effectExtent l="0" t="0" r="9525"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71675"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7A5207"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1pt,6.3pt" to="463.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" strokecolor="windowText" strokeweight=".5pt">
                      <v:stroke joinstyle="miter"/>
                      <o:lock v:ext="edit" shapetype="f"/>
                    </v:lin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80010</wp:posOffset>
                      </wp:positionV>
                      <wp:extent cx="3305175" cy="19050"/>
                      <wp:effectExtent l="0" t="0" r="952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0517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6C1BB2"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6.3pt" to="264.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" strokecolor="windowText" strokeweight=".5pt">
                      <v:stroke joinstyle="miter"/>
                      <o:lock v:ext="edit" shapetype="f"/>
                    </v:line>
                  </w:pict>
                </mc:Fallback>
              </mc:AlternateContent>
            </w:r>
            <w:r w:rsidR="000A4046">
              <w:rPr>
                <w:b/>
              </w:rPr>
              <w:t xml:space="preserve"> </w:t>
            </w:r>
            <w:r w:rsidR="006770DB">
              <w:rPr>
                <w:b/>
              </w:rPr>
              <w:tab/>
            </w:r>
            <w:r w:rsidR="006770DB">
              <w:rPr>
                <w:b/>
              </w:rPr>
              <w:tab/>
            </w:r>
          </w:p>
          <w:p w:rsidR="006770DB" w:rsidRDefault="00892CEB" w:rsidP="006770DB">
            <w:pPr>
              <w:tabs>
                <w:tab w:val="left" w:pos="6465"/>
                <w:tab w:val="right" w:pos="9435"/>
              </w:tabs>
              <w:ind w:left="75"/>
              <w:rPr>
                <w:b/>
              </w:rPr>
            </w:pPr>
            <w:r>
              <w:rPr>
                <w:b/>
              </w:rPr>
              <w:t xml:space="preserve">SIGNATURE:  </w:t>
            </w:r>
            <w:r w:rsidR="000A4046">
              <w:rPr>
                <w:b/>
              </w:rPr>
              <w:t xml:space="preserve">  </w:t>
            </w:r>
            <w:r w:rsidR="00C94828">
              <w:rPr>
                <w:b/>
              </w:rPr>
              <w:t xml:space="preserve">               </w:t>
            </w:r>
            <w:r w:rsidR="000A4046">
              <w:rPr>
                <w:b/>
              </w:rPr>
              <w:t xml:space="preserve">                                                       </w:t>
            </w:r>
            <w:r>
              <w:rPr>
                <w:b/>
              </w:rPr>
              <w:t xml:space="preserve">                             </w:t>
            </w:r>
            <w:r w:rsidR="006770DB">
              <w:rPr>
                <w:b/>
              </w:rPr>
              <w:t>Date Signed</w:t>
            </w:r>
            <w:r w:rsidR="000A4046">
              <w:rPr>
                <w:b/>
              </w:rPr>
              <w:t xml:space="preserve">                                                                 </w:t>
            </w:r>
          </w:p>
          <w:p w:rsidR="000A4046" w:rsidRDefault="000A4046" w:rsidP="006770DB">
            <w:pPr>
              <w:tabs>
                <w:tab w:val="left" w:pos="6465"/>
                <w:tab w:val="right" w:pos="9435"/>
              </w:tabs>
              <w:ind w:left="75"/>
              <w:rPr>
                <w:b/>
              </w:rPr>
            </w:pPr>
            <w:r>
              <w:rPr>
                <w:b/>
              </w:rPr>
              <w:t xml:space="preserve">                        </w:t>
            </w:r>
          </w:p>
          <w:p w:rsidR="00EA22E9" w:rsidRDefault="00EA22E9" w:rsidP="00EA22E9">
            <w:pPr>
              <w:tabs>
                <w:tab w:val="left" w:pos="6465"/>
                <w:tab w:val="right" w:pos="9435"/>
              </w:tabs>
              <w:ind w:left="75"/>
            </w:pPr>
          </w:p>
          <w:p w:rsidR="00EA22E9" w:rsidRPr="006770DB" w:rsidRDefault="00EA22E9" w:rsidP="00EA22E9">
            <w:pPr>
              <w:tabs>
                <w:tab w:val="left" w:pos="6465"/>
                <w:tab w:val="right" w:pos="9435"/>
              </w:tabs>
              <w:ind w:left="75"/>
              <w:rPr>
                <w:b/>
              </w:rPr>
            </w:pPr>
          </w:p>
        </w:tc>
      </w:tr>
    </w:tbl>
    <w:p w:rsidR="00B146D1" w:rsidRDefault="00B146D1" w:rsidP="000A4046">
      <w:pPr>
        <w:spacing w:after="0"/>
      </w:pPr>
    </w:p>
    <w:sectPr w:rsidR="00B146D1" w:rsidSect="00CF26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19" w:rsidRDefault="00D33619" w:rsidP="00630522">
      <w:pPr>
        <w:spacing w:after="0" w:line="240" w:lineRule="auto"/>
      </w:pPr>
      <w:r>
        <w:separator/>
      </w:r>
    </w:p>
  </w:endnote>
  <w:endnote w:type="continuationSeparator" w:id="0">
    <w:p w:rsidR="00D33619" w:rsidRDefault="00D33619" w:rsidP="00630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3B3" w:rsidRDefault="0009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977058"/>
      <w:docPartObj>
        <w:docPartGallery w:val="Page Numbers (Bottom of Page)"/>
        <w:docPartUnique/>
      </w:docPartObj>
    </w:sdtPr>
    <w:sdtEndPr>
      <w:rPr>
        <w:noProof/>
      </w:rPr>
    </w:sdtEndPr>
    <w:sdtContent>
      <w:p w:rsidR="00630522" w:rsidRDefault="005E41CE">
        <w:pPr>
          <w:pStyle w:val="Footer"/>
          <w:jc w:val="center"/>
        </w:pPr>
        <w:r>
          <w:fldChar w:fldCharType="begin"/>
        </w:r>
        <w:r w:rsidR="00630522">
          <w:instrText xml:space="preserve"> PAGE   \* MERGEFORMAT </w:instrText>
        </w:r>
        <w:r>
          <w:fldChar w:fldCharType="separate"/>
        </w:r>
        <w:r w:rsidR="00E314C9">
          <w:rPr>
            <w:noProof/>
          </w:rPr>
          <w:t>5</w:t>
        </w:r>
        <w:r>
          <w:rPr>
            <w:noProof/>
          </w:rPr>
          <w:fldChar w:fldCharType="end"/>
        </w:r>
      </w:p>
    </w:sdtContent>
  </w:sdt>
  <w:p w:rsidR="00630522" w:rsidRDefault="006305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3B3" w:rsidRDefault="0009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19" w:rsidRDefault="00D33619" w:rsidP="00630522">
      <w:pPr>
        <w:spacing w:after="0" w:line="240" w:lineRule="auto"/>
      </w:pPr>
      <w:r>
        <w:separator/>
      </w:r>
    </w:p>
  </w:footnote>
  <w:footnote w:type="continuationSeparator" w:id="0">
    <w:p w:rsidR="00D33619" w:rsidRDefault="00D33619" w:rsidP="00630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3B3" w:rsidRDefault="0009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3B3" w:rsidRDefault="00092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3B3" w:rsidRDefault="00092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EDA"/>
    <w:multiLevelType w:val="hybridMultilevel"/>
    <w:tmpl w:val="076E5FF8"/>
    <w:lvl w:ilvl="0" w:tplc="66D6B1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82730"/>
    <w:multiLevelType w:val="hybridMultilevel"/>
    <w:tmpl w:val="444A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F0912"/>
    <w:multiLevelType w:val="hybridMultilevel"/>
    <w:tmpl w:val="45F2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232FB"/>
    <w:multiLevelType w:val="hybridMultilevel"/>
    <w:tmpl w:val="FE6C2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96891"/>
    <w:multiLevelType w:val="hybridMultilevel"/>
    <w:tmpl w:val="9710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1056D"/>
    <w:multiLevelType w:val="hybridMultilevel"/>
    <w:tmpl w:val="B13E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37080"/>
    <w:multiLevelType w:val="hybridMultilevel"/>
    <w:tmpl w:val="3D9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A5C64"/>
    <w:multiLevelType w:val="hybridMultilevel"/>
    <w:tmpl w:val="461E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64821"/>
    <w:multiLevelType w:val="hybridMultilevel"/>
    <w:tmpl w:val="C24C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D94E63"/>
    <w:multiLevelType w:val="hybridMultilevel"/>
    <w:tmpl w:val="F84298C8"/>
    <w:lvl w:ilvl="0" w:tplc="988A53C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0"/>
  </w:num>
  <w:num w:numId="6">
    <w:abstractNumId w:val="9"/>
  </w:num>
  <w:num w:numId="7">
    <w:abstractNumId w:val="2"/>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EC1"/>
    <w:rsid w:val="00021AB9"/>
    <w:rsid w:val="00060639"/>
    <w:rsid w:val="00063833"/>
    <w:rsid w:val="000923B3"/>
    <w:rsid w:val="000A4046"/>
    <w:rsid w:val="000B4553"/>
    <w:rsid w:val="000D0D0D"/>
    <w:rsid w:val="000D45B1"/>
    <w:rsid w:val="001071C2"/>
    <w:rsid w:val="001179D6"/>
    <w:rsid w:val="00203F3D"/>
    <w:rsid w:val="0029480D"/>
    <w:rsid w:val="002A73AB"/>
    <w:rsid w:val="00345AC5"/>
    <w:rsid w:val="003813EE"/>
    <w:rsid w:val="003B1481"/>
    <w:rsid w:val="00420EF8"/>
    <w:rsid w:val="00426032"/>
    <w:rsid w:val="004B4565"/>
    <w:rsid w:val="004C58F4"/>
    <w:rsid w:val="005446A5"/>
    <w:rsid w:val="005549F7"/>
    <w:rsid w:val="00577EC1"/>
    <w:rsid w:val="005933C3"/>
    <w:rsid w:val="005B28CC"/>
    <w:rsid w:val="005E41CE"/>
    <w:rsid w:val="005F2298"/>
    <w:rsid w:val="00630522"/>
    <w:rsid w:val="00632CF7"/>
    <w:rsid w:val="006671FC"/>
    <w:rsid w:val="006770DB"/>
    <w:rsid w:val="006802B5"/>
    <w:rsid w:val="006C41A5"/>
    <w:rsid w:val="006F6E7A"/>
    <w:rsid w:val="007132FD"/>
    <w:rsid w:val="00726F1E"/>
    <w:rsid w:val="0073741B"/>
    <w:rsid w:val="00747EB0"/>
    <w:rsid w:val="00754DDE"/>
    <w:rsid w:val="007604EF"/>
    <w:rsid w:val="0076488B"/>
    <w:rsid w:val="00770610"/>
    <w:rsid w:val="007773EC"/>
    <w:rsid w:val="007A014B"/>
    <w:rsid w:val="007A018A"/>
    <w:rsid w:val="007D500D"/>
    <w:rsid w:val="0083037B"/>
    <w:rsid w:val="00875984"/>
    <w:rsid w:val="00892CEB"/>
    <w:rsid w:val="008B1DD9"/>
    <w:rsid w:val="008B364A"/>
    <w:rsid w:val="009377E2"/>
    <w:rsid w:val="009465F8"/>
    <w:rsid w:val="009D38A9"/>
    <w:rsid w:val="009E6A58"/>
    <w:rsid w:val="00A063F3"/>
    <w:rsid w:val="00A342C4"/>
    <w:rsid w:val="00A414AF"/>
    <w:rsid w:val="00A624CE"/>
    <w:rsid w:val="00B146D1"/>
    <w:rsid w:val="00B354F6"/>
    <w:rsid w:val="00B54E75"/>
    <w:rsid w:val="00B64A32"/>
    <w:rsid w:val="00B67690"/>
    <w:rsid w:val="00BA3C23"/>
    <w:rsid w:val="00BA549D"/>
    <w:rsid w:val="00BE41CF"/>
    <w:rsid w:val="00BF56F1"/>
    <w:rsid w:val="00C5489A"/>
    <w:rsid w:val="00C94828"/>
    <w:rsid w:val="00CB6A2A"/>
    <w:rsid w:val="00CE79EF"/>
    <w:rsid w:val="00CF0010"/>
    <w:rsid w:val="00CF2642"/>
    <w:rsid w:val="00D33619"/>
    <w:rsid w:val="00D37683"/>
    <w:rsid w:val="00D65519"/>
    <w:rsid w:val="00DD41BD"/>
    <w:rsid w:val="00DE27FA"/>
    <w:rsid w:val="00E314C9"/>
    <w:rsid w:val="00E3408A"/>
    <w:rsid w:val="00E50E99"/>
    <w:rsid w:val="00EA22E9"/>
    <w:rsid w:val="00EE558B"/>
    <w:rsid w:val="00F1326C"/>
    <w:rsid w:val="00F6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891AD"/>
  <w15:docId w15:val="{95C26B58-96D3-4E95-859A-D3C63F27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54F6"/>
    <w:rPr>
      <w:sz w:val="16"/>
      <w:szCs w:val="16"/>
    </w:rPr>
  </w:style>
  <w:style w:type="paragraph" w:styleId="CommentText">
    <w:name w:val="annotation text"/>
    <w:basedOn w:val="Normal"/>
    <w:link w:val="CommentTextChar"/>
    <w:uiPriority w:val="99"/>
    <w:semiHidden/>
    <w:unhideWhenUsed/>
    <w:rsid w:val="00B354F6"/>
    <w:pPr>
      <w:spacing w:line="240" w:lineRule="auto"/>
    </w:pPr>
    <w:rPr>
      <w:sz w:val="20"/>
      <w:szCs w:val="20"/>
    </w:rPr>
  </w:style>
  <w:style w:type="character" w:customStyle="1" w:styleId="CommentTextChar">
    <w:name w:val="Comment Text Char"/>
    <w:basedOn w:val="DefaultParagraphFont"/>
    <w:link w:val="CommentText"/>
    <w:uiPriority w:val="99"/>
    <w:semiHidden/>
    <w:rsid w:val="00B354F6"/>
    <w:rPr>
      <w:sz w:val="20"/>
      <w:szCs w:val="20"/>
    </w:rPr>
  </w:style>
  <w:style w:type="paragraph" w:styleId="CommentSubject">
    <w:name w:val="annotation subject"/>
    <w:basedOn w:val="CommentText"/>
    <w:next w:val="CommentText"/>
    <w:link w:val="CommentSubjectChar"/>
    <w:uiPriority w:val="99"/>
    <w:semiHidden/>
    <w:unhideWhenUsed/>
    <w:rsid w:val="00B354F6"/>
    <w:rPr>
      <w:b/>
      <w:bCs/>
    </w:rPr>
  </w:style>
  <w:style w:type="character" w:customStyle="1" w:styleId="CommentSubjectChar">
    <w:name w:val="Comment Subject Char"/>
    <w:basedOn w:val="CommentTextChar"/>
    <w:link w:val="CommentSubject"/>
    <w:uiPriority w:val="99"/>
    <w:semiHidden/>
    <w:rsid w:val="00B354F6"/>
    <w:rPr>
      <w:b/>
      <w:bCs/>
      <w:sz w:val="20"/>
      <w:szCs w:val="20"/>
    </w:rPr>
  </w:style>
  <w:style w:type="paragraph" w:styleId="BalloonText">
    <w:name w:val="Balloon Text"/>
    <w:basedOn w:val="Normal"/>
    <w:link w:val="BalloonTextChar"/>
    <w:uiPriority w:val="99"/>
    <w:semiHidden/>
    <w:unhideWhenUsed/>
    <w:rsid w:val="00B35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4F6"/>
    <w:rPr>
      <w:rFonts w:ascii="Segoe UI" w:hAnsi="Segoe UI" w:cs="Segoe UI"/>
      <w:sz w:val="18"/>
      <w:szCs w:val="18"/>
    </w:rPr>
  </w:style>
  <w:style w:type="paragraph" w:styleId="Header">
    <w:name w:val="header"/>
    <w:basedOn w:val="Normal"/>
    <w:link w:val="HeaderChar"/>
    <w:uiPriority w:val="99"/>
    <w:unhideWhenUsed/>
    <w:rsid w:val="00630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22"/>
  </w:style>
  <w:style w:type="paragraph" w:styleId="Footer">
    <w:name w:val="footer"/>
    <w:basedOn w:val="Normal"/>
    <w:link w:val="FooterChar"/>
    <w:uiPriority w:val="99"/>
    <w:unhideWhenUsed/>
    <w:rsid w:val="00630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522"/>
  </w:style>
  <w:style w:type="table" w:styleId="TableGrid">
    <w:name w:val="Table Grid"/>
    <w:basedOn w:val="TableNormal"/>
    <w:uiPriority w:val="39"/>
    <w:rsid w:val="004B4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F3D"/>
    <w:pPr>
      <w:ind w:left="720"/>
      <w:contextualSpacing/>
    </w:pPr>
  </w:style>
  <w:style w:type="character" w:styleId="Hyperlink">
    <w:name w:val="Hyperlink"/>
    <w:basedOn w:val="DefaultParagraphFont"/>
    <w:uiPriority w:val="99"/>
    <w:unhideWhenUsed/>
    <w:rsid w:val="00946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nr.wi.gov/topic/healthwaste/householdsharp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Waukesha County</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Kleber, Laura</dc:creator>
  <cp:lastModifiedBy>Geschke Jessica</cp:lastModifiedBy>
  <cp:revision>2</cp:revision>
  <cp:lastPrinted>2017-09-10T21:07:00Z</cp:lastPrinted>
  <dcterms:created xsi:type="dcterms:W3CDTF">2021-03-02T19:40:00Z</dcterms:created>
  <dcterms:modified xsi:type="dcterms:W3CDTF">2021-03-02T19:40:00Z</dcterms:modified>
</cp:coreProperties>
</file>