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49CEB" w14:textId="0E1256CE" w:rsidR="004B6F62" w:rsidRDefault="00915D2C" w:rsidP="00915D2C">
      <w:pPr>
        <w:pStyle w:val="Title"/>
      </w:pPr>
      <w:r>
        <w:t>Practical Music Theory</w:t>
      </w:r>
    </w:p>
    <w:p w14:paraId="0A4194DF" w14:textId="4F381482" w:rsidR="00915D2C" w:rsidRDefault="00915D2C" w:rsidP="00915D2C">
      <w:pPr>
        <w:pStyle w:val="Subtitle"/>
      </w:pPr>
      <w:r>
        <w:t>A Community Musicianship Course</w:t>
      </w:r>
      <w:r>
        <w:br/>
        <w:t>Capella Nova, Inc. – July 2020</w:t>
      </w:r>
    </w:p>
    <w:p w14:paraId="3577B11E" w14:textId="0DF927CE" w:rsidR="00915D2C" w:rsidRDefault="00915D2C" w:rsidP="00915D2C">
      <w:r>
        <w:t>Course Contents:</w:t>
      </w:r>
    </w:p>
    <w:p w14:paraId="6CB57151" w14:textId="4D7E3180" w:rsidR="006203B3" w:rsidRDefault="006203B3" w:rsidP="00915D2C">
      <w:pPr>
        <w:pStyle w:val="ListParagraph"/>
        <w:numPr>
          <w:ilvl w:val="0"/>
          <w:numId w:val="1"/>
        </w:numPr>
        <w:rPr>
          <w:b/>
          <w:bCs/>
        </w:rPr>
      </w:pPr>
      <w:r w:rsidRPr="006203B3">
        <w:rPr>
          <w:b/>
          <w:bCs/>
        </w:rPr>
        <w:t>Week 1 – Music Literacy – an Introduction to a Lifelong Pursuit</w:t>
      </w:r>
      <w:r>
        <w:rPr>
          <w:b/>
          <w:bCs/>
        </w:rPr>
        <w:br/>
      </w:r>
      <w:r w:rsidRPr="006203B3">
        <w:rPr>
          <w:color w:val="FF0000"/>
        </w:rPr>
        <w:t>Online Session: July 6</w:t>
      </w:r>
      <w:r w:rsidRPr="006203B3">
        <w:rPr>
          <w:color w:val="FF0000"/>
          <w:vertAlign w:val="superscript"/>
        </w:rPr>
        <w:t>th</w:t>
      </w:r>
      <w:r w:rsidRPr="006203B3">
        <w:rPr>
          <w:color w:val="FF0000"/>
        </w:rPr>
        <w:t xml:space="preserve"> @ 6:00pm via Zoom</w:t>
      </w:r>
    </w:p>
    <w:p w14:paraId="1C483A87" w14:textId="73C2E2B6" w:rsidR="006203B3" w:rsidRPr="006203B3" w:rsidRDefault="006203B3" w:rsidP="006203B3">
      <w:pPr>
        <w:pStyle w:val="ListParagraph"/>
        <w:numPr>
          <w:ilvl w:val="1"/>
          <w:numId w:val="1"/>
        </w:numPr>
      </w:pPr>
      <w:r w:rsidRPr="006203B3">
        <w:t>What is Music Literacy?</w:t>
      </w:r>
    </w:p>
    <w:p w14:paraId="16805A7A" w14:textId="13A0CFAD" w:rsidR="006203B3" w:rsidRPr="006203B3" w:rsidRDefault="006203B3" w:rsidP="006203B3">
      <w:pPr>
        <w:pStyle w:val="ListParagraph"/>
        <w:numPr>
          <w:ilvl w:val="1"/>
          <w:numId w:val="1"/>
        </w:numPr>
      </w:pPr>
      <w:r w:rsidRPr="006203B3">
        <w:t xml:space="preserve">How do we </w:t>
      </w:r>
      <w:r w:rsidR="007D61C3">
        <w:t>develop</w:t>
      </w:r>
      <w:r w:rsidRPr="006203B3">
        <w:t xml:space="preserve"> fluency?</w:t>
      </w:r>
    </w:p>
    <w:p w14:paraId="08DC2A4E" w14:textId="42E8A38B" w:rsidR="006203B3" w:rsidRDefault="006203B3" w:rsidP="006203B3">
      <w:pPr>
        <w:pStyle w:val="ListParagraph"/>
        <w:numPr>
          <w:ilvl w:val="1"/>
          <w:numId w:val="1"/>
        </w:numPr>
      </w:pPr>
      <w:r w:rsidRPr="006203B3">
        <w:t xml:space="preserve">Talent vs. </w:t>
      </w:r>
      <w:r w:rsidR="007D61C3">
        <w:t>Skill</w:t>
      </w:r>
    </w:p>
    <w:p w14:paraId="340C73A8" w14:textId="77777777" w:rsidR="006203B3" w:rsidRPr="006203B3" w:rsidRDefault="006203B3" w:rsidP="006203B3">
      <w:pPr>
        <w:pStyle w:val="ListParagraph"/>
        <w:ind w:left="1440"/>
      </w:pPr>
    </w:p>
    <w:p w14:paraId="1F41EDC0" w14:textId="2D7F5A21" w:rsidR="006203B3" w:rsidRDefault="006203B3" w:rsidP="00915D2C">
      <w:pPr>
        <w:pStyle w:val="ListParagraph"/>
        <w:numPr>
          <w:ilvl w:val="0"/>
          <w:numId w:val="1"/>
        </w:numPr>
        <w:rPr>
          <w:b/>
          <w:bCs/>
        </w:rPr>
      </w:pPr>
      <w:r w:rsidRPr="006203B3">
        <w:rPr>
          <w:b/>
          <w:bCs/>
        </w:rPr>
        <w:t>Week 2 – Hearing Pitch and Rhythm</w:t>
      </w:r>
      <w:r>
        <w:rPr>
          <w:b/>
          <w:bCs/>
        </w:rPr>
        <w:br/>
      </w:r>
      <w:r w:rsidRPr="006203B3">
        <w:rPr>
          <w:color w:val="FF0000"/>
        </w:rPr>
        <w:t xml:space="preserve">Online Session: July </w:t>
      </w:r>
      <w:r w:rsidRPr="006203B3">
        <w:rPr>
          <w:color w:val="FF0000"/>
        </w:rPr>
        <w:t>13</w:t>
      </w:r>
      <w:r w:rsidRPr="006203B3">
        <w:rPr>
          <w:color w:val="FF0000"/>
          <w:vertAlign w:val="superscript"/>
        </w:rPr>
        <w:t>th</w:t>
      </w:r>
      <w:r w:rsidRPr="006203B3">
        <w:rPr>
          <w:color w:val="FF0000"/>
        </w:rPr>
        <w:t xml:space="preserve"> @ 6:00pm via Zoom</w:t>
      </w:r>
    </w:p>
    <w:p w14:paraId="219776E7" w14:textId="2AB50A79" w:rsidR="006203B3" w:rsidRPr="006203B3" w:rsidRDefault="006203B3" w:rsidP="006203B3">
      <w:pPr>
        <w:pStyle w:val="ListParagraph"/>
        <w:numPr>
          <w:ilvl w:val="1"/>
          <w:numId w:val="1"/>
        </w:numPr>
      </w:pPr>
      <w:r w:rsidRPr="006203B3">
        <w:t>Solfege</w:t>
      </w:r>
    </w:p>
    <w:p w14:paraId="7E5F939A" w14:textId="3E9E3A8D" w:rsidR="006203B3" w:rsidRPr="006203B3" w:rsidRDefault="006203B3" w:rsidP="006203B3">
      <w:pPr>
        <w:pStyle w:val="ListParagraph"/>
        <w:numPr>
          <w:ilvl w:val="1"/>
          <w:numId w:val="1"/>
        </w:numPr>
      </w:pPr>
      <w:proofErr w:type="spellStart"/>
      <w:r w:rsidRPr="006203B3">
        <w:t>Takadimi</w:t>
      </w:r>
      <w:proofErr w:type="spellEnd"/>
    </w:p>
    <w:p w14:paraId="57390A23" w14:textId="5CBDB884" w:rsidR="006203B3" w:rsidRPr="006203B3" w:rsidRDefault="006203B3" w:rsidP="006203B3">
      <w:pPr>
        <w:pStyle w:val="ListParagraph"/>
        <w:numPr>
          <w:ilvl w:val="1"/>
          <w:numId w:val="1"/>
        </w:numPr>
      </w:pPr>
      <w:r w:rsidRPr="006203B3">
        <w:t xml:space="preserve">Improvisation </w:t>
      </w:r>
    </w:p>
    <w:p w14:paraId="755C7A8A" w14:textId="77777777" w:rsidR="006203B3" w:rsidRPr="006203B3" w:rsidRDefault="006203B3" w:rsidP="006203B3">
      <w:pPr>
        <w:pStyle w:val="ListParagraph"/>
        <w:ind w:left="1440"/>
        <w:rPr>
          <w:b/>
          <w:bCs/>
        </w:rPr>
      </w:pPr>
    </w:p>
    <w:p w14:paraId="6B1982BC" w14:textId="22ED4197" w:rsidR="00915D2C" w:rsidRPr="006203B3" w:rsidRDefault="00915D2C" w:rsidP="00915D2C">
      <w:pPr>
        <w:pStyle w:val="ListParagraph"/>
        <w:numPr>
          <w:ilvl w:val="0"/>
          <w:numId w:val="1"/>
        </w:numPr>
        <w:rPr>
          <w:b/>
          <w:bCs/>
        </w:rPr>
      </w:pPr>
      <w:r w:rsidRPr="006203B3">
        <w:rPr>
          <w:b/>
          <w:bCs/>
        </w:rPr>
        <w:t xml:space="preserve">Week </w:t>
      </w:r>
      <w:r w:rsidR="006203B3" w:rsidRPr="006203B3">
        <w:rPr>
          <w:b/>
          <w:bCs/>
        </w:rPr>
        <w:t>3</w:t>
      </w:r>
      <w:r w:rsidRPr="006203B3">
        <w:rPr>
          <w:b/>
          <w:bCs/>
        </w:rPr>
        <w:t xml:space="preserve"> – </w:t>
      </w:r>
      <w:r w:rsidR="006203B3" w:rsidRPr="006203B3">
        <w:rPr>
          <w:b/>
          <w:bCs/>
        </w:rPr>
        <w:t xml:space="preserve">Written </w:t>
      </w:r>
      <w:r w:rsidRPr="006203B3">
        <w:rPr>
          <w:b/>
          <w:bCs/>
        </w:rPr>
        <w:t>Pitch</w:t>
      </w:r>
      <w:r w:rsidR="006203B3">
        <w:rPr>
          <w:b/>
          <w:bCs/>
        </w:rPr>
        <w:br/>
      </w:r>
      <w:r w:rsidR="006203B3" w:rsidRPr="006203B3">
        <w:rPr>
          <w:color w:val="FF0000"/>
        </w:rPr>
        <w:t xml:space="preserve">Online Session: July </w:t>
      </w:r>
      <w:r w:rsidR="006203B3" w:rsidRPr="006203B3">
        <w:rPr>
          <w:color w:val="FF0000"/>
        </w:rPr>
        <w:t>20</w:t>
      </w:r>
      <w:r w:rsidR="006203B3" w:rsidRPr="006203B3">
        <w:rPr>
          <w:color w:val="FF0000"/>
          <w:vertAlign w:val="superscript"/>
        </w:rPr>
        <w:t>th</w:t>
      </w:r>
      <w:r w:rsidR="006203B3" w:rsidRPr="006203B3">
        <w:rPr>
          <w:color w:val="FF0000"/>
        </w:rPr>
        <w:t xml:space="preserve"> @ 6:00pm via Zoom</w:t>
      </w:r>
    </w:p>
    <w:p w14:paraId="22CA65EE" w14:textId="19A68914" w:rsidR="00915D2C" w:rsidRDefault="00915D2C" w:rsidP="00915D2C">
      <w:pPr>
        <w:pStyle w:val="ListParagraph"/>
        <w:numPr>
          <w:ilvl w:val="1"/>
          <w:numId w:val="1"/>
        </w:numPr>
      </w:pPr>
      <w:r>
        <w:t>Notes</w:t>
      </w:r>
    </w:p>
    <w:p w14:paraId="5CB81753" w14:textId="02286C74" w:rsidR="00915D2C" w:rsidRDefault="00915D2C" w:rsidP="00915D2C">
      <w:pPr>
        <w:pStyle w:val="ListParagraph"/>
        <w:numPr>
          <w:ilvl w:val="1"/>
          <w:numId w:val="1"/>
        </w:numPr>
      </w:pPr>
      <w:r>
        <w:t>Staff</w:t>
      </w:r>
    </w:p>
    <w:p w14:paraId="6DF24405" w14:textId="2CF15D82" w:rsidR="00973831" w:rsidRDefault="00973831" w:rsidP="00915D2C">
      <w:pPr>
        <w:pStyle w:val="ListParagraph"/>
        <w:numPr>
          <w:ilvl w:val="1"/>
          <w:numId w:val="1"/>
        </w:numPr>
      </w:pPr>
      <w:r>
        <w:t>Clef</w:t>
      </w:r>
    </w:p>
    <w:p w14:paraId="0CA34A7E" w14:textId="69B515E2" w:rsidR="00915D2C" w:rsidRDefault="005C67AA" w:rsidP="00973831">
      <w:pPr>
        <w:pStyle w:val="ListParagraph"/>
        <w:numPr>
          <w:ilvl w:val="1"/>
          <w:numId w:val="1"/>
        </w:numPr>
      </w:pPr>
      <w:r>
        <w:t>Grand Staff</w:t>
      </w:r>
      <w:r>
        <w:br/>
      </w:r>
    </w:p>
    <w:p w14:paraId="7FD8D352" w14:textId="44950AB1" w:rsidR="00915D2C" w:rsidRPr="006203B3" w:rsidRDefault="00915D2C" w:rsidP="00915D2C">
      <w:pPr>
        <w:pStyle w:val="ListParagraph"/>
        <w:numPr>
          <w:ilvl w:val="0"/>
          <w:numId w:val="1"/>
        </w:numPr>
        <w:rPr>
          <w:b/>
          <w:bCs/>
        </w:rPr>
      </w:pPr>
      <w:r w:rsidRPr="006203B3">
        <w:rPr>
          <w:b/>
          <w:bCs/>
        </w:rPr>
        <w:t xml:space="preserve">Week </w:t>
      </w:r>
      <w:r w:rsidR="006203B3" w:rsidRPr="006203B3">
        <w:rPr>
          <w:b/>
          <w:bCs/>
        </w:rPr>
        <w:t>4</w:t>
      </w:r>
      <w:r w:rsidRPr="006203B3">
        <w:rPr>
          <w:b/>
          <w:bCs/>
        </w:rPr>
        <w:t xml:space="preserve"> – </w:t>
      </w:r>
      <w:r w:rsidR="006203B3" w:rsidRPr="006203B3">
        <w:rPr>
          <w:b/>
          <w:bCs/>
        </w:rPr>
        <w:t xml:space="preserve">Written </w:t>
      </w:r>
      <w:r w:rsidRPr="006203B3">
        <w:rPr>
          <w:b/>
          <w:bCs/>
        </w:rPr>
        <w:t>Meter and Time</w:t>
      </w:r>
      <w:r w:rsidR="006203B3">
        <w:rPr>
          <w:b/>
          <w:bCs/>
        </w:rPr>
        <w:br/>
      </w:r>
      <w:r w:rsidR="006203B3" w:rsidRPr="006203B3">
        <w:rPr>
          <w:color w:val="FF0000"/>
        </w:rPr>
        <w:t xml:space="preserve">Online Session: July </w:t>
      </w:r>
      <w:r w:rsidR="006203B3" w:rsidRPr="006203B3">
        <w:rPr>
          <w:color w:val="FF0000"/>
        </w:rPr>
        <w:t>27</w:t>
      </w:r>
      <w:r w:rsidR="006203B3" w:rsidRPr="006203B3">
        <w:rPr>
          <w:color w:val="FF0000"/>
          <w:vertAlign w:val="superscript"/>
        </w:rPr>
        <w:t>th</w:t>
      </w:r>
      <w:r w:rsidR="006203B3" w:rsidRPr="006203B3">
        <w:rPr>
          <w:color w:val="FF0000"/>
        </w:rPr>
        <w:t xml:space="preserve"> @ 6:00pm via Zoom</w:t>
      </w:r>
    </w:p>
    <w:p w14:paraId="56AA5541" w14:textId="76125D31" w:rsidR="0091611B" w:rsidRDefault="0091611B" w:rsidP="0091611B">
      <w:pPr>
        <w:pStyle w:val="ListParagraph"/>
        <w:numPr>
          <w:ilvl w:val="1"/>
          <w:numId w:val="1"/>
        </w:numPr>
      </w:pPr>
      <w:proofErr w:type="spellStart"/>
      <w:r>
        <w:t>Protonotation</w:t>
      </w:r>
      <w:proofErr w:type="spellEnd"/>
    </w:p>
    <w:p w14:paraId="6FE40F4F" w14:textId="6413622D" w:rsidR="00915D2C" w:rsidRDefault="006203B3" w:rsidP="00915D2C">
      <w:pPr>
        <w:pStyle w:val="ListParagraph"/>
        <w:numPr>
          <w:ilvl w:val="1"/>
          <w:numId w:val="1"/>
        </w:numPr>
      </w:pPr>
      <w:r>
        <w:t>Time Signatures</w:t>
      </w:r>
    </w:p>
    <w:p w14:paraId="13EBE5DF" w14:textId="7AF18EF1" w:rsidR="006203B3" w:rsidRDefault="006203B3" w:rsidP="006203B3">
      <w:pPr>
        <w:pStyle w:val="ListParagraph"/>
        <w:numPr>
          <w:ilvl w:val="1"/>
          <w:numId w:val="1"/>
        </w:numPr>
      </w:pPr>
      <w:r>
        <w:t>Rhythmic Values of Notes and Rests</w:t>
      </w:r>
    </w:p>
    <w:p w14:paraId="20059B07" w14:textId="65902F2A" w:rsidR="006203B3" w:rsidRDefault="006203B3" w:rsidP="006203B3">
      <w:pPr>
        <w:pStyle w:val="ListParagraph"/>
        <w:numPr>
          <w:ilvl w:val="1"/>
          <w:numId w:val="1"/>
        </w:numPr>
      </w:pPr>
      <w:r>
        <w:t>Beams</w:t>
      </w:r>
      <w:r>
        <w:br/>
      </w:r>
    </w:p>
    <w:p w14:paraId="0F36983E" w14:textId="44D90EC8" w:rsidR="006203B3" w:rsidRPr="006203B3" w:rsidRDefault="006203B3" w:rsidP="006203B3">
      <w:pPr>
        <w:pStyle w:val="ListParagraph"/>
        <w:numPr>
          <w:ilvl w:val="0"/>
          <w:numId w:val="1"/>
        </w:numPr>
        <w:rPr>
          <w:b/>
          <w:bCs/>
        </w:rPr>
      </w:pPr>
      <w:r w:rsidRPr="006203B3">
        <w:rPr>
          <w:b/>
          <w:bCs/>
        </w:rPr>
        <w:t>Conclusion – Step by Step, Putting It Together</w:t>
      </w:r>
      <w:r>
        <w:rPr>
          <w:b/>
          <w:bCs/>
        </w:rPr>
        <w:br/>
      </w:r>
      <w:r w:rsidRPr="006203B3">
        <w:rPr>
          <w:color w:val="FF0000"/>
        </w:rPr>
        <w:t xml:space="preserve">Online Session: July </w:t>
      </w:r>
      <w:r w:rsidRPr="006203B3">
        <w:rPr>
          <w:color w:val="FF0000"/>
        </w:rPr>
        <w:t>29</w:t>
      </w:r>
      <w:r w:rsidRPr="006203B3">
        <w:rPr>
          <w:color w:val="FF0000"/>
          <w:vertAlign w:val="superscript"/>
        </w:rPr>
        <w:t>h</w:t>
      </w:r>
      <w:r w:rsidRPr="006203B3">
        <w:rPr>
          <w:color w:val="FF0000"/>
        </w:rPr>
        <w:t xml:space="preserve"> @ 6:00pm via Zoom</w:t>
      </w:r>
    </w:p>
    <w:p w14:paraId="5618F349" w14:textId="0AD002E5" w:rsidR="006203B3" w:rsidRDefault="006203B3" w:rsidP="006203B3"/>
    <w:p w14:paraId="690BB5C0" w14:textId="01486730" w:rsidR="006203B3" w:rsidRDefault="006203B3" w:rsidP="006203B3"/>
    <w:p w14:paraId="51AB4725" w14:textId="32D544D0" w:rsidR="006203B3" w:rsidRDefault="006203B3" w:rsidP="006203B3"/>
    <w:p w14:paraId="3ABDB3DC" w14:textId="1AA9BFAA" w:rsidR="006203B3" w:rsidRDefault="006203B3" w:rsidP="006203B3"/>
    <w:p w14:paraId="7D2A8DD5" w14:textId="01D3B2CC" w:rsidR="006203B3" w:rsidRDefault="00957217" w:rsidP="006203B3">
      <w:pPr>
        <w:pStyle w:val="Heading1"/>
      </w:pPr>
      <w:r>
        <w:lastRenderedPageBreak/>
        <w:t xml:space="preserve">Week I: </w:t>
      </w:r>
      <w:r w:rsidR="006203B3">
        <w:t>Music Literacy – An Introduction</w:t>
      </w:r>
    </w:p>
    <w:p w14:paraId="7AFDB04E" w14:textId="7C21DC44" w:rsidR="006203B3" w:rsidRPr="00957217" w:rsidRDefault="006203B3" w:rsidP="006203B3">
      <w:pPr>
        <w:pStyle w:val="ListParagraph"/>
        <w:numPr>
          <w:ilvl w:val="0"/>
          <w:numId w:val="2"/>
        </w:numPr>
        <w:rPr>
          <w:b/>
          <w:bCs/>
          <w:i/>
          <w:iCs/>
        </w:rPr>
      </w:pPr>
      <w:r w:rsidRPr="00957217">
        <w:rPr>
          <w:b/>
          <w:bCs/>
          <w:i/>
          <w:iCs/>
        </w:rPr>
        <w:t>What is Music Literacy</w:t>
      </w:r>
      <w:r w:rsidR="007D61C3" w:rsidRPr="00957217">
        <w:rPr>
          <w:b/>
          <w:bCs/>
          <w:i/>
          <w:iCs/>
        </w:rPr>
        <w:t xml:space="preserve"> &amp; How do we develop fluency?</w:t>
      </w:r>
    </w:p>
    <w:p w14:paraId="38BA12AD" w14:textId="56930DD7" w:rsidR="006203B3" w:rsidRDefault="006203B3" w:rsidP="007D61C3">
      <w:pPr>
        <w:ind w:left="720"/>
        <w:jc w:val="both"/>
      </w:pPr>
      <w:r w:rsidRPr="006203B3">
        <w:rPr>
          <w:b/>
          <w:bCs/>
        </w:rPr>
        <w:t>Musical literacy</w:t>
      </w:r>
      <w:r w:rsidRPr="006203B3">
        <w:t xml:space="preserve"> is the reading, writing, and playing of music, as well an understanding of cultural practice and historical and social contexts.</w:t>
      </w:r>
    </w:p>
    <w:p w14:paraId="469AA50A" w14:textId="7D3A642E" w:rsidR="006203B3" w:rsidRDefault="006203B3" w:rsidP="007D61C3">
      <w:pPr>
        <w:ind w:left="720"/>
        <w:jc w:val="both"/>
      </w:pPr>
      <w:r>
        <w:t xml:space="preserve">Music literacy and music education are frequently talked about relationally and </w:t>
      </w:r>
      <w:r>
        <w:t>causatively;</w:t>
      </w:r>
      <w:r>
        <w:t xml:space="preserve"> </w:t>
      </w:r>
      <w:r>
        <w:t>however,</w:t>
      </w:r>
      <w:r>
        <w:t xml:space="preserve"> they are not interchangeable terms as complete musical literacy also concerns an understanding of the diverse practices involved in teaching music pedagogy and its impact on literacy. Even then, there those that argue</w:t>
      </w:r>
      <w:r>
        <w:rPr>
          <w:rStyle w:val="FootnoteReference"/>
        </w:rPr>
        <w:footnoteReference w:id="1"/>
      </w:r>
      <w:r>
        <w:t xml:space="preserve"> against the relational and causal link between music education and literacy, instead advocating for the solely interactional relationship between social characteristics and music styles. “Musical communications, like verbal ones, must be put in the right contexts by receivers if their meanings are to come through unobscured</w:t>
      </w:r>
      <w:r>
        <w:rPr>
          <w:rStyle w:val="FootnoteReference"/>
        </w:rPr>
        <w:footnoteReference w:id="2"/>
      </w:r>
      <w:r>
        <w:t>” which is why the pedagogical influence of teaching an individual to become musically-literate might be confused with overarching ‘literacy’ itself.</w:t>
      </w:r>
    </w:p>
    <w:p w14:paraId="445DD16F" w14:textId="32DAF112" w:rsidR="006203B3" w:rsidRDefault="006203B3" w:rsidP="007D61C3">
      <w:pPr>
        <w:ind w:left="720"/>
        <w:jc w:val="both"/>
      </w:pPr>
      <w:r>
        <w:t>‘Musical literacy’ is likewise not to be confused with ‘music theory’ or ‘musicology’. These two components are aspects of music education that ultimately act as a means to an end of achieving such literacy. Even then, many scholars</w:t>
      </w:r>
      <w:r>
        <w:rPr>
          <w:rStyle w:val="FootnoteReference"/>
        </w:rPr>
        <w:footnoteReference w:id="3"/>
      </w:r>
      <w:r>
        <w:t xml:space="preserve"> debate the relevancy of these educational elements to musical literacy at all. The term, ‘musicality’, is again a distinct term that is separate from the concept of ‘musical literacy’, as the way in which a musician expresses emotions through performance is not indicative of their music-reading ability</w:t>
      </w:r>
      <w:r>
        <w:rPr>
          <w:rStyle w:val="FootnoteReference"/>
        </w:rPr>
        <w:footnoteReference w:id="4"/>
      </w:r>
      <w:r>
        <w:t>.</w:t>
      </w:r>
    </w:p>
    <w:p w14:paraId="6286D821" w14:textId="1B4BD68C" w:rsidR="006203B3" w:rsidRDefault="006203B3" w:rsidP="007D61C3">
      <w:pPr>
        <w:ind w:left="720"/>
        <w:jc w:val="both"/>
      </w:pPr>
      <w:r>
        <w:t>Given that musical literacy involves mechanical and descriptive processes (such as reading, writing and playing) as well as a broader cultural understanding of both historical and contemporary practice (i.e. listening, playing, and musical interpretation while listening and/or playing), education in these visual, reading/writing, auditory, and kinesthetic areas can work in tandem to achieve literacy as a whole.</w:t>
      </w:r>
    </w:p>
    <w:p w14:paraId="3056C9D3" w14:textId="1B50293C" w:rsidR="007D61C3" w:rsidRPr="00957217" w:rsidRDefault="007D61C3" w:rsidP="007D61C3">
      <w:pPr>
        <w:pStyle w:val="ListParagraph"/>
        <w:numPr>
          <w:ilvl w:val="0"/>
          <w:numId w:val="2"/>
        </w:numPr>
        <w:jc w:val="both"/>
        <w:rPr>
          <w:b/>
          <w:bCs/>
          <w:i/>
          <w:iCs/>
        </w:rPr>
      </w:pPr>
      <w:r w:rsidRPr="00957217">
        <w:rPr>
          <w:b/>
          <w:bCs/>
          <w:i/>
          <w:iCs/>
        </w:rPr>
        <w:t>Talent vs. Skill</w:t>
      </w:r>
    </w:p>
    <w:p w14:paraId="6056C272" w14:textId="265CA936" w:rsidR="007D61C3" w:rsidRDefault="007D61C3" w:rsidP="007D61C3">
      <w:pPr>
        <w:ind w:left="720"/>
        <w:jc w:val="both"/>
        <w:rPr>
          <w:b/>
          <w:bCs/>
        </w:rPr>
      </w:pPr>
      <w:r w:rsidRPr="007D61C3">
        <w:rPr>
          <w:b/>
          <w:bCs/>
        </w:rPr>
        <w:t>Talent</w:t>
      </w:r>
      <w:r>
        <w:t xml:space="preserve"> refers to the</w:t>
      </w:r>
      <w:r>
        <w:t xml:space="preserve"> alleged</w:t>
      </w:r>
      <w:r>
        <w:t xml:space="preserve"> natural ability to do something,</w:t>
      </w:r>
      <w:r>
        <w:t xml:space="preserve"> while </w:t>
      </w:r>
      <w:r w:rsidRPr="007D61C3">
        <w:rPr>
          <w:b/>
          <w:bCs/>
        </w:rPr>
        <w:t>Skill</w:t>
      </w:r>
      <w:r>
        <w:t xml:space="preserve"> refers to the ability which is acquired by training and practicing.</w:t>
      </w:r>
      <w:r>
        <w:t xml:space="preserve"> </w:t>
      </w:r>
      <w:r w:rsidRPr="007D61C3">
        <w:rPr>
          <w:b/>
          <w:bCs/>
        </w:rPr>
        <w:t>Talent</w:t>
      </w:r>
      <w:r>
        <w:t xml:space="preserve"> is </w:t>
      </w:r>
      <w:r>
        <w:t xml:space="preserve">supposedly </w:t>
      </w:r>
      <w:r>
        <w:t>an inborn ability or natural aptitude of a person which is often hidden and needs recognition.</w:t>
      </w:r>
      <w:r>
        <w:t xml:space="preserve"> </w:t>
      </w:r>
      <w:r w:rsidRPr="007D61C3">
        <w:rPr>
          <w:b/>
          <w:bCs/>
        </w:rPr>
        <w:t>Skill</w:t>
      </w:r>
      <w:r>
        <w:t xml:space="preserve"> on the other hand</w:t>
      </w:r>
      <w:r>
        <w:t xml:space="preserve"> is a learnt ability, and it can be developed in someone if </w:t>
      </w:r>
      <w:r>
        <w:t>they</w:t>
      </w:r>
      <w:r>
        <w:t xml:space="preserve"> put </w:t>
      </w:r>
      <w:r>
        <w:t>their</w:t>
      </w:r>
      <w:r>
        <w:t xml:space="preserve"> time and efforts in</w:t>
      </w:r>
      <w:r>
        <w:t>to the study and development of</w:t>
      </w:r>
      <w:r>
        <w:t xml:space="preserve"> it.</w:t>
      </w:r>
      <w:r>
        <w:t xml:space="preserve"> </w:t>
      </w:r>
    </w:p>
    <w:p w14:paraId="4BD44958" w14:textId="6D0E6A08" w:rsidR="007D61C3" w:rsidRDefault="00301182" w:rsidP="007D61C3">
      <w:pPr>
        <w:ind w:left="720"/>
        <w:jc w:val="both"/>
      </w:pPr>
      <w:r>
        <w:t>M</w:t>
      </w:r>
      <w:r w:rsidR="007D61C3" w:rsidRPr="00301182">
        <w:t xml:space="preserve">ost people mistake Love and Desire in the arts as talent. Many students are identified young as people who love music, for example, and desire to “do music” and </w:t>
      </w:r>
      <w:r w:rsidR="007D61C3" w:rsidRPr="00301182">
        <w:lastRenderedPageBreak/>
        <w:t xml:space="preserve">are labeled as “talented.” Ordinary </w:t>
      </w:r>
      <w:r w:rsidRPr="00301182">
        <w:t>well-meaning</w:t>
      </w:r>
      <w:r w:rsidR="007D61C3" w:rsidRPr="00301182">
        <w:t xml:space="preserve"> people mistake the quick learning and fast early accomplishments of new musicians as an innate ability instead of recognizing that the student’s love of and desire for music motivated them to </w:t>
      </w:r>
      <w:r w:rsidRPr="00301182">
        <w:t xml:space="preserve">learn and therefore achieve those successes. </w:t>
      </w:r>
      <w:r>
        <w:t xml:space="preserve">This often leads to compounding mistakes by the students’ parents and mentors as focus is placed on further accomplishments in order to validate their “talent” instead of fostering their love and desire for music and feeding their hunger for more knowledge and varied experiences as they develop greater and greater skills. </w:t>
      </w:r>
    </w:p>
    <w:p w14:paraId="5D069915" w14:textId="66402A87" w:rsidR="00301182" w:rsidRDefault="00301182" w:rsidP="007D61C3">
      <w:pPr>
        <w:ind w:left="720"/>
        <w:jc w:val="both"/>
      </w:pPr>
      <w:r w:rsidRPr="00301182">
        <w:rPr>
          <w:b/>
          <w:bCs/>
        </w:rPr>
        <w:t xml:space="preserve">Talent, then, is not an innate ability but a sincere love of the art at hand and therefore the desire to practice and develop skill in the subject area. </w:t>
      </w:r>
      <w:r w:rsidRPr="00301182">
        <w:t>Anyone you encounter in your life who has impressive skills (in whatever field or area, not just the arts or music!) developed them from nothing</w:t>
      </w:r>
      <w:r>
        <w:t xml:space="preserve"> at some point. Do not invalidate the lifelong work of a professional anything by attributing their skill to talent! And do not cripple the aficionado by continuing to claim that impressive skill is somehow a divine gift they needed to be blessed with at birth in order to achieve. </w:t>
      </w:r>
    </w:p>
    <w:p w14:paraId="1FE3F205" w14:textId="47A4E887" w:rsidR="006203B3" w:rsidRDefault="00301182" w:rsidP="00C83C36">
      <w:pPr>
        <w:ind w:left="720"/>
        <w:jc w:val="both"/>
        <w:rPr>
          <w:i/>
          <w:iCs/>
        </w:rPr>
      </w:pPr>
      <w:r w:rsidRPr="00957217">
        <w:rPr>
          <w:i/>
          <w:iCs/>
        </w:rPr>
        <w:t xml:space="preserve">Side note: The word “talent” comes from </w:t>
      </w:r>
      <w:proofErr w:type="spellStart"/>
      <w:r w:rsidRPr="00957217">
        <w:rPr>
          <w:i/>
          <w:iCs/>
        </w:rPr>
        <w:t>talenta</w:t>
      </w:r>
      <w:proofErr w:type="spellEnd"/>
      <w:r w:rsidRPr="00957217">
        <w:rPr>
          <w:i/>
          <w:iCs/>
        </w:rPr>
        <w:t xml:space="preserve">, plural of </w:t>
      </w:r>
      <w:proofErr w:type="spellStart"/>
      <w:r w:rsidRPr="00957217">
        <w:rPr>
          <w:i/>
          <w:iCs/>
        </w:rPr>
        <w:t>talentum</w:t>
      </w:r>
      <w:proofErr w:type="spellEnd"/>
      <w:r w:rsidRPr="00957217">
        <w:rPr>
          <w:i/>
          <w:iCs/>
        </w:rPr>
        <w:t xml:space="preserve"> </w:t>
      </w:r>
      <w:r w:rsidRPr="00957217">
        <w:rPr>
          <w:i/>
          <w:iCs/>
        </w:rPr>
        <w:t xml:space="preserve">meaning a “sum of money.” Developing skills definitely requires a sum of </w:t>
      </w:r>
      <w:proofErr w:type="spellStart"/>
      <w:r w:rsidRPr="00957217">
        <w:rPr>
          <w:i/>
          <w:iCs/>
        </w:rPr>
        <w:t>money</w:t>
      </w:r>
      <w:r w:rsidR="00957217">
        <w:rPr>
          <w:i/>
          <w:iCs/>
        </w:rPr>
        <w:t>and</w:t>
      </w:r>
      <w:proofErr w:type="spellEnd"/>
      <w:r w:rsidR="00957217">
        <w:rPr>
          <w:i/>
          <w:iCs/>
        </w:rPr>
        <w:t xml:space="preserve"> remember:</w:t>
      </w:r>
      <w:r w:rsidR="00957217" w:rsidRPr="00957217">
        <w:rPr>
          <w:i/>
          <w:iCs/>
        </w:rPr>
        <w:t xml:space="preserve"> Time is money!</w:t>
      </w:r>
      <w:r w:rsidRPr="00957217">
        <w:rPr>
          <w:i/>
          <w:iCs/>
        </w:rPr>
        <w:t xml:space="preserve"> </w:t>
      </w:r>
    </w:p>
    <w:p w14:paraId="1C795684" w14:textId="77777777" w:rsidR="00C83C36" w:rsidRPr="00C83C36" w:rsidRDefault="00C83C36" w:rsidP="00C83C36">
      <w:pPr>
        <w:ind w:left="720"/>
        <w:jc w:val="both"/>
        <w:rPr>
          <w:i/>
          <w:iCs/>
        </w:rPr>
      </w:pPr>
    </w:p>
    <w:p w14:paraId="52563965" w14:textId="4DB8119D" w:rsidR="006203B3" w:rsidRDefault="00957217" w:rsidP="00957217">
      <w:pPr>
        <w:pStyle w:val="Heading1"/>
      </w:pPr>
      <w:r>
        <w:t>Week II: Hearing Pitch &amp; Rhythm</w:t>
      </w:r>
    </w:p>
    <w:p w14:paraId="39939B5B" w14:textId="0AE651ED" w:rsidR="00957217" w:rsidRPr="00957217" w:rsidRDefault="00957217" w:rsidP="00957217">
      <w:pPr>
        <w:pStyle w:val="ListParagraph"/>
        <w:numPr>
          <w:ilvl w:val="0"/>
          <w:numId w:val="3"/>
        </w:numPr>
        <w:rPr>
          <w:b/>
          <w:bCs/>
          <w:i/>
          <w:iCs/>
        </w:rPr>
      </w:pPr>
      <w:r w:rsidRPr="00957217">
        <w:rPr>
          <w:b/>
          <w:bCs/>
          <w:i/>
          <w:iCs/>
        </w:rPr>
        <w:t>Solfege</w:t>
      </w:r>
    </w:p>
    <w:p w14:paraId="4D29E0A4" w14:textId="700A573A" w:rsidR="00957217" w:rsidRDefault="00957217" w:rsidP="00957217">
      <w:r>
        <w:t xml:space="preserve">Have you ever felt a melody go in one ear and out the other? Like there was nothing concrete to grasp </w:t>
      </w:r>
      <w:r>
        <w:t>and</w:t>
      </w:r>
      <w:r>
        <w:t xml:space="preserve"> help you remember? You create a great melody in your head or while humming along</w:t>
      </w:r>
      <w:r>
        <w:t xml:space="preserve">, </w:t>
      </w:r>
      <w:r>
        <w:t>but within a moment it’s gone.</w:t>
      </w:r>
    </w:p>
    <w:p w14:paraId="630DEAE9" w14:textId="1BF54213" w:rsidR="00957217" w:rsidRDefault="00957217" w:rsidP="00957217">
      <w:r>
        <w:t>Hundreds</w:t>
      </w:r>
      <w:r>
        <w:t xml:space="preserve"> of years ago, a system was developed to enable musicians to recognize and transcribe those sought-after melodies.</w:t>
      </w:r>
      <w:r>
        <w:t xml:space="preserve"> </w:t>
      </w:r>
      <w:r w:rsidRPr="00957217">
        <w:rPr>
          <w:b/>
          <w:bCs/>
        </w:rPr>
        <w:t>Solfege</w:t>
      </w:r>
      <w:r>
        <w:t xml:space="preserve"> (also called </w:t>
      </w:r>
      <w:proofErr w:type="spellStart"/>
      <w:r>
        <w:t>solfa</w:t>
      </w:r>
      <w:proofErr w:type="spellEnd"/>
      <w:r>
        <w:t xml:space="preserve">, or solfeggio) provides a framework for melodies by establishing recognizable relationships between </w:t>
      </w:r>
      <w:proofErr w:type="gramStart"/>
      <w:r>
        <w:t>pitches, and</w:t>
      </w:r>
      <w:proofErr w:type="gramEnd"/>
      <w:r>
        <w:t xml:space="preserve"> training your ear to hear patterns. It is an excellent system for learning the architecture behind </w:t>
      </w:r>
      <w:proofErr w:type="gramStart"/>
      <w:r>
        <w:t>music, and</w:t>
      </w:r>
      <w:proofErr w:type="gramEnd"/>
      <w:r>
        <w:t xml:space="preserve"> is a fundamental concept of ear training.</w:t>
      </w:r>
    </w:p>
    <w:p w14:paraId="742495EA" w14:textId="441DEE86" w:rsidR="006203B3" w:rsidRDefault="00957217" w:rsidP="00957217">
      <w:pPr>
        <w:jc w:val="both"/>
      </w:pPr>
      <w:r w:rsidRPr="00957217">
        <w:rPr>
          <w:b/>
          <w:bCs/>
        </w:rPr>
        <w:t>S</w:t>
      </w:r>
      <w:r w:rsidRPr="00957217">
        <w:rPr>
          <w:b/>
          <w:bCs/>
        </w:rPr>
        <w:t>olfege</w:t>
      </w:r>
      <w:r w:rsidRPr="00957217">
        <w:t xml:space="preserve"> is a method of naming pitches. It works by assigning a syllable to each note of the musical scale. So rather than, say, naming a C major scale as C D E F G A B C, you can name it as </w:t>
      </w:r>
      <w:r w:rsidRPr="00957217">
        <w:rPr>
          <w:b/>
          <w:bCs/>
        </w:rPr>
        <w:t xml:space="preserve">do re mi fa sol la </w:t>
      </w:r>
      <w:proofErr w:type="spellStart"/>
      <w:r w:rsidRPr="00957217">
        <w:rPr>
          <w:b/>
          <w:bCs/>
        </w:rPr>
        <w:t>ti</w:t>
      </w:r>
      <w:proofErr w:type="spellEnd"/>
      <w:r w:rsidRPr="00957217">
        <w:rPr>
          <w:b/>
          <w:bCs/>
        </w:rPr>
        <w:t xml:space="preserve"> do</w:t>
      </w:r>
      <w:r w:rsidRPr="00957217">
        <w:t>. This syllabic approach carries a great advantage, since the syllables are easier to sing than the letters.</w:t>
      </w:r>
    </w:p>
    <w:p w14:paraId="4B547501" w14:textId="5F76946D" w:rsidR="00957217" w:rsidRDefault="00957217" w:rsidP="00957217">
      <w:pPr>
        <w:jc w:val="both"/>
      </w:pPr>
      <w:r>
        <w:rPr>
          <w:noProof/>
        </w:rPr>
        <w:drawing>
          <wp:inline distT="0" distB="0" distL="0" distR="0" wp14:anchorId="6328F6BB" wp14:editId="2E1D6E36">
            <wp:extent cx="5943600" cy="991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6-27 at 12.35.26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991870"/>
                    </a:xfrm>
                    <a:prstGeom prst="rect">
                      <a:avLst/>
                    </a:prstGeom>
                  </pic:spPr>
                </pic:pic>
              </a:graphicData>
            </a:graphic>
          </wp:inline>
        </w:drawing>
      </w:r>
    </w:p>
    <w:p w14:paraId="7B9D156E" w14:textId="2AAC196F" w:rsidR="006203B3" w:rsidRPr="00957217" w:rsidRDefault="00957217" w:rsidP="00957217">
      <w:pPr>
        <w:pStyle w:val="ListParagraph"/>
        <w:numPr>
          <w:ilvl w:val="0"/>
          <w:numId w:val="3"/>
        </w:numPr>
        <w:jc w:val="both"/>
        <w:rPr>
          <w:b/>
          <w:bCs/>
          <w:i/>
          <w:iCs/>
        </w:rPr>
      </w:pPr>
      <w:proofErr w:type="spellStart"/>
      <w:r w:rsidRPr="00957217">
        <w:rPr>
          <w:b/>
          <w:bCs/>
          <w:i/>
          <w:iCs/>
        </w:rPr>
        <w:lastRenderedPageBreak/>
        <w:t>Takadimi</w:t>
      </w:r>
      <w:proofErr w:type="spellEnd"/>
    </w:p>
    <w:p w14:paraId="2758834E" w14:textId="7D131BB7" w:rsidR="00957217" w:rsidRDefault="00957217" w:rsidP="00957217">
      <w:pPr>
        <w:jc w:val="both"/>
      </w:pPr>
      <w:proofErr w:type="spellStart"/>
      <w:r w:rsidRPr="00957217">
        <w:rPr>
          <w:b/>
          <w:bCs/>
        </w:rPr>
        <w:t>Takadimi</w:t>
      </w:r>
      <w:proofErr w:type="spellEnd"/>
      <w:r w:rsidRPr="00957217">
        <w:t xml:space="preserve"> is a system devised by Richard Hoffman, William </w:t>
      </w:r>
      <w:proofErr w:type="spellStart"/>
      <w:r w:rsidRPr="00957217">
        <w:t>Pelto</w:t>
      </w:r>
      <w:proofErr w:type="spellEnd"/>
      <w:r w:rsidRPr="00957217">
        <w:t xml:space="preserve">, and John W. White in 1996 in order to teach rhythm skills. </w:t>
      </w:r>
      <w:proofErr w:type="spellStart"/>
      <w:r w:rsidRPr="00957217">
        <w:rPr>
          <w:b/>
          <w:bCs/>
        </w:rPr>
        <w:t>Takadimi</w:t>
      </w:r>
      <w:proofErr w:type="spellEnd"/>
      <w:r w:rsidRPr="00957217">
        <w:t xml:space="preserve">, while utilizing rhythmic symbols borrowed from classical South Indian </w:t>
      </w:r>
      <w:proofErr w:type="spellStart"/>
      <w:r w:rsidRPr="00957217">
        <w:t>carnatic</w:t>
      </w:r>
      <w:proofErr w:type="spellEnd"/>
      <w:r w:rsidRPr="00957217">
        <w:t xml:space="preserve"> music, differentiates itself from this method by focusing the syllables on meter and on western tonal rhythm. </w:t>
      </w:r>
      <w:proofErr w:type="spellStart"/>
      <w:r w:rsidRPr="00957217">
        <w:t>Takadimi</w:t>
      </w:r>
      <w:proofErr w:type="spellEnd"/>
      <w:r w:rsidRPr="00957217">
        <w:t xml:space="preserve"> </w:t>
      </w:r>
      <w:r>
        <w:t>places</w:t>
      </w:r>
      <w:r w:rsidRPr="00957217">
        <w:t xml:space="preserve"> specific syllables at certain places within a beat.</w:t>
      </w:r>
      <w:r w:rsidR="00973831">
        <w:rPr>
          <w:rStyle w:val="FootnoteReference"/>
        </w:rPr>
        <w:footnoteReference w:id="5"/>
      </w:r>
    </w:p>
    <w:p w14:paraId="0663CD74" w14:textId="17C79320" w:rsidR="006203B3" w:rsidRDefault="00973831" w:rsidP="00973831">
      <w:pPr>
        <w:jc w:val="center"/>
      </w:pPr>
      <w:r>
        <w:rPr>
          <w:noProof/>
        </w:rPr>
        <w:drawing>
          <wp:inline distT="0" distB="0" distL="0" distR="0" wp14:anchorId="4AF91F77" wp14:editId="055B39DD">
            <wp:extent cx="2806700" cy="901700"/>
            <wp:effectExtent l="0" t="0" r="0" b="0"/>
            <wp:docPr id="3" name="Picture 3" descr="A close up of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6-27 at 12.43.43 PM.png"/>
                    <pic:cNvPicPr/>
                  </pic:nvPicPr>
                  <pic:blipFill>
                    <a:blip r:embed="rId9">
                      <a:extLst>
                        <a:ext uri="{28A0092B-C50C-407E-A947-70E740481C1C}">
                          <a14:useLocalDpi xmlns:a14="http://schemas.microsoft.com/office/drawing/2010/main" val="0"/>
                        </a:ext>
                      </a:extLst>
                    </a:blip>
                    <a:stretch>
                      <a:fillRect/>
                    </a:stretch>
                  </pic:blipFill>
                  <pic:spPr>
                    <a:xfrm>
                      <a:off x="0" y="0"/>
                      <a:ext cx="2806700" cy="901700"/>
                    </a:xfrm>
                    <a:prstGeom prst="rect">
                      <a:avLst/>
                    </a:prstGeom>
                  </pic:spPr>
                </pic:pic>
              </a:graphicData>
            </a:graphic>
          </wp:inline>
        </w:drawing>
      </w:r>
    </w:p>
    <w:p w14:paraId="5E64032C" w14:textId="7DB01CCE" w:rsidR="00973831" w:rsidRPr="00973831" w:rsidRDefault="00973831" w:rsidP="00973831">
      <w:pPr>
        <w:pStyle w:val="ListParagraph"/>
        <w:numPr>
          <w:ilvl w:val="0"/>
          <w:numId w:val="3"/>
        </w:numPr>
        <w:rPr>
          <w:b/>
          <w:bCs/>
          <w:i/>
          <w:iCs/>
        </w:rPr>
      </w:pPr>
      <w:r w:rsidRPr="00973831">
        <w:rPr>
          <w:b/>
          <w:bCs/>
          <w:i/>
          <w:iCs/>
        </w:rPr>
        <w:t>Improvisation</w:t>
      </w:r>
    </w:p>
    <w:p w14:paraId="20EB7591" w14:textId="2B27F444" w:rsidR="00973831" w:rsidRDefault="00973831" w:rsidP="00973831">
      <w:r>
        <w:t xml:space="preserve">Just as we ask children to write stories or write about their weekend in order to practice their reading and writing skills and learn to </w:t>
      </w:r>
      <w:r>
        <w:rPr>
          <w:i/>
          <w:iCs/>
        </w:rPr>
        <w:t xml:space="preserve">synthesize </w:t>
      </w:r>
      <w:r>
        <w:t xml:space="preserve">their knowledge, it is important for us to always, as we learn our skills, improvise melodies and rhythmic patterns in order to further ingrain the skills as we go. Improvisation doesn’t have to be complicated or perfect, as long as it’s spontaneous and done </w:t>
      </w:r>
      <w:r w:rsidRPr="00973831">
        <w:rPr>
          <w:b/>
          <w:bCs/>
        </w:rPr>
        <w:t>often</w:t>
      </w:r>
      <w:r>
        <w:t>!</w:t>
      </w:r>
    </w:p>
    <w:p w14:paraId="10BD4814" w14:textId="2503524D" w:rsidR="00973831" w:rsidRDefault="00973831" w:rsidP="00973831">
      <w:pPr>
        <w:pStyle w:val="Heading1"/>
      </w:pPr>
      <w:r>
        <w:t>Week III: written pitch</w:t>
      </w:r>
    </w:p>
    <w:p w14:paraId="3609DFA3" w14:textId="77777777" w:rsidR="00973831" w:rsidRPr="00973831" w:rsidRDefault="00973831" w:rsidP="00973831">
      <w:pPr>
        <w:ind w:firstLine="720"/>
        <w:rPr>
          <w:b/>
          <w:bCs/>
          <w:i/>
          <w:iCs/>
        </w:rPr>
      </w:pPr>
      <w:r w:rsidRPr="00973831">
        <w:rPr>
          <w:b/>
          <w:bCs/>
          <w:i/>
          <w:iCs/>
        </w:rPr>
        <w:t>Notes</w:t>
      </w:r>
    </w:p>
    <w:p w14:paraId="00C75417" w14:textId="0B6BC4C7" w:rsidR="00973831" w:rsidRDefault="00973831" w:rsidP="00973831">
      <w:r>
        <w:t xml:space="preserve">When written on a staff, a note indicates a pitch and rhythmic value. The notation consists of a </w:t>
      </w:r>
      <w:proofErr w:type="spellStart"/>
      <w:r>
        <w:t>notehead</w:t>
      </w:r>
      <w:proofErr w:type="spellEnd"/>
      <w:r>
        <w:t xml:space="preserve"> (either empty or filled in), and optionally can include a stem, beam, dot, or flag.</w:t>
      </w:r>
    </w:p>
    <w:p w14:paraId="2A4D745C" w14:textId="77777777" w:rsidR="005C67AA" w:rsidRDefault="005C67AA" w:rsidP="005C67AA">
      <w:pPr>
        <w:jc w:val="center"/>
        <w:rPr>
          <w:b/>
          <w:bCs/>
          <w:i/>
          <w:iCs/>
        </w:rPr>
      </w:pPr>
      <w:r>
        <w:rPr>
          <w:b/>
          <w:bCs/>
          <w:i/>
          <w:iCs/>
          <w:noProof/>
        </w:rPr>
        <w:drawing>
          <wp:inline distT="0" distB="0" distL="0" distR="0" wp14:anchorId="1FED0437" wp14:editId="6FC88297">
            <wp:extent cx="2273300" cy="1003300"/>
            <wp:effectExtent l="0" t="0" r="0" b="0"/>
            <wp:docPr id="5" name="Picture 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teillustrati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3300" cy="1003300"/>
                    </a:xfrm>
                    <a:prstGeom prst="rect">
                      <a:avLst/>
                    </a:prstGeom>
                  </pic:spPr>
                </pic:pic>
              </a:graphicData>
            </a:graphic>
          </wp:inline>
        </w:drawing>
      </w:r>
    </w:p>
    <w:p w14:paraId="79F1A1F6" w14:textId="4D78B1E5" w:rsidR="00973831" w:rsidRPr="00973831" w:rsidRDefault="00973831" w:rsidP="005C67AA">
      <w:pPr>
        <w:ind w:firstLine="720"/>
        <w:rPr>
          <w:b/>
          <w:bCs/>
          <w:i/>
          <w:iCs/>
        </w:rPr>
      </w:pPr>
      <w:r w:rsidRPr="00973831">
        <w:rPr>
          <w:b/>
          <w:bCs/>
          <w:i/>
          <w:iCs/>
        </w:rPr>
        <w:t>Staff</w:t>
      </w:r>
    </w:p>
    <w:p w14:paraId="45DF4FA2" w14:textId="7875C2E9" w:rsidR="00973831" w:rsidRDefault="00973831" w:rsidP="00973831">
      <w:r>
        <w:t>Notes can’t convey their pitch information without being placed on a staff. A staff consists of five horizontal lines, evenly spaced. The plural of staff is staves.</w:t>
      </w:r>
    </w:p>
    <w:p w14:paraId="58C36E83" w14:textId="55154C26" w:rsidR="005C67AA" w:rsidRDefault="005C67AA" w:rsidP="005C67AA">
      <w:pPr>
        <w:jc w:val="center"/>
      </w:pPr>
      <w:r>
        <w:rPr>
          <w:noProof/>
        </w:rPr>
        <w:drawing>
          <wp:inline distT="0" distB="0" distL="0" distR="0" wp14:anchorId="2D1725FF" wp14:editId="23649829">
            <wp:extent cx="1388533" cy="579496"/>
            <wp:effectExtent l="0" t="0" r="0" b="5080"/>
            <wp:docPr id="6" name="Picture 6" descr="A picture containing build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0-06-27 at 12.51.03 P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4568" cy="611229"/>
                    </a:xfrm>
                    <a:prstGeom prst="rect">
                      <a:avLst/>
                    </a:prstGeom>
                  </pic:spPr>
                </pic:pic>
              </a:graphicData>
            </a:graphic>
          </wp:inline>
        </w:drawing>
      </w:r>
    </w:p>
    <w:p w14:paraId="7B4915F7" w14:textId="77777777" w:rsidR="005C67AA" w:rsidRPr="005C67AA" w:rsidRDefault="005C67AA" w:rsidP="005C67AA">
      <w:pPr>
        <w:ind w:firstLine="720"/>
        <w:rPr>
          <w:b/>
          <w:bCs/>
          <w:i/>
          <w:iCs/>
        </w:rPr>
      </w:pPr>
      <w:r w:rsidRPr="005C67AA">
        <w:rPr>
          <w:b/>
          <w:bCs/>
          <w:i/>
          <w:iCs/>
        </w:rPr>
        <w:lastRenderedPageBreak/>
        <w:t>Clefs</w:t>
      </w:r>
    </w:p>
    <w:p w14:paraId="1BCBFA2B" w14:textId="6C896102" w:rsidR="005C67AA" w:rsidRDefault="005C67AA" w:rsidP="00973831">
      <w:r>
        <w:t>Notes still can’t convey their pitch information if the staff doesn’t include a clef. A clef indicates which pitches are assigned to the lines and spaces on a staff. The two most commonly used clefs are the treble and bass clef; others that you’ll see relatively frequently are alto and tenor clef.</w:t>
      </w:r>
    </w:p>
    <w:p w14:paraId="6D5B680F" w14:textId="7C683943" w:rsidR="005C67AA" w:rsidRDefault="005C67AA" w:rsidP="00973831">
      <w:r>
        <w:t xml:space="preserve">The Treble Clef or “G” Clef is </w:t>
      </w:r>
      <w:r w:rsidRPr="005C67AA">
        <w:t>so named because the symbol is a stylized letter "G" that encircles the line of the staff, indicating where the "G" above middle C</w:t>
      </w:r>
      <w:r>
        <w:t xml:space="preserve"> is located.</w:t>
      </w:r>
    </w:p>
    <w:p w14:paraId="549BF93A" w14:textId="1740D328" w:rsidR="005C67AA" w:rsidRDefault="005C67AA" w:rsidP="00973831">
      <w:r>
        <w:t xml:space="preserve">The Bass Clef of “F” Clef </w:t>
      </w:r>
      <w:r>
        <w:t xml:space="preserve">is </w:t>
      </w:r>
      <w:r w:rsidRPr="005C67AA">
        <w:t xml:space="preserve">so named because the </w:t>
      </w:r>
      <w:r>
        <w:t xml:space="preserve">two dots the straddle the fourth line up on the </w:t>
      </w:r>
      <w:r w:rsidRPr="005C67AA">
        <w:t>indicat</w:t>
      </w:r>
      <w:r>
        <w:t>es</w:t>
      </w:r>
      <w:r w:rsidRPr="005C67AA">
        <w:t xml:space="preserve"> where the "</w:t>
      </w:r>
      <w:r>
        <w:t>F</w:t>
      </w:r>
      <w:r w:rsidRPr="005C67AA">
        <w:t xml:space="preserve">" </w:t>
      </w:r>
      <w:r>
        <w:t>below</w:t>
      </w:r>
      <w:r w:rsidRPr="005C67AA">
        <w:t xml:space="preserve"> middle C</w:t>
      </w:r>
      <w:r>
        <w:t xml:space="preserve"> is located.</w:t>
      </w:r>
    </w:p>
    <w:p w14:paraId="22FEC335" w14:textId="181FECCC" w:rsidR="00973831" w:rsidRPr="005C67AA" w:rsidRDefault="005C67AA" w:rsidP="005C67AA">
      <w:pPr>
        <w:ind w:firstLine="720"/>
        <w:rPr>
          <w:b/>
          <w:bCs/>
          <w:i/>
          <w:iCs/>
        </w:rPr>
      </w:pPr>
      <w:r w:rsidRPr="005C67AA">
        <w:rPr>
          <w:b/>
          <w:bCs/>
          <w:i/>
          <w:iCs/>
        </w:rPr>
        <w:t>Grand Staff</w:t>
      </w:r>
    </w:p>
    <w:p w14:paraId="1647C8BF" w14:textId="77777777" w:rsidR="005C67AA" w:rsidRDefault="005C67AA" w:rsidP="005C67AA">
      <w:r w:rsidRPr="005C67AA">
        <w:t xml:space="preserve">The grand staff consists of two staves, one that uses a treble clef, and one that uses a bass clef. The staves are connected by a curly brace. </w:t>
      </w:r>
      <w:r>
        <w:t>The “middle” C on the g</w:t>
      </w:r>
      <w:r w:rsidRPr="005C67AA">
        <w:t>rand sta</w:t>
      </w:r>
      <w:r>
        <w:t>ff corresponds to the “middle” C on the piano.</w:t>
      </w:r>
    </w:p>
    <w:p w14:paraId="5DF5AF06" w14:textId="586DD2DE" w:rsidR="005C67AA" w:rsidRDefault="005C67AA" w:rsidP="005C67AA">
      <w:pPr>
        <w:jc w:val="center"/>
      </w:pPr>
      <w:r>
        <w:rPr>
          <w:noProof/>
        </w:rPr>
        <w:drawing>
          <wp:inline distT="0" distB="0" distL="0" distR="0" wp14:anchorId="18D7E4B4" wp14:editId="6C603954">
            <wp:extent cx="4325815" cy="1975271"/>
            <wp:effectExtent l="0" t="0" r="5080" b="6350"/>
            <wp:docPr id="8" name="Picture 8" descr="A close up of a pian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20-06-27 at 12.54.47 P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72522" cy="1996599"/>
                    </a:xfrm>
                    <a:prstGeom prst="rect">
                      <a:avLst/>
                    </a:prstGeom>
                  </pic:spPr>
                </pic:pic>
              </a:graphicData>
            </a:graphic>
          </wp:inline>
        </w:drawing>
      </w:r>
    </w:p>
    <w:p w14:paraId="083F687E" w14:textId="57B5A76A" w:rsidR="00B565F7" w:rsidRDefault="00B565F7" w:rsidP="005C67AA">
      <w:pPr>
        <w:jc w:val="center"/>
      </w:pPr>
    </w:p>
    <w:p w14:paraId="6EE46339" w14:textId="4ABF7A1E" w:rsidR="0091611B" w:rsidRDefault="0091611B" w:rsidP="005C67AA">
      <w:pPr>
        <w:jc w:val="center"/>
      </w:pPr>
    </w:p>
    <w:p w14:paraId="2EBCA6D8" w14:textId="16596D0F" w:rsidR="0091611B" w:rsidRDefault="0091611B" w:rsidP="005C67AA">
      <w:pPr>
        <w:jc w:val="center"/>
      </w:pPr>
    </w:p>
    <w:p w14:paraId="7FB9A1F3" w14:textId="0F86EEC0" w:rsidR="0091611B" w:rsidRDefault="0091611B" w:rsidP="005C67AA">
      <w:pPr>
        <w:jc w:val="center"/>
      </w:pPr>
    </w:p>
    <w:p w14:paraId="4681FED0" w14:textId="04193AD9" w:rsidR="0091611B" w:rsidRDefault="0091611B" w:rsidP="005C67AA">
      <w:pPr>
        <w:jc w:val="center"/>
      </w:pPr>
    </w:p>
    <w:p w14:paraId="56F33CAB" w14:textId="4C6B61E8" w:rsidR="0091611B" w:rsidRDefault="0091611B" w:rsidP="005C67AA">
      <w:pPr>
        <w:jc w:val="center"/>
      </w:pPr>
    </w:p>
    <w:p w14:paraId="4E97EFCD" w14:textId="35D7623E" w:rsidR="0091611B" w:rsidRDefault="0091611B" w:rsidP="005C67AA">
      <w:pPr>
        <w:jc w:val="center"/>
      </w:pPr>
    </w:p>
    <w:p w14:paraId="22E0A50A" w14:textId="1F28332C" w:rsidR="0091611B" w:rsidRDefault="0091611B" w:rsidP="005C67AA">
      <w:pPr>
        <w:jc w:val="center"/>
      </w:pPr>
    </w:p>
    <w:p w14:paraId="643FDDD9" w14:textId="77777777" w:rsidR="0091611B" w:rsidRDefault="0091611B" w:rsidP="005C67AA">
      <w:pPr>
        <w:jc w:val="center"/>
      </w:pPr>
    </w:p>
    <w:p w14:paraId="6F76A61E" w14:textId="3D98BF1A" w:rsidR="0022214D" w:rsidRDefault="00B565F7" w:rsidP="0022214D">
      <w:pPr>
        <w:pStyle w:val="Heading1"/>
      </w:pPr>
      <w:r>
        <w:lastRenderedPageBreak/>
        <w:t>Week I</w:t>
      </w:r>
      <w:r>
        <w:t>V</w:t>
      </w:r>
      <w:r>
        <w:t xml:space="preserve">: </w:t>
      </w:r>
      <w:r>
        <w:t>Written Meter and Time</w:t>
      </w:r>
    </w:p>
    <w:p w14:paraId="27E82A61" w14:textId="5F7B16CE" w:rsidR="0022214D" w:rsidRPr="0091611B" w:rsidRDefault="0022214D" w:rsidP="0022214D">
      <w:pPr>
        <w:rPr>
          <w:b/>
          <w:bCs/>
          <w:i/>
          <w:iCs/>
        </w:rPr>
      </w:pPr>
      <w:r>
        <w:tab/>
      </w:r>
      <w:proofErr w:type="spellStart"/>
      <w:r w:rsidRPr="0091611B">
        <w:rPr>
          <w:b/>
          <w:bCs/>
          <w:i/>
          <w:iCs/>
        </w:rPr>
        <w:t>Protonotation</w:t>
      </w:r>
      <w:proofErr w:type="spellEnd"/>
    </w:p>
    <w:p w14:paraId="1026B87A" w14:textId="15ECC3BF" w:rsidR="0022214D" w:rsidRDefault="0022214D" w:rsidP="0022214D">
      <w:proofErr w:type="spellStart"/>
      <w:r w:rsidRPr="0022214D">
        <w:t>Protonotation</w:t>
      </w:r>
      <w:proofErr w:type="spellEnd"/>
      <w:r w:rsidRPr="0022214D">
        <w:t xml:space="preserve"> is a system of musical notation stripped of complicating elements, and focusing only on basic elements of meter, rhythm, and scale degree. (This system is drawn from Gary Karpinski’s Manual for Ear Training and Sight Singing.) Following is an example melody in both standard notation and </w:t>
      </w:r>
      <w:proofErr w:type="spellStart"/>
      <w:r w:rsidRPr="0022214D">
        <w:t>protonotation</w:t>
      </w:r>
      <w:proofErr w:type="spellEnd"/>
      <w:r w:rsidR="0091611B">
        <w:t>.</w:t>
      </w:r>
    </w:p>
    <w:p w14:paraId="371E2644" w14:textId="411AB9A4" w:rsidR="0091611B" w:rsidRPr="0022214D" w:rsidRDefault="0091611B" w:rsidP="0091611B">
      <w:pPr>
        <w:jc w:val="right"/>
      </w:pPr>
      <w:r>
        <w:rPr>
          <w:noProof/>
        </w:rPr>
        <w:drawing>
          <wp:inline distT="0" distB="0" distL="0" distR="0" wp14:anchorId="3950AB2F" wp14:editId="64F50F66">
            <wp:extent cx="3733653" cy="621665"/>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moMel.png"/>
                    <pic:cNvPicPr/>
                  </pic:nvPicPr>
                  <pic:blipFill>
                    <a:blip r:embed="rId13">
                      <a:extLst>
                        <a:ext uri="{28A0092B-C50C-407E-A947-70E740481C1C}">
                          <a14:useLocalDpi xmlns:a14="http://schemas.microsoft.com/office/drawing/2010/main" val="0"/>
                        </a:ext>
                      </a:extLst>
                    </a:blip>
                    <a:stretch>
                      <a:fillRect/>
                    </a:stretch>
                  </pic:blipFill>
                  <pic:spPr>
                    <a:xfrm>
                      <a:off x="0" y="0"/>
                      <a:ext cx="3937873" cy="655668"/>
                    </a:xfrm>
                    <a:prstGeom prst="rect">
                      <a:avLst/>
                    </a:prstGeom>
                  </pic:spPr>
                </pic:pic>
              </a:graphicData>
            </a:graphic>
          </wp:inline>
        </w:drawing>
      </w:r>
    </w:p>
    <w:p w14:paraId="0604E006" w14:textId="285CB3DE" w:rsidR="00B565F7" w:rsidRDefault="0091611B" w:rsidP="0091611B">
      <w:pPr>
        <w:jc w:val="right"/>
      </w:pPr>
      <w:r>
        <w:rPr>
          <w:noProof/>
        </w:rPr>
        <w:drawing>
          <wp:inline distT="0" distB="0" distL="0" distR="0" wp14:anchorId="1C6A26BB" wp14:editId="057DA1A6">
            <wp:extent cx="4090857" cy="524933"/>
            <wp:effectExtent l="0" t="0" r="0" b="0"/>
            <wp:docPr id="10" name="Picture 10" descr="A picture containing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moMelStaff.png"/>
                    <pic:cNvPicPr/>
                  </pic:nvPicPr>
                  <pic:blipFill>
                    <a:blip r:embed="rId14">
                      <a:extLst>
                        <a:ext uri="{28A0092B-C50C-407E-A947-70E740481C1C}">
                          <a14:useLocalDpi xmlns:a14="http://schemas.microsoft.com/office/drawing/2010/main" val="0"/>
                        </a:ext>
                      </a:extLst>
                    </a:blip>
                    <a:stretch>
                      <a:fillRect/>
                    </a:stretch>
                  </pic:blipFill>
                  <pic:spPr>
                    <a:xfrm>
                      <a:off x="0" y="0"/>
                      <a:ext cx="4090857" cy="524933"/>
                    </a:xfrm>
                    <a:prstGeom prst="rect">
                      <a:avLst/>
                    </a:prstGeom>
                  </pic:spPr>
                </pic:pic>
              </a:graphicData>
            </a:graphic>
          </wp:inline>
        </w:drawing>
      </w:r>
    </w:p>
    <w:p w14:paraId="076D1023" w14:textId="4523930C" w:rsidR="0091611B" w:rsidRDefault="0091611B" w:rsidP="0091611B">
      <w:pPr>
        <w:rPr>
          <w:b/>
          <w:bCs/>
          <w:i/>
          <w:iCs/>
        </w:rPr>
      </w:pPr>
      <w:r>
        <w:tab/>
      </w:r>
      <w:r>
        <w:rPr>
          <w:b/>
          <w:bCs/>
          <w:i/>
          <w:iCs/>
        </w:rPr>
        <w:t>Time Signatures</w:t>
      </w:r>
    </w:p>
    <w:p w14:paraId="00CD1585" w14:textId="48492E5E" w:rsidR="0091611B" w:rsidRDefault="0091611B" w:rsidP="0091611B">
      <w:r w:rsidRPr="0091611B">
        <w:t>The time signature is a notational convention used in Western musical notation to specify how many beats (pulses) are contained in each measure (bar), and which note value is equivalent to a beat.</w:t>
      </w:r>
      <w:r>
        <w:t xml:space="preserve"> </w:t>
      </w:r>
    </w:p>
    <w:p w14:paraId="3A849607" w14:textId="7835DD47" w:rsidR="0091611B" w:rsidRDefault="0091611B" w:rsidP="0091611B">
      <w:r>
        <w:t xml:space="preserve">The top number in a time signature indicates the number of beats in a measure, and the bottom number indicates what note duration gets counted as one beat. Read the time signature like a fraction to extrapolate this information. For example, the time signature of 4/4 is a measure with four beats, the quarter note getting the beat. The time signature of 2/2 is a measure with two beats, the half note getting the beat. </w:t>
      </w:r>
    </w:p>
    <w:p w14:paraId="4576EF9E" w14:textId="574174F3" w:rsidR="0091611B" w:rsidRDefault="0091611B" w:rsidP="0091611B">
      <w:pPr>
        <w:rPr>
          <w:b/>
          <w:bCs/>
          <w:i/>
          <w:iCs/>
        </w:rPr>
      </w:pPr>
      <w:r>
        <w:tab/>
      </w:r>
      <w:r w:rsidRPr="0091611B">
        <w:rPr>
          <w:b/>
          <w:bCs/>
          <w:i/>
          <w:iCs/>
        </w:rPr>
        <w:t>Rhythmic Values and their Divisions</w:t>
      </w:r>
    </w:p>
    <w:p w14:paraId="05308412" w14:textId="2D30ECB0" w:rsidR="0091611B" w:rsidRPr="00FB7D55" w:rsidRDefault="00FB7D55" w:rsidP="0091611B">
      <w:r w:rsidRPr="00FB7D55">
        <w:t xml:space="preserve">Rhythm refers to the combination of long and short durations in time. Durations are notated with either unfilled or filled </w:t>
      </w:r>
      <w:proofErr w:type="spellStart"/>
      <w:r w:rsidRPr="00FB7D55">
        <w:t>noteheads</w:t>
      </w:r>
      <w:proofErr w:type="spellEnd"/>
      <w:r w:rsidRPr="00FB7D55">
        <w:t xml:space="preserve">. Unfilled </w:t>
      </w:r>
      <w:proofErr w:type="spellStart"/>
      <w:r w:rsidRPr="00FB7D55">
        <w:t>noteheads</w:t>
      </w:r>
      <w:proofErr w:type="spellEnd"/>
      <w:r w:rsidRPr="00FB7D55">
        <w:t xml:space="preserve"> can appear with or without a stem; filled </w:t>
      </w:r>
      <w:proofErr w:type="spellStart"/>
      <w:r w:rsidRPr="00FB7D55">
        <w:t>noteheads</w:t>
      </w:r>
      <w:proofErr w:type="spellEnd"/>
      <w:r w:rsidRPr="00FB7D55">
        <w:t xml:space="preserve"> always appear with a stem. Flags can be added to the stems of filled </w:t>
      </w:r>
      <w:proofErr w:type="spellStart"/>
      <w:r w:rsidRPr="00FB7D55">
        <w:t>noteheads</w:t>
      </w:r>
      <w:proofErr w:type="spellEnd"/>
      <w:r w:rsidRPr="00FB7D55">
        <w:t>; each flag shortens the duration by half.</w:t>
      </w:r>
    </w:p>
    <w:p w14:paraId="52BB1F76" w14:textId="7593712C" w:rsidR="0091611B" w:rsidRPr="0091611B" w:rsidRDefault="00FB7D55" w:rsidP="00FB7D55">
      <w:pPr>
        <w:jc w:val="center"/>
        <w:rPr>
          <w:b/>
          <w:bCs/>
          <w:i/>
          <w:iCs/>
        </w:rPr>
      </w:pPr>
      <w:r>
        <w:rPr>
          <w:b/>
          <w:bCs/>
          <w:i/>
          <w:iCs/>
          <w:noProof/>
        </w:rPr>
        <w:drawing>
          <wp:inline distT="0" distB="0" distL="0" distR="0" wp14:anchorId="346993F4" wp14:editId="1D8B18A1">
            <wp:extent cx="1743455" cy="1981200"/>
            <wp:effectExtent l="0" t="0" r="0" b="0"/>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uration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5282" cy="1994639"/>
                    </a:xfrm>
                    <a:prstGeom prst="rect">
                      <a:avLst/>
                    </a:prstGeom>
                  </pic:spPr>
                </pic:pic>
              </a:graphicData>
            </a:graphic>
          </wp:inline>
        </w:drawing>
      </w:r>
    </w:p>
    <w:p w14:paraId="3CC37285" w14:textId="17FBB80E" w:rsidR="00FB7D55" w:rsidRDefault="00FB7D55" w:rsidP="00FB7D55">
      <w:r w:rsidRPr="00FB7D55">
        <w:lastRenderedPageBreak/>
        <w:t>Rests represent silence in musical notation. For each durational symbol there exists a corresponding rest.</w:t>
      </w:r>
    </w:p>
    <w:p w14:paraId="2ED0A8C2" w14:textId="62366D0A" w:rsidR="00FB7D55" w:rsidRDefault="00FB7D55" w:rsidP="00FB7D55">
      <w:pPr>
        <w:jc w:val="center"/>
      </w:pPr>
      <w:r>
        <w:rPr>
          <w:noProof/>
        </w:rPr>
        <w:drawing>
          <wp:inline distT="0" distB="0" distL="0" distR="0" wp14:anchorId="5C327DC4" wp14:editId="6B63796E">
            <wp:extent cx="1794934" cy="2039698"/>
            <wp:effectExtent l="0" t="0" r="0" b="5080"/>
            <wp:docPr id="14" name="Picture 14"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t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10037" cy="2056860"/>
                    </a:xfrm>
                    <a:prstGeom prst="rect">
                      <a:avLst/>
                    </a:prstGeom>
                  </pic:spPr>
                </pic:pic>
              </a:graphicData>
            </a:graphic>
          </wp:inline>
        </w:drawing>
      </w:r>
    </w:p>
    <w:p w14:paraId="5D02110B" w14:textId="2C8A1AF5" w:rsidR="00FB7D55" w:rsidRDefault="00FB7D55" w:rsidP="00FB7D55">
      <w:r w:rsidRPr="00FB7D55">
        <w:t>Dots and ties allow for basic durations to be lengthened. A dot occurs after a pitch or a rest, and it increases its duration by half. For example, if a quarter note is equivalent in duration to two eighth notes, a dotted quarter note would be equivalent to three eighth notes. Generally, undotted notes divide into two notes; dotted notes divide into three. Thus, undotted notes are typically used to represent the beat level in simple meter, while dotted notes are used to represent the beat in compound meter.</w:t>
      </w:r>
    </w:p>
    <w:p w14:paraId="4938F49B" w14:textId="152D59BF" w:rsidR="00FB7D55" w:rsidRDefault="00FB7D55" w:rsidP="00FB7D55">
      <w:pPr>
        <w:jc w:val="center"/>
      </w:pPr>
      <w:r>
        <w:rPr>
          <w:noProof/>
        </w:rPr>
        <w:drawing>
          <wp:inline distT="0" distB="0" distL="0" distR="0" wp14:anchorId="53E7834B" wp14:editId="08B8A2A7">
            <wp:extent cx="1845733" cy="1501048"/>
            <wp:effectExtent l="0" t="0" r="0" b="0"/>
            <wp:docPr id="15" name="Picture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t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80083" cy="1528983"/>
                    </a:xfrm>
                    <a:prstGeom prst="rect">
                      <a:avLst/>
                    </a:prstGeom>
                  </pic:spPr>
                </pic:pic>
              </a:graphicData>
            </a:graphic>
          </wp:inline>
        </w:drawing>
      </w:r>
    </w:p>
    <w:p w14:paraId="301ED332" w14:textId="6DE5F63F" w:rsidR="00FB7D55" w:rsidRDefault="00FB7D55" w:rsidP="00FB7D55">
      <w:r>
        <w:t xml:space="preserve">A tie lengthens a duration by connecting two adjacent identical pitches. Ties are used to either sustain a pitch beyond the length of a single measure, or to make a particular rhythmic grouping in a measure </w:t>
      </w:r>
      <w:proofErr w:type="gramStart"/>
      <w:r>
        <w:t>more clear</w:t>
      </w:r>
      <w:proofErr w:type="gramEnd"/>
      <w:r>
        <w:t>.</w:t>
      </w:r>
    </w:p>
    <w:p w14:paraId="07D8B893" w14:textId="299901C7" w:rsidR="00FB7D55" w:rsidRDefault="00FB7D55" w:rsidP="00FB7D55">
      <w:r>
        <w:t>In the example below, the duration of the first pitch is longer than a single measure, so it is represented by tying the dotted half note, which lasts the full measure, to the first beat of the subsequent measure.</w:t>
      </w:r>
    </w:p>
    <w:p w14:paraId="17FFA099" w14:textId="2A24CF9D" w:rsidR="00FB7D55" w:rsidRDefault="00FB7D55" w:rsidP="00FB7D55">
      <w:pPr>
        <w:jc w:val="center"/>
      </w:pPr>
      <w:r>
        <w:rPr>
          <w:noProof/>
        </w:rPr>
        <w:drawing>
          <wp:inline distT="0" distB="0" distL="0" distR="0" wp14:anchorId="7B067321" wp14:editId="44682478">
            <wp:extent cx="3454400" cy="756381"/>
            <wp:effectExtent l="0" t="0" r="0" b="5715"/>
            <wp:docPr id="16" name="Picture 16"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ie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19249" cy="792477"/>
                    </a:xfrm>
                    <a:prstGeom prst="rect">
                      <a:avLst/>
                    </a:prstGeom>
                  </pic:spPr>
                </pic:pic>
              </a:graphicData>
            </a:graphic>
          </wp:inline>
        </w:drawing>
      </w:r>
    </w:p>
    <w:p w14:paraId="613D9645" w14:textId="0A341462" w:rsidR="00FB7D55" w:rsidRDefault="00FB7D55" w:rsidP="00FB7D55">
      <w:pPr>
        <w:jc w:val="center"/>
      </w:pPr>
    </w:p>
    <w:p w14:paraId="0AFEB864" w14:textId="68F47E10" w:rsidR="00FB7D55" w:rsidRDefault="00FB7D55" w:rsidP="00FB7D55">
      <w:pPr>
        <w:jc w:val="center"/>
      </w:pPr>
    </w:p>
    <w:p w14:paraId="06950C53" w14:textId="0BDE2B23" w:rsidR="00FB7D55" w:rsidRDefault="00FB7D55" w:rsidP="00FB7D55">
      <w:pPr>
        <w:rPr>
          <w:b/>
          <w:bCs/>
          <w:i/>
          <w:iCs/>
        </w:rPr>
      </w:pPr>
      <w:r>
        <w:lastRenderedPageBreak/>
        <w:tab/>
      </w:r>
      <w:r>
        <w:rPr>
          <w:b/>
          <w:bCs/>
          <w:i/>
          <w:iCs/>
        </w:rPr>
        <w:t>Beams</w:t>
      </w:r>
    </w:p>
    <w:p w14:paraId="7ACD9FCA" w14:textId="3136E77C" w:rsidR="00FB7D55" w:rsidRDefault="00FB7D55" w:rsidP="00FB7D55">
      <w:r>
        <w:t>It’s important to remember that notation is intended to be read by performers. You should always strive to make your notation as easy to interpret as possible. Part of this includes grouping the rhythms such that they convey the beat unit and the beat division. Beams are used to group any notes at the beat division level or shorter that fall within the same beat.</w:t>
      </w:r>
    </w:p>
    <w:p w14:paraId="3293A8B5" w14:textId="28277EAF" w:rsidR="00FB7D55" w:rsidRDefault="00FB7D55" w:rsidP="00FB7D55">
      <w:r>
        <w:t>In this example, the eighth notes are not grouped with beams, making it difficult to interpret the triple meter.</w:t>
      </w:r>
    </w:p>
    <w:p w14:paraId="0E33C3EA" w14:textId="6CEC08A0" w:rsidR="00FB7D55" w:rsidRDefault="00FB7D55" w:rsidP="00FB7D55">
      <w:pPr>
        <w:jc w:val="center"/>
      </w:pPr>
      <w:r>
        <w:rPr>
          <w:noProof/>
        </w:rPr>
        <w:drawing>
          <wp:inline distT="0" distB="0" distL="0" distR="0" wp14:anchorId="3613DEBB" wp14:editId="3B4715B8">
            <wp:extent cx="3014133" cy="547439"/>
            <wp:effectExtent l="0" t="0" r="0" b="0"/>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ithoutbeam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15514" cy="565852"/>
                    </a:xfrm>
                    <a:prstGeom prst="rect">
                      <a:avLst/>
                    </a:prstGeom>
                  </pic:spPr>
                </pic:pic>
              </a:graphicData>
            </a:graphic>
          </wp:inline>
        </w:drawing>
      </w:r>
    </w:p>
    <w:p w14:paraId="07F1A1B7" w14:textId="31190C2F" w:rsidR="00FB7D55" w:rsidRDefault="00FB7D55" w:rsidP="00FB7D55">
      <w:r>
        <w:t>If we re-notate the above example so that the notes that fall within the same beat are grouped together with a beam, it makes the music much easier to read.</w:t>
      </w:r>
    </w:p>
    <w:p w14:paraId="28F546D6" w14:textId="17A1F3F7" w:rsidR="00FB7D55" w:rsidRDefault="00FB7D55" w:rsidP="00FB7D55">
      <w:pPr>
        <w:jc w:val="center"/>
      </w:pPr>
      <w:r>
        <w:rPr>
          <w:noProof/>
        </w:rPr>
        <w:drawing>
          <wp:inline distT="0" distB="0" distL="0" distR="0" wp14:anchorId="3B191031" wp14:editId="33BED035">
            <wp:extent cx="3259667" cy="592034"/>
            <wp:effectExtent l="0" t="0" r="0" b="0"/>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eam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43503" cy="625423"/>
                    </a:xfrm>
                    <a:prstGeom prst="rect">
                      <a:avLst/>
                    </a:prstGeom>
                  </pic:spPr>
                </pic:pic>
              </a:graphicData>
            </a:graphic>
          </wp:inline>
        </w:drawing>
      </w:r>
    </w:p>
    <w:p w14:paraId="5BD58FFE" w14:textId="77777777" w:rsidR="00FB7D55" w:rsidRPr="00FB7D55" w:rsidRDefault="00FB7D55" w:rsidP="00FB7D55">
      <w:pPr>
        <w:ind w:firstLine="720"/>
        <w:rPr>
          <w:b/>
          <w:bCs/>
          <w:i/>
          <w:iCs/>
        </w:rPr>
      </w:pPr>
      <w:r w:rsidRPr="00FB7D55">
        <w:rPr>
          <w:b/>
          <w:bCs/>
          <w:i/>
          <w:iCs/>
        </w:rPr>
        <w:t>Borrowed divisions</w:t>
      </w:r>
    </w:p>
    <w:p w14:paraId="03A31B28" w14:textId="44D02DE0" w:rsidR="00FB7D55" w:rsidRDefault="00FB7D55" w:rsidP="00FB7D55">
      <w:r>
        <w:t>Typically, a meter is defined by the presence of a consistent beat division: division by two in simple meter, and by three in compound meter. Occasionally, composers will use a triple division of the beat in a simple meter, or a duple division of the beat in a compound meter.</w:t>
      </w:r>
    </w:p>
    <w:p w14:paraId="4D799173" w14:textId="3A464943" w:rsidR="00FB7D55" w:rsidRDefault="00FB7D55" w:rsidP="00FB7D55">
      <w:r>
        <w:t xml:space="preserve">Triplets are borrowed from compound </w:t>
      </w:r>
      <w:proofErr w:type="gramStart"/>
      <w:r>
        <w:t>meter, and</w:t>
      </w:r>
      <w:proofErr w:type="gramEnd"/>
      <w:r>
        <w:t xml:space="preserve"> may occur at both the beat division and subdivision levels, as seen below.</w:t>
      </w:r>
    </w:p>
    <w:p w14:paraId="3575582C" w14:textId="148D32D0" w:rsidR="00FB7D55" w:rsidRDefault="00FB7D55" w:rsidP="00FB7D55">
      <w:pPr>
        <w:jc w:val="center"/>
      </w:pPr>
      <w:r>
        <w:rPr>
          <w:noProof/>
        </w:rPr>
        <w:drawing>
          <wp:inline distT="0" distB="0" distL="0" distR="0" wp14:anchorId="07E31BA0" wp14:editId="46468178">
            <wp:extent cx="3158067" cy="665016"/>
            <wp:effectExtent l="0" t="0" r="0" b="0"/>
            <wp:docPr id="19" name="Picture 1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riplet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07259" cy="675375"/>
                    </a:xfrm>
                    <a:prstGeom prst="rect">
                      <a:avLst/>
                    </a:prstGeom>
                  </pic:spPr>
                </pic:pic>
              </a:graphicData>
            </a:graphic>
          </wp:inline>
        </w:drawing>
      </w:r>
    </w:p>
    <w:p w14:paraId="65298859" w14:textId="19E1A5FF" w:rsidR="00FB7D55" w:rsidRDefault="00FB7D55" w:rsidP="00FB7D55">
      <w:r>
        <w:t>Likewise, duplets can be imported from simple meter into a compound meter.</w:t>
      </w:r>
    </w:p>
    <w:p w14:paraId="00A9F378" w14:textId="0C7F9F8C" w:rsidR="00FB7D55" w:rsidRDefault="00FB7D55" w:rsidP="00FB7D55">
      <w:pPr>
        <w:jc w:val="center"/>
      </w:pPr>
      <w:r>
        <w:rPr>
          <w:noProof/>
        </w:rPr>
        <w:drawing>
          <wp:inline distT="0" distB="0" distL="0" distR="0" wp14:anchorId="31760891" wp14:editId="518F9623">
            <wp:extent cx="3302000" cy="695325"/>
            <wp:effectExtent l="0" t="0" r="0" b="0"/>
            <wp:docPr id="20" name="Picture 2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uplet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422626" cy="720726"/>
                    </a:xfrm>
                    <a:prstGeom prst="rect">
                      <a:avLst/>
                    </a:prstGeom>
                  </pic:spPr>
                </pic:pic>
              </a:graphicData>
            </a:graphic>
          </wp:inline>
        </w:drawing>
      </w:r>
    </w:p>
    <w:p w14:paraId="171887BE" w14:textId="747DFB3C" w:rsidR="00FB7D55" w:rsidRDefault="00FB7D55" w:rsidP="00FB7D55"/>
    <w:p w14:paraId="201C2EA6" w14:textId="743667E6" w:rsidR="00FB7D55" w:rsidRDefault="00FB7D55" w:rsidP="00FB7D55"/>
    <w:p w14:paraId="7FCF4BDE" w14:textId="096EF80F" w:rsidR="00FB7D55" w:rsidRDefault="00FB7D55" w:rsidP="00FB7D55"/>
    <w:p w14:paraId="012F1100" w14:textId="77777777" w:rsidR="00FB7D55" w:rsidRDefault="00FB7D55" w:rsidP="00FB7D55"/>
    <w:p w14:paraId="4FDA878B" w14:textId="7C3C9F98" w:rsidR="006203B3" w:rsidRDefault="006203B3" w:rsidP="006203B3">
      <w:pPr>
        <w:pStyle w:val="Heading1"/>
      </w:pPr>
      <w:r>
        <w:lastRenderedPageBreak/>
        <w:t>Bibliography</w:t>
      </w:r>
    </w:p>
    <w:p w14:paraId="345C5124" w14:textId="0CD74AFF" w:rsidR="006203B3" w:rsidRPr="00FB7D55" w:rsidRDefault="006203B3" w:rsidP="006203B3">
      <w:pPr>
        <w:spacing w:after="0" w:line="240" w:lineRule="auto"/>
        <w:rPr>
          <w:rFonts w:eastAsia="Times New Roman" w:cs="Times New Roman"/>
          <w:sz w:val="24"/>
          <w:szCs w:val="24"/>
        </w:rPr>
      </w:pPr>
      <w:proofErr w:type="spellStart"/>
      <w:r w:rsidRPr="006203B3">
        <w:rPr>
          <w:rFonts w:eastAsia="Times New Roman" w:cs="Arial"/>
          <w:color w:val="202122"/>
          <w:sz w:val="21"/>
          <w:szCs w:val="21"/>
          <w:shd w:val="clear" w:color="auto" w:fill="FFFFFF"/>
        </w:rPr>
        <w:t>Csíkos</w:t>
      </w:r>
      <w:proofErr w:type="spellEnd"/>
      <w:r w:rsidRPr="006203B3">
        <w:rPr>
          <w:rFonts w:eastAsia="Times New Roman" w:cs="Arial"/>
          <w:color w:val="202122"/>
          <w:sz w:val="21"/>
          <w:szCs w:val="21"/>
          <w:shd w:val="clear" w:color="auto" w:fill="FFFFFF"/>
        </w:rPr>
        <w:t xml:space="preserve">, G.; </w:t>
      </w:r>
      <w:proofErr w:type="spellStart"/>
      <w:r w:rsidRPr="006203B3">
        <w:rPr>
          <w:rFonts w:eastAsia="Times New Roman" w:cs="Arial"/>
          <w:color w:val="202122"/>
          <w:sz w:val="21"/>
          <w:szCs w:val="21"/>
          <w:shd w:val="clear" w:color="auto" w:fill="FFFFFF"/>
        </w:rPr>
        <w:t>Dohány</w:t>
      </w:r>
      <w:proofErr w:type="spellEnd"/>
      <w:r w:rsidRPr="006203B3">
        <w:rPr>
          <w:rFonts w:eastAsia="Times New Roman" w:cs="Arial"/>
          <w:color w:val="202122"/>
          <w:sz w:val="21"/>
          <w:szCs w:val="21"/>
          <w:shd w:val="clear" w:color="auto" w:fill="FFFFFF"/>
        </w:rPr>
        <w:t xml:space="preserve"> (2016), </w:t>
      </w:r>
      <w:hyperlink r:id="rId23" w:history="1">
        <w:r w:rsidRPr="006203B3">
          <w:rPr>
            <w:rFonts w:eastAsia="Times New Roman" w:cs="Arial"/>
            <w:color w:val="663366"/>
            <w:sz w:val="21"/>
            <w:szCs w:val="21"/>
            <w:u w:val="single"/>
            <w:shd w:val="clear" w:color="auto" w:fill="FFFFFF"/>
          </w:rPr>
          <w:t xml:space="preserve">"Connections between music literacy and music-related background </w:t>
        </w:r>
        <w:r w:rsidRPr="006203B3">
          <w:rPr>
            <w:rFonts w:eastAsia="Times New Roman" w:cs="Arial"/>
            <w:color w:val="663366"/>
            <w:sz w:val="21"/>
            <w:szCs w:val="21"/>
            <w:u w:val="single"/>
            <w:shd w:val="clear" w:color="auto" w:fill="FFFFFF"/>
          </w:rPr>
          <w:t>v</w:t>
        </w:r>
        <w:r w:rsidRPr="006203B3">
          <w:rPr>
            <w:rFonts w:eastAsia="Times New Roman" w:cs="Arial"/>
            <w:color w:val="663366"/>
            <w:sz w:val="21"/>
            <w:szCs w:val="21"/>
            <w:u w:val="single"/>
            <w:shd w:val="clear" w:color="auto" w:fill="FFFFFF"/>
          </w:rPr>
          <w:t>ariables: An empirical investigation"</w:t>
        </w:r>
      </w:hyperlink>
      <w:r w:rsidRPr="006203B3">
        <w:rPr>
          <w:rFonts w:eastAsia="Times New Roman" w:cs="Arial"/>
          <w:color w:val="202122"/>
          <w:sz w:val="21"/>
          <w:szCs w:val="21"/>
          <w:shd w:val="clear" w:color="auto" w:fill="FFFFFF"/>
        </w:rPr>
        <w:t> </w:t>
      </w:r>
      <w:r w:rsidRPr="006203B3">
        <w:rPr>
          <w:rFonts w:eastAsia="Times New Roman" w:cs="Arial"/>
          <w:color w:val="202122"/>
          <w:sz w:val="20"/>
          <w:szCs w:val="20"/>
          <w:shd w:val="clear" w:color="auto" w:fill="FFFFFF"/>
        </w:rPr>
        <w:t>(PDF)</w:t>
      </w:r>
      <w:r w:rsidRPr="006203B3">
        <w:rPr>
          <w:rFonts w:eastAsia="Times New Roman" w:cs="Arial"/>
          <w:color w:val="202122"/>
          <w:sz w:val="21"/>
          <w:szCs w:val="21"/>
          <w:shd w:val="clear" w:color="auto" w:fill="FFFFFF"/>
        </w:rPr>
        <w:t>, </w:t>
      </w:r>
      <w:r w:rsidRPr="006203B3">
        <w:rPr>
          <w:rFonts w:eastAsia="Times New Roman" w:cs="Arial"/>
          <w:i/>
          <w:iCs/>
          <w:color w:val="202122"/>
          <w:sz w:val="21"/>
          <w:szCs w:val="21"/>
          <w:shd w:val="clear" w:color="auto" w:fill="FFFFFF"/>
        </w:rPr>
        <w:t>Visions of Research in Music Education</w:t>
      </w:r>
      <w:r w:rsidRPr="006203B3">
        <w:rPr>
          <w:rFonts w:eastAsia="Times New Roman" w:cs="Arial"/>
          <w:color w:val="202122"/>
          <w:sz w:val="21"/>
          <w:szCs w:val="21"/>
          <w:shd w:val="clear" w:color="auto" w:fill="FFFFFF"/>
        </w:rPr>
        <w:t>, </w:t>
      </w:r>
      <w:r w:rsidRPr="006203B3">
        <w:rPr>
          <w:rFonts w:eastAsia="Times New Roman" w:cs="Arial"/>
          <w:b/>
          <w:bCs/>
          <w:color w:val="202122"/>
          <w:sz w:val="21"/>
          <w:szCs w:val="21"/>
          <w:shd w:val="clear" w:color="auto" w:fill="FFFFFF"/>
        </w:rPr>
        <w:t>28</w:t>
      </w:r>
      <w:r w:rsidRPr="00FB7D55">
        <w:rPr>
          <w:rFonts w:eastAsia="Times New Roman" w:cs="Times New Roman"/>
          <w:sz w:val="24"/>
          <w:szCs w:val="24"/>
        </w:rPr>
        <w:t xml:space="preserve"> </w:t>
      </w:r>
    </w:p>
    <w:p w14:paraId="3A64CBAA" w14:textId="47E606FC" w:rsidR="006203B3" w:rsidRPr="00FB7D55" w:rsidRDefault="006203B3" w:rsidP="006203B3">
      <w:pPr>
        <w:spacing w:after="0" w:line="240" w:lineRule="auto"/>
        <w:rPr>
          <w:rFonts w:eastAsia="Times New Roman" w:cs="Times New Roman"/>
          <w:sz w:val="24"/>
          <w:szCs w:val="24"/>
        </w:rPr>
      </w:pPr>
    </w:p>
    <w:p w14:paraId="1A8F37E1" w14:textId="77777777" w:rsidR="006203B3" w:rsidRPr="006203B3" w:rsidRDefault="006203B3" w:rsidP="006203B3">
      <w:pPr>
        <w:spacing w:after="0" w:line="240" w:lineRule="auto"/>
        <w:rPr>
          <w:rFonts w:eastAsia="Times New Roman" w:cs="Times New Roman"/>
          <w:sz w:val="24"/>
          <w:szCs w:val="24"/>
        </w:rPr>
      </w:pPr>
      <w:r w:rsidRPr="006203B3">
        <w:rPr>
          <w:rFonts w:eastAsia="Times New Roman" w:cs="Arial"/>
          <w:color w:val="202122"/>
          <w:sz w:val="21"/>
          <w:szCs w:val="21"/>
          <w:shd w:val="clear" w:color="auto" w:fill="FFFFFF"/>
        </w:rPr>
        <w:t>Levinson, J. (1990), "Musical Literacy", </w:t>
      </w:r>
      <w:r w:rsidRPr="006203B3">
        <w:rPr>
          <w:rFonts w:eastAsia="Times New Roman" w:cs="Arial"/>
          <w:i/>
          <w:iCs/>
          <w:color w:val="202122"/>
          <w:sz w:val="21"/>
          <w:szCs w:val="21"/>
          <w:shd w:val="clear" w:color="auto" w:fill="FFFFFF"/>
        </w:rPr>
        <w:t>The Journal of Aesthetic Education</w:t>
      </w:r>
      <w:r w:rsidRPr="006203B3">
        <w:rPr>
          <w:rFonts w:eastAsia="Times New Roman" w:cs="Arial"/>
          <w:color w:val="202122"/>
          <w:sz w:val="21"/>
          <w:szCs w:val="21"/>
          <w:shd w:val="clear" w:color="auto" w:fill="FFFFFF"/>
        </w:rPr>
        <w:t xml:space="preserve">, </w:t>
      </w:r>
      <w:proofErr w:type="spellStart"/>
      <w:r w:rsidRPr="006203B3">
        <w:rPr>
          <w:rFonts w:eastAsia="Times New Roman" w:cs="Arial"/>
          <w:color w:val="202122"/>
          <w:sz w:val="21"/>
          <w:szCs w:val="21"/>
          <w:shd w:val="clear" w:color="auto" w:fill="FFFFFF"/>
        </w:rPr>
        <w:t>Jstor</w:t>
      </w:r>
      <w:proofErr w:type="spellEnd"/>
      <w:r w:rsidRPr="006203B3">
        <w:rPr>
          <w:rFonts w:eastAsia="Times New Roman" w:cs="Arial"/>
          <w:color w:val="202122"/>
          <w:sz w:val="21"/>
          <w:szCs w:val="21"/>
          <w:shd w:val="clear" w:color="auto" w:fill="FFFFFF"/>
        </w:rPr>
        <w:t>, </w:t>
      </w:r>
      <w:r w:rsidRPr="006203B3">
        <w:rPr>
          <w:rFonts w:eastAsia="Times New Roman" w:cs="Arial"/>
          <w:b/>
          <w:bCs/>
          <w:color w:val="202122"/>
          <w:sz w:val="21"/>
          <w:szCs w:val="21"/>
          <w:shd w:val="clear" w:color="auto" w:fill="FFFFFF"/>
        </w:rPr>
        <w:t>24</w:t>
      </w:r>
      <w:r w:rsidRPr="006203B3">
        <w:rPr>
          <w:rFonts w:eastAsia="Times New Roman" w:cs="Arial"/>
          <w:color w:val="202122"/>
          <w:sz w:val="21"/>
          <w:szCs w:val="21"/>
          <w:shd w:val="clear" w:color="auto" w:fill="FFFFFF"/>
        </w:rPr>
        <w:t> </w:t>
      </w:r>
    </w:p>
    <w:p w14:paraId="5EA6BD4C" w14:textId="46A79EDC" w:rsidR="006203B3" w:rsidRPr="00FB7D55" w:rsidRDefault="006203B3" w:rsidP="006203B3">
      <w:pPr>
        <w:spacing w:after="0" w:line="240" w:lineRule="auto"/>
        <w:rPr>
          <w:rFonts w:eastAsia="Times New Roman" w:cs="Times New Roman"/>
          <w:sz w:val="24"/>
          <w:szCs w:val="24"/>
        </w:rPr>
      </w:pPr>
    </w:p>
    <w:p w14:paraId="30D91030" w14:textId="77777777" w:rsidR="007D61C3" w:rsidRPr="007D61C3" w:rsidRDefault="007D61C3" w:rsidP="007D61C3">
      <w:pPr>
        <w:spacing w:after="0" w:line="240" w:lineRule="auto"/>
        <w:rPr>
          <w:rFonts w:eastAsia="Times New Roman" w:cs="Times New Roman"/>
          <w:sz w:val="24"/>
          <w:szCs w:val="24"/>
        </w:rPr>
      </w:pPr>
      <w:proofErr w:type="spellStart"/>
      <w:r w:rsidRPr="007D61C3">
        <w:rPr>
          <w:rFonts w:eastAsia="Times New Roman" w:cs="Arial"/>
          <w:color w:val="202122"/>
          <w:sz w:val="21"/>
          <w:szCs w:val="21"/>
          <w:shd w:val="clear" w:color="auto" w:fill="FFFFFF"/>
        </w:rPr>
        <w:t>Gudmundsdottir</w:t>
      </w:r>
      <w:proofErr w:type="spellEnd"/>
      <w:r w:rsidRPr="007D61C3">
        <w:rPr>
          <w:rFonts w:eastAsia="Times New Roman" w:cs="Arial"/>
          <w:color w:val="202122"/>
          <w:sz w:val="21"/>
          <w:szCs w:val="21"/>
          <w:shd w:val="clear" w:color="auto" w:fill="FFFFFF"/>
        </w:rPr>
        <w:t>, H. R. (2010), </w:t>
      </w:r>
      <w:hyperlink r:id="rId24" w:history="1">
        <w:r w:rsidRPr="007D61C3">
          <w:rPr>
            <w:rFonts w:eastAsia="Times New Roman" w:cs="Arial"/>
            <w:color w:val="663366"/>
            <w:sz w:val="21"/>
            <w:szCs w:val="21"/>
            <w:u w:val="single"/>
          </w:rPr>
          <w:t>"Advances in music-reading research"</w:t>
        </w:r>
      </w:hyperlink>
      <w:r w:rsidRPr="007D61C3">
        <w:rPr>
          <w:rFonts w:eastAsia="Times New Roman" w:cs="Arial"/>
          <w:color w:val="202122"/>
          <w:sz w:val="21"/>
          <w:szCs w:val="21"/>
          <w:shd w:val="clear" w:color="auto" w:fill="FFFFFF"/>
        </w:rPr>
        <w:t>, </w:t>
      </w:r>
      <w:r w:rsidRPr="007D61C3">
        <w:rPr>
          <w:rFonts w:eastAsia="Times New Roman" w:cs="Arial"/>
          <w:i/>
          <w:iCs/>
          <w:color w:val="202122"/>
          <w:sz w:val="21"/>
          <w:szCs w:val="21"/>
          <w:shd w:val="clear" w:color="auto" w:fill="FFFFFF"/>
        </w:rPr>
        <w:t>Music Education Research</w:t>
      </w:r>
      <w:r w:rsidRPr="007D61C3">
        <w:rPr>
          <w:rFonts w:eastAsia="Times New Roman" w:cs="Arial"/>
          <w:color w:val="202122"/>
          <w:sz w:val="21"/>
          <w:szCs w:val="21"/>
          <w:shd w:val="clear" w:color="auto" w:fill="FFFFFF"/>
        </w:rPr>
        <w:t>, ResearchGate, </w:t>
      </w:r>
      <w:r w:rsidRPr="007D61C3">
        <w:rPr>
          <w:rFonts w:eastAsia="Times New Roman" w:cs="Arial"/>
          <w:b/>
          <w:bCs/>
          <w:color w:val="202122"/>
          <w:sz w:val="21"/>
          <w:szCs w:val="21"/>
          <w:shd w:val="clear" w:color="auto" w:fill="FFFFFF"/>
        </w:rPr>
        <w:t>12</w:t>
      </w:r>
    </w:p>
    <w:p w14:paraId="27862B1A" w14:textId="77777777" w:rsidR="007D61C3" w:rsidRPr="006203B3" w:rsidRDefault="007D61C3" w:rsidP="006203B3">
      <w:pPr>
        <w:spacing w:after="0" w:line="240" w:lineRule="auto"/>
        <w:rPr>
          <w:rFonts w:eastAsia="Times New Roman" w:cs="Times New Roman"/>
          <w:sz w:val="24"/>
          <w:szCs w:val="24"/>
        </w:rPr>
      </w:pPr>
    </w:p>
    <w:p w14:paraId="0B72D2F6" w14:textId="77777777" w:rsidR="00973831" w:rsidRPr="00973831" w:rsidRDefault="00973831" w:rsidP="00973831">
      <w:pPr>
        <w:spacing w:after="0" w:line="240" w:lineRule="auto"/>
        <w:rPr>
          <w:rFonts w:eastAsia="Times New Roman" w:cs="Times New Roman"/>
          <w:sz w:val="24"/>
          <w:szCs w:val="24"/>
        </w:rPr>
      </w:pPr>
      <w:r w:rsidRPr="00973831">
        <w:rPr>
          <w:rFonts w:eastAsia="Times New Roman" w:cs="Arial"/>
          <w:color w:val="222222"/>
          <w:sz w:val="20"/>
          <w:szCs w:val="20"/>
          <w:shd w:val="clear" w:color="auto" w:fill="FFFFFF"/>
        </w:rPr>
        <w:t xml:space="preserve">Hoffman, Richard; William </w:t>
      </w:r>
      <w:proofErr w:type="spellStart"/>
      <w:r w:rsidRPr="00973831">
        <w:rPr>
          <w:rFonts w:eastAsia="Times New Roman" w:cs="Arial"/>
          <w:color w:val="222222"/>
          <w:sz w:val="20"/>
          <w:szCs w:val="20"/>
          <w:shd w:val="clear" w:color="auto" w:fill="FFFFFF"/>
        </w:rPr>
        <w:t>Pelto</w:t>
      </w:r>
      <w:proofErr w:type="spellEnd"/>
      <w:r w:rsidRPr="00973831">
        <w:rPr>
          <w:rFonts w:eastAsia="Times New Roman" w:cs="Arial"/>
          <w:color w:val="222222"/>
          <w:sz w:val="20"/>
          <w:szCs w:val="20"/>
          <w:shd w:val="clear" w:color="auto" w:fill="FFFFFF"/>
        </w:rPr>
        <w:t>; John. W. White (1996). </w:t>
      </w:r>
      <w:hyperlink r:id="rId25" w:history="1">
        <w:r w:rsidRPr="00973831">
          <w:rPr>
            <w:rFonts w:eastAsia="Times New Roman" w:cs="Arial"/>
            <w:color w:val="663366"/>
            <w:sz w:val="20"/>
            <w:szCs w:val="20"/>
            <w:u w:val="single"/>
            <w:shd w:val="clear" w:color="auto" w:fill="FFFFFF"/>
          </w:rPr>
          <w:t>"</w:t>
        </w:r>
        <w:proofErr w:type="spellStart"/>
        <w:r w:rsidRPr="00973831">
          <w:rPr>
            <w:rFonts w:eastAsia="Times New Roman" w:cs="Arial"/>
            <w:color w:val="663366"/>
            <w:sz w:val="20"/>
            <w:szCs w:val="20"/>
            <w:u w:val="single"/>
            <w:shd w:val="clear" w:color="auto" w:fill="FFFFFF"/>
          </w:rPr>
          <w:t>Takadimi</w:t>
        </w:r>
        <w:proofErr w:type="spellEnd"/>
        <w:r w:rsidRPr="00973831">
          <w:rPr>
            <w:rFonts w:eastAsia="Times New Roman" w:cs="Arial"/>
            <w:color w:val="663366"/>
            <w:sz w:val="20"/>
            <w:szCs w:val="20"/>
            <w:u w:val="single"/>
            <w:shd w:val="clear" w:color="auto" w:fill="FFFFFF"/>
          </w:rPr>
          <w:t>: A Beat-Oriented System of Rhythm Pedagogy"</w:t>
        </w:r>
      </w:hyperlink>
      <w:r w:rsidRPr="00973831">
        <w:rPr>
          <w:rFonts w:eastAsia="Times New Roman" w:cs="Arial"/>
          <w:color w:val="222222"/>
          <w:sz w:val="20"/>
          <w:szCs w:val="20"/>
          <w:shd w:val="clear" w:color="auto" w:fill="FFFFFF"/>
        </w:rPr>
        <w:t> </w:t>
      </w:r>
      <w:r w:rsidRPr="00973831">
        <w:rPr>
          <w:rFonts w:eastAsia="Times New Roman" w:cs="Arial"/>
          <w:color w:val="222222"/>
          <w:sz w:val="19"/>
          <w:szCs w:val="19"/>
          <w:shd w:val="clear" w:color="auto" w:fill="FFFFFF"/>
        </w:rPr>
        <w:t>(PDF)</w:t>
      </w:r>
      <w:r w:rsidRPr="00973831">
        <w:rPr>
          <w:rFonts w:eastAsia="Times New Roman" w:cs="Arial"/>
          <w:color w:val="222222"/>
          <w:sz w:val="20"/>
          <w:szCs w:val="20"/>
          <w:shd w:val="clear" w:color="auto" w:fill="FFFFFF"/>
        </w:rPr>
        <w:t>. </w:t>
      </w:r>
      <w:r w:rsidRPr="00973831">
        <w:rPr>
          <w:rFonts w:eastAsia="Times New Roman" w:cs="Arial"/>
          <w:i/>
          <w:iCs/>
          <w:color w:val="222222"/>
          <w:sz w:val="20"/>
          <w:szCs w:val="20"/>
          <w:shd w:val="clear" w:color="auto" w:fill="FFFFFF"/>
        </w:rPr>
        <w:t>Journal of Music Theory Pedagogy</w:t>
      </w:r>
      <w:r w:rsidRPr="00973831">
        <w:rPr>
          <w:rFonts w:eastAsia="Times New Roman" w:cs="Arial"/>
          <w:color w:val="222222"/>
          <w:sz w:val="20"/>
          <w:szCs w:val="20"/>
          <w:shd w:val="clear" w:color="auto" w:fill="FFFFFF"/>
        </w:rPr>
        <w:t>. </w:t>
      </w:r>
      <w:r w:rsidRPr="00973831">
        <w:rPr>
          <w:rFonts w:eastAsia="Times New Roman" w:cs="Arial"/>
          <w:b/>
          <w:bCs/>
          <w:color w:val="222222"/>
          <w:sz w:val="20"/>
          <w:szCs w:val="20"/>
          <w:shd w:val="clear" w:color="auto" w:fill="FFFFFF"/>
        </w:rPr>
        <w:t>10</w:t>
      </w:r>
    </w:p>
    <w:p w14:paraId="0BCEF09A" w14:textId="05ABCD4C" w:rsidR="006203B3" w:rsidRDefault="006203B3" w:rsidP="006203B3"/>
    <w:p w14:paraId="2AEF9B1A" w14:textId="77777777" w:rsidR="00FB7D55" w:rsidRPr="006203B3" w:rsidRDefault="00FB7D55" w:rsidP="006203B3"/>
    <w:sectPr w:rsidR="00FB7D55" w:rsidRPr="006203B3" w:rsidSect="000A12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1312E" w14:textId="77777777" w:rsidR="00E55488" w:rsidRDefault="00E55488" w:rsidP="006203B3">
      <w:pPr>
        <w:spacing w:after="0" w:line="240" w:lineRule="auto"/>
      </w:pPr>
      <w:r>
        <w:separator/>
      </w:r>
    </w:p>
  </w:endnote>
  <w:endnote w:type="continuationSeparator" w:id="0">
    <w:p w14:paraId="7B64930E" w14:textId="77777777" w:rsidR="00E55488" w:rsidRDefault="00E55488" w:rsidP="0062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A6874" w14:textId="77777777" w:rsidR="00E55488" w:rsidRDefault="00E55488" w:rsidP="006203B3">
      <w:pPr>
        <w:spacing w:after="0" w:line="240" w:lineRule="auto"/>
      </w:pPr>
      <w:r>
        <w:separator/>
      </w:r>
    </w:p>
  </w:footnote>
  <w:footnote w:type="continuationSeparator" w:id="0">
    <w:p w14:paraId="66243E4C" w14:textId="77777777" w:rsidR="00E55488" w:rsidRDefault="00E55488" w:rsidP="006203B3">
      <w:pPr>
        <w:spacing w:after="0" w:line="240" w:lineRule="auto"/>
      </w:pPr>
      <w:r>
        <w:continuationSeparator/>
      </w:r>
    </w:p>
  </w:footnote>
  <w:footnote w:id="1">
    <w:p w14:paraId="015C1F65" w14:textId="1E5E117C" w:rsidR="006203B3" w:rsidRDefault="006203B3">
      <w:pPr>
        <w:pStyle w:val="FootnoteText"/>
      </w:pPr>
      <w:r>
        <w:rPr>
          <w:rStyle w:val="FootnoteReference"/>
        </w:rPr>
        <w:footnoteRef/>
      </w:r>
      <w:r>
        <w:t xml:space="preserve"> </w:t>
      </w:r>
      <w:proofErr w:type="spellStart"/>
      <w:r w:rsidRPr="006203B3">
        <w:t>Swanwick</w:t>
      </w:r>
      <w:proofErr w:type="spellEnd"/>
      <w:r w:rsidRPr="006203B3">
        <w:t xml:space="preserve">, 1999, as cited in </w:t>
      </w:r>
      <w:proofErr w:type="spellStart"/>
      <w:r w:rsidRPr="006203B3">
        <w:t>Csikos</w:t>
      </w:r>
      <w:proofErr w:type="spellEnd"/>
      <w:r w:rsidRPr="006203B3">
        <w:t xml:space="preserve"> &amp; </w:t>
      </w:r>
      <w:proofErr w:type="spellStart"/>
      <w:r w:rsidRPr="006203B3">
        <w:t>Dohany</w:t>
      </w:r>
      <w:proofErr w:type="spellEnd"/>
      <w:r w:rsidRPr="006203B3">
        <w:t>, 2016, p.6</w:t>
      </w:r>
    </w:p>
  </w:footnote>
  <w:footnote w:id="2">
    <w:p w14:paraId="4422305F" w14:textId="597D1B0C" w:rsidR="006203B3" w:rsidRDefault="006203B3">
      <w:pPr>
        <w:pStyle w:val="FootnoteText"/>
      </w:pPr>
      <w:r>
        <w:rPr>
          <w:rStyle w:val="FootnoteReference"/>
        </w:rPr>
        <w:footnoteRef/>
      </w:r>
      <w:r>
        <w:t xml:space="preserve"> </w:t>
      </w:r>
      <w:r w:rsidRPr="006203B3">
        <w:t>Levinson, 1990, p.24</w:t>
      </w:r>
    </w:p>
  </w:footnote>
  <w:footnote w:id="3">
    <w:p w14:paraId="63D1B910" w14:textId="031E0CBA" w:rsidR="006203B3" w:rsidRDefault="006203B3">
      <w:pPr>
        <w:pStyle w:val="FootnoteText"/>
      </w:pPr>
      <w:r>
        <w:rPr>
          <w:rStyle w:val="FootnoteReference"/>
        </w:rPr>
        <w:footnoteRef/>
      </w:r>
      <w:r>
        <w:t xml:space="preserve"> </w:t>
      </w:r>
      <w:r w:rsidRPr="006203B3">
        <w:t xml:space="preserve">Levinson, 1990; </w:t>
      </w:r>
      <w:proofErr w:type="spellStart"/>
      <w:r w:rsidRPr="006203B3">
        <w:t>Csapo</w:t>
      </w:r>
      <w:proofErr w:type="spellEnd"/>
      <w:r w:rsidRPr="006203B3">
        <w:t xml:space="preserve">, 2004; Waller, 2010; Hodges &amp; </w:t>
      </w:r>
      <w:proofErr w:type="spellStart"/>
      <w:r w:rsidRPr="006203B3">
        <w:t>Nolker</w:t>
      </w:r>
      <w:proofErr w:type="spellEnd"/>
      <w:r w:rsidRPr="006203B3">
        <w:t xml:space="preserve">, 2011; Burton, 2015; Mills &amp; McPherson, 2015; </w:t>
      </w:r>
      <w:proofErr w:type="spellStart"/>
      <w:r w:rsidRPr="006203B3">
        <w:t>Csikos</w:t>
      </w:r>
      <w:proofErr w:type="spellEnd"/>
      <w:r w:rsidRPr="006203B3">
        <w:t xml:space="preserve"> &amp; </w:t>
      </w:r>
      <w:proofErr w:type="spellStart"/>
      <w:r w:rsidRPr="006203B3">
        <w:t>Dohany</w:t>
      </w:r>
      <w:proofErr w:type="spellEnd"/>
      <w:r w:rsidRPr="006203B3">
        <w:t>, 2016</w:t>
      </w:r>
    </w:p>
  </w:footnote>
  <w:footnote w:id="4">
    <w:p w14:paraId="145F0D8B" w14:textId="34390D9A" w:rsidR="006203B3" w:rsidRDefault="006203B3">
      <w:pPr>
        <w:pStyle w:val="FootnoteText"/>
      </w:pPr>
      <w:r>
        <w:rPr>
          <w:rStyle w:val="FootnoteReference"/>
        </w:rPr>
        <w:footnoteRef/>
      </w:r>
      <w:r>
        <w:t xml:space="preserve"> </w:t>
      </w:r>
      <w:r w:rsidRPr="006203B3">
        <w:t xml:space="preserve">Wolf, 1976, as cited in </w:t>
      </w:r>
      <w:proofErr w:type="spellStart"/>
      <w:r w:rsidRPr="006203B3">
        <w:t>Gudmundsdottir</w:t>
      </w:r>
      <w:proofErr w:type="spellEnd"/>
      <w:r w:rsidRPr="006203B3">
        <w:t>, 2010, p.4</w:t>
      </w:r>
    </w:p>
  </w:footnote>
  <w:footnote w:id="5">
    <w:p w14:paraId="611B2DD2" w14:textId="61F9FC49" w:rsidR="00973831" w:rsidRDefault="00973831">
      <w:pPr>
        <w:pStyle w:val="FootnoteText"/>
      </w:pPr>
      <w:r>
        <w:rPr>
          <w:rStyle w:val="FootnoteReference"/>
        </w:rPr>
        <w:footnoteRef/>
      </w:r>
      <w:r>
        <w:t xml:space="preserve"> </w:t>
      </w:r>
      <w:r w:rsidRPr="00973831">
        <w:rPr>
          <w:rFonts w:ascii="Arial" w:eastAsia="Times New Roman" w:hAnsi="Arial" w:cs="Arial"/>
          <w:color w:val="222222"/>
          <w:shd w:val="clear" w:color="auto" w:fill="FFFFFF"/>
        </w:rPr>
        <w:t xml:space="preserve">Hoffman, Richard; William </w:t>
      </w:r>
      <w:proofErr w:type="spellStart"/>
      <w:r w:rsidRPr="00973831">
        <w:rPr>
          <w:rFonts w:ascii="Arial" w:eastAsia="Times New Roman" w:hAnsi="Arial" w:cs="Arial"/>
          <w:color w:val="222222"/>
          <w:shd w:val="clear" w:color="auto" w:fill="FFFFFF"/>
        </w:rPr>
        <w:t>Pelto</w:t>
      </w:r>
      <w:proofErr w:type="spellEnd"/>
      <w:r w:rsidRPr="00973831">
        <w:rPr>
          <w:rFonts w:ascii="Arial" w:eastAsia="Times New Roman" w:hAnsi="Arial" w:cs="Arial"/>
          <w:color w:val="222222"/>
          <w:shd w:val="clear" w:color="auto" w:fill="FFFFFF"/>
        </w:rPr>
        <w:t>; John. W. White (1996)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533BDE"/>
    <w:multiLevelType w:val="hybridMultilevel"/>
    <w:tmpl w:val="11402E56"/>
    <w:lvl w:ilvl="0" w:tplc="4E98A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5F4F7A"/>
    <w:multiLevelType w:val="hybridMultilevel"/>
    <w:tmpl w:val="8C20403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8926D9"/>
    <w:multiLevelType w:val="hybridMultilevel"/>
    <w:tmpl w:val="DD7463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470DDD"/>
    <w:multiLevelType w:val="hybridMultilevel"/>
    <w:tmpl w:val="5784F470"/>
    <w:lvl w:ilvl="0" w:tplc="0E1A5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2C"/>
    <w:rsid w:val="000A12EE"/>
    <w:rsid w:val="0022214D"/>
    <w:rsid w:val="002740D8"/>
    <w:rsid w:val="00301182"/>
    <w:rsid w:val="005C67AA"/>
    <w:rsid w:val="006203B3"/>
    <w:rsid w:val="007D61C3"/>
    <w:rsid w:val="00915D2C"/>
    <w:rsid w:val="0091611B"/>
    <w:rsid w:val="00957217"/>
    <w:rsid w:val="00973831"/>
    <w:rsid w:val="00B565F7"/>
    <w:rsid w:val="00C83C36"/>
    <w:rsid w:val="00D870AF"/>
    <w:rsid w:val="00E55488"/>
    <w:rsid w:val="00FB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69C5"/>
  <w15:chartTrackingRefBased/>
  <w15:docId w15:val="{6E56CEC9-7EE4-F646-8EC3-E9A28F4D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D2C"/>
  </w:style>
  <w:style w:type="paragraph" w:styleId="Heading1">
    <w:name w:val="heading 1"/>
    <w:basedOn w:val="Normal"/>
    <w:next w:val="Normal"/>
    <w:link w:val="Heading1Char"/>
    <w:uiPriority w:val="9"/>
    <w:qFormat/>
    <w:rsid w:val="00915D2C"/>
    <w:pPr>
      <w:pBdr>
        <w:bottom w:val="thinThickSmallGap" w:sz="12" w:space="1" w:color="C66022" w:themeColor="accent2" w:themeShade="BF"/>
      </w:pBdr>
      <w:spacing w:before="400"/>
      <w:jc w:val="center"/>
      <w:outlineLvl w:val="0"/>
    </w:pPr>
    <w:rPr>
      <w:caps/>
      <w:color w:val="854016" w:themeColor="accent2" w:themeShade="80"/>
      <w:spacing w:val="20"/>
      <w:sz w:val="28"/>
      <w:szCs w:val="28"/>
    </w:rPr>
  </w:style>
  <w:style w:type="paragraph" w:styleId="Heading2">
    <w:name w:val="heading 2"/>
    <w:basedOn w:val="Normal"/>
    <w:next w:val="Normal"/>
    <w:link w:val="Heading2Char"/>
    <w:uiPriority w:val="9"/>
    <w:semiHidden/>
    <w:unhideWhenUsed/>
    <w:qFormat/>
    <w:rsid w:val="00915D2C"/>
    <w:pPr>
      <w:pBdr>
        <w:bottom w:val="single" w:sz="4" w:space="1" w:color="844016" w:themeColor="accent2" w:themeShade="7F"/>
      </w:pBdr>
      <w:spacing w:before="400"/>
      <w:jc w:val="center"/>
      <w:outlineLvl w:val="1"/>
    </w:pPr>
    <w:rPr>
      <w:caps/>
      <w:color w:val="854016" w:themeColor="accent2" w:themeShade="80"/>
      <w:spacing w:val="15"/>
      <w:sz w:val="24"/>
      <w:szCs w:val="24"/>
    </w:rPr>
  </w:style>
  <w:style w:type="paragraph" w:styleId="Heading3">
    <w:name w:val="heading 3"/>
    <w:basedOn w:val="Normal"/>
    <w:next w:val="Normal"/>
    <w:link w:val="Heading3Char"/>
    <w:uiPriority w:val="9"/>
    <w:semiHidden/>
    <w:unhideWhenUsed/>
    <w:qFormat/>
    <w:rsid w:val="00915D2C"/>
    <w:pPr>
      <w:pBdr>
        <w:top w:val="dotted" w:sz="4" w:space="1" w:color="844016" w:themeColor="accent2" w:themeShade="7F"/>
        <w:bottom w:val="dotted" w:sz="4" w:space="1" w:color="844016" w:themeColor="accent2" w:themeShade="7F"/>
      </w:pBdr>
      <w:spacing w:before="300"/>
      <w:jc w:val="center"/>
      <w:outlineLvl w:val="2"/>
    </w:pPr>
    <w:rPr>
      <w:caps/>
      <w:color w:val="844016" w:themeColor="accent2" w:themeShade="7F"/>
      <w:sz w:val="24"/>
      <w:szCs w:val="24"/>
    </w:rPr>
  </w:style>
  <w:style w:type="paragraph" w:styleId="Heading4">
    <w:name w:val="heading 4"/>
    <w:basedOn w:val="Normal"/>
    <w:next w:val="Normal"/>
    <w:link w:val="Heading4Char"/>
    <w:uiPriority w:val="9"/>
    <w:semiHidden/>
    <w:unhideWhenUsed/>
    <w:qFormat/>
    <w:rsid w:val="00915D2C"/>
    <w:pPr>
      <w:pBdr>
        <w:bottom w:val="dotted" w:sz="4" w:space="1" w:color="C66022" w:themeColor="accent2" w:themeShade="BF"/>
      </w:pBdr>
      <w:spacing w:after="120"/>
      <w:jc w:val="center"/>
      <w:outlineLvl w:val="3"/>
    </w:pPr>
    <w:rPr>
      <w:caps/>
      <w:color w:val="844016" w:themeColor="accent2" w:themeShade="7F"/>
      <w:spacing w:val="10"/>
    </w:rPr>
  </w:style>
  <w:style w:type="paragraph" w:styleId="Heading5">
    <w:name w:val="heading 5"/>
    <w:basedOn w:val="Normal"/>
    <w:next w:val="Normal"/>
    <w:link w:val="Heading5Char"/>
    <w:uiPriority w:val="9"/>
    <w:semiHidden/>
    <w:unhideWhenUsed/>
    <w:qFormat/>
    <w:rsid w:val="00915D2C"/>
    <w:pPr>
      <w:spacing w:before="320" w:after="120"/>
      <w:jc w:val="center"/>
      <w:outlineLvl w:val="4"/>
    </w:pPr>
    <w:rPr>
      <w:caps/>
      <w:color w:val="844016" w:themeColor="accent2" w:themeShade="7F"/>
      <w:spacing w:val="10"/>
    </w:rPr>
  </w:style>
  <w:style w:type="paragraph" w:styleId="Heading6">
    <w:name w:val="heading 6"/>
    <w:basedOn w:val="Normal"/>
    <w:next w:val="Normal"/>
    <w:link w:val="Heading6Char"/>
    <w:uiPriority w:val="9"/>
    <w:semiHidden/>
    <w:unhideWhenUsed/>
    <w:qFormat/>
    <w:rsid w:val="00915D2C"/>
    <w:pPr>
      <w:spacing w:after="120"/>
      <w:jc w:val="center"/>
      <w:outlineLvl w:val="5"/>
    </w:pPr>
    <w:rPr>
      <w:caps/>
      <w:color w:val="C66022" w:themeColor="accent2" w:themeShade="BF"/>
      <w:spacing w:val="10"/>
    </w:rPr>
  </w:style>
  <w:style w:type="paragraph" w:styleId="Heading7">
    <w:name w:val="heading 7"/>
    <w:basedOn w:val="Normal"/>
    <w:next w:val="Normal"/>
    <w:link w:val="Heading7Char"/>
    <w:uiPriority w:val="9"/>
    <w:semiHidden/>
    <w:unhideWhenUsed/>
    <w:qFormat/>
    <w:rsid w:val="00915D2C"/>
    <w:pPr>
      <w:spacing w:after="120"/>
      <w:jc w:val="center"/>
      <w:outlineLvl w:val="6"/>
    </w:pPr>
    <w:rPr>
      <w:i/>
      <w:iCs/>
      <w:caps/>
      <w:color w:val="C66022" w:themeColor="accent2" w:themeShade="BF"/>
      <w:spacing w:val="10"/>
    </w:rPr>
  </w:style>
  <w:style w:type="paragraph" w:styleId="Heading8">
    <w:name w:val="heading 8"/>
    <w:basedOn w:val="Normal"/>
    <w:next w:val="Normal"/>
    <w:link w:val="Heading8Char"/>
    <w:uiPriority w:val="9"/>
    <w:semiHidden/>
    <w:unhideWhenUsed/>
    <w:qFormat/>
    <w:rsid w:val="00915D2C"/>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15D2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D2C"/>
    <w:rPr>
      <w:caps/>
      <w:color w:val="854016" w:themeColor="accent2" w:themeShade="80"/>
      <w:spacing w:val="20"/>
      <w:sz w:val="28"/>
      <w:szCs w:val="28"/>
    </w:rPr>
  </w:style>
  <w:style w:type="character" w:customStyle="1" w:styleId="Heading2Char">
    <w:name w:val="Heading 2 Char"/>
    <w:basedOn w:val="DefaultParagraphFont"/>
    <w:link w:val="Heading2"/>
    <w:uiPriority w:val="9"/>
    <w:semiHidden/>
    <w:rsid w:val="00915D2C"/>
    <w:rPr>
      <w:caps/>
      <w:color w:val="854016" w:themeColor="accent2" w:themeShade="80"/>
      <w:spacing w:val="15"/>
      <w:sz w:val="24"/>
      <w:szCs w:val="24"/>
    </w:rPr>
  </w:style>
  <w:style w:type="character" w:customStyle="1" w:styleId="Heading3Char">
    <w:name w:val="Heading 3 Char"/>
    <w:basedOn w:val="DefaultParagraphFont"/>
    <w:link w:val="Heading3"/>
    <w:uiPriority w:val="9"/>
    <w:semiHidden/>
    <w:rsid w:val="00915D2C"/>
    <w:rPr>
      <w:caps/>
      <w:color w:val="844016" w:themeColor="accent2" w:themeShade="7F"/>
      <w:sz w:val="24"/>
      <w:szCs w:val="24"/>
    </w:rPr>
  </w:style>
  <w:style w:type="character" w:customStyle="1" w:styleId="Heading4Char">
    <w:name w:val="Heading 4 Char"/>
    <w:basedOn w:val="DefaultParagraphFont"/>
    <w:link w:val="Heading4"/>
    <w:uiPriority w:val="9"/>
    <w:semiHidden/>
    <w:rsid w:val="00915D2C"/>
    <w:rPr>
      <w:caps/>
      <w:color w:val="844016" w:themeColor="accent2" w:themeShade="7F"/>
      <w:spacing w:val="10"/>
    </w:rPr>
  </w:style>
  <w:style w:type="character" w:customStyle="1" w:styleId="Heading5Char">
    <w:name w:val="Heading 5 Char"/>
    <w:basedOn w:val="DefaultParagraphFont"/>
    <w:link w:val="Heading5"/>
    <w:uiPriority w:val="9"/>
    <w:semiHidden/>
    <w:rsid w:val="00915D2C"/>
    <w:rPr>
      <w:caps/>
      <w:color w:val="844016" w:themeColor="accent2" w:themeShade="7F"/>
      <w:spacing w:val="10"/>
    </w:rPr>
  </w:style>
  <w:style w:type="character" w:customStyle="1" w:styleId="Heading6Char">
    <w:name w:val="Heading 6 Char"/>
    <w:basedOn w:val="DefaultParagraphFont"/>
    <w:link w:val="Heading6"/>
    <w:uiPriority w:val="9"/>
    <w:semiHidden/>
    <w:rsid w:val="00915D2C"/>
    <w:rPr>
      <w:caps/>
      <w:color w:val="C66022" w:themeColor="accent2" w:themeShade="BF"/>
      <w:spacing w:val="10"/>
    </w:rPr>
  </w:style>
  <w:style w:type="character" w:customStyle="1" w:styleId="Heading7Char">
    <w:name w:val="Heading 7 Char"/>
    <w:basedOn w:val="DefaultParagraphFont"/>
    <w:link w:val="Heading7"/>
    <w:uiPriority w:val="9"/>
    <w:semiHidden/>
    <w:rsid w:val="00915D2C"/>
    <w:rPr>
      <w:i/>
      <w:iCs/>
      <w:caps/>
      <w:color w:val="C66022" w:themeColor="accent2" w:themeShade="BF"/>
      <w:spacing w:val="10"/>
    </w:rPr>
  </w:style>
  <w:style w:type="character" w:customStyle="1" w:styleId="Heading8Char">
    <w:name w:val="Heading 8 Char"/>
    <w:basedOn w:val="DefaultParagraphFont"/>
    <w:link w:val="Heading8"/>
    <w:uiPriority w:val="9"/>
    <w:semiHidden/>
    <w:rsid w:val="00915D2C"/>
    <w:rPr>
      <w:caps/>
      <w:spacing w:val="10"/>
      <w:sz w:val="20"/>
      <w:szCs w:val="20"/>
    </w:rPr>
  </w:style>
  <w:style w:type="character" w:customStyle="1" w:styleId="Heading9Char">
    <w:name w:val="Heading 9 Char"/>
    <w:basedOn w:val="DefaultParagraphFont"/>
    <w:link w:val="Heading9"/>
    <w:uiPriority w:val="9"/>
    <w:semiHidden/>
    <w:rsid w:val="00915D2C"/>
    <w:rPr>
      <w:i/>
      <w:iCs/>
      <w:caps/>
      <w:spacing w:val="10"/>
      <w:sz w:val="20"/>
      <w:szCs w:val="20"/>
    </w:rPr>
  </w:style>
  <w:style w:type="paragraph" w:styleId="Caption">
    <w:name w:val="caption"/>
    <w:basedOn w:val="Normal"/>
    <w:next w:val="Normal"/>
    <w:uiPriority w:val="35"/>
    <w:semiHidden/>
    <w:unhideWhenUsed/>
    <w:qFormat/>
    <w:rsid w:val="00915D2C"/>
    <w:rPr>
      <w:caps/>
      <w:spacing w:val="10"/>
      <w:sz w:val="18"/>
      <w:szCs w:val="18"/>
    </w:rPr>
  </w:style>
  <w:style w:type="paragraph" w:styleId="Title">
    <w:name w:val="Title"/>
    <w:basedOn w:val="Normal"/>
    <w:next w:val="Normal"/>
    <w:link w:val="TitleChar"/>
    <w:uiPriority w:val="10"/>
    <w:qFormat/>
    <w:rsid w:val="00915D2C"/>
    <w:pPr>
      <w:pBdr>
        <w:top w:val="dotted" w:sz="2" w:space="1" w:color="854016" w:themeColor="accent2" w:themeShade="80"/>
        <w:bottom w:val="dotted" w:sz="2" w:space="6" w:color="854016" w:themeColor="accent2" w:themeShade="80"/>
      </w:pBdr>
      <w:spacing w:before="500" w:after="300" w:line="240" w:lineRule="auto"/>
      <w:jc w:val="center"/>
    </w:pPr>
    <w:rPr>
      <w:caps/>
      <w:color w:val="854016" w:themeColor="accent2" w:themeShade="80"/>
      <w:spacing w:val="50"/>
      <w:sz w:val="44"/>
      <w:szCs w:val="44"/>
    </w:rPr>
  </w:style>
  <w:style w:type="character" w:customStyle="1" w:styleId="TitleChar">
    <w:name w:val="Title Char"/>
    <w:basedOn w:val="DefaultParagraphFont"/>
    <w:link w:val="Title"/>
    <w:uiPriority w:val="10"/>
    <w:rsid w:val="00915D2C"/>
    <w:rPr>
      <w:caps/>
      <w:color w:val="854016" w:themeColor="accent2" w:themeShade="80"/>
      <w:spacing w:val="50"/>
      <w:sz w:val="44"/>
      <w:szCs w:val="44"/>
    </w:rPr>
  </w:style>
  <w:style w:type="paragraph" w:styleId="Subtitle">
    <w:name w:val="Subtitle"/>
    <w:basedOn w:val="Normal"/>
    <w:next w:val="Normal"/>
    <w:link w:val="SubtitleChar"/>
    <w:uiPriority w:val="11"/>
    <w:qFormat/>
    <w:rsid w:val="00915D2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15D2C"/>
    <w:rPr>
      <w:caps/>
      <w:spacing w:val="20"/>
      <w:sz w:val="18"/>
      <w:szCs w:val="18"/>
    </w:rPr>
  </w:style>
  <w:style w:type="character" w:styleId="Strong">
    <w:name w:val="Strong"/>
    <w:uiPriority w:val="22"/>
    <w:qFormat/>
    <w:rsid w:val="00915D2C"/>
    <w:rPr>
      <w:b/>
      <w:bCs/>
      <w:color w:val="C66022" w:themeColor="accent2" w:themeShade="BF"/>
      <w:spacing w:val="5"/>
    </w:rPr>
  </w:style>
  <w:style w:type="character" w:styleId="Emphasis">
    <w:name w:val="Emphasis"/>
    <w:uiPriority w:val="20"/>
    <w:qFormat/>
    <w:rsid w:val="00915D2C"/>
    <w:rPr>
      <w:caps/>
      <w:spacing w:val="5"/>
      <w:sz w:val="20"/>
      <w:szCs w:val="20"/>
    </w:rPr>
  </w:style>
  <w:style w:type="paragraph" w:styleId="NoSpacing">
    <w:name w:val="No Spacing"/>
    <w:basedOn w:val="Normal"/>
    <w:link w:val="NoSpacingChar"/>
    <w:uiPriority w:val="1"/>
    <w:qFormat/>
    <w:rsid w:val="00915D2C"/>
    <w:pPr>
      <w:spacing w:after="0" w:line="240" w:lineRule="auto"/>
    </w:pPr>
  </w:style>
  <w:style w:type="character" w:customStyle="1" w:styleId="NoSpacingChar">
    <w:name w:val="No Spacing Char"/>
    <w:basedOn w:val="DefaultParagraphFont"/>
    <w:link w:val="NoSpacing"/>
    <w:uiPriority w:val="1"/>
    <w:rsid w:val="00915D2C"/>
  </w:style>
  <w:style w:type="paragraph" w:styleId="ListParagraph">
    <w:name w:val="List Paragraph"/>
    <w:basedOn w:val="Normal"/>
    <w:uiPriority w:val="34"/>
    <w:qFormat/>
    <w:rsid w:val="00915D2C"/>
    <w:pPr>
      <w:ind w:left="720"/>
      <w:contextualSpacing/>
    </w:pPr>
  </w:style>
  <w:style w:type="paragraph" w:styleId="Quote">
    <w:name w:val="Quote"/>
    <w:basedOn w:val="Normal"/>
    <w:next w:val="Normal"/>
    <w:link w:val="QuoteChar"/>
    <w:uiPriority w:val="29"/>
    <w:qFormat/>
    <w:rsid w:val="00915D2C"/>
    <w:rPr>
      <w:i/>
      <w:iCs/>
    </w:rPr>
  </w:style>
  <w:style w:type="character" w:customStyle="1" w:styleId="QuoteChar">
    <w:name w:val="Quote Char"/>
    <w:basedOn w:val="DefaultParagraphFont"/>
    <w:link w:val="Quote"/>
    <w:uiPriority w:val="29"/>
    <w:rsid w:val="00915D2C"/>
    <w:rPr>
      <w:i/>
      <w:iCs/>
    </w:rPr>
  </w:style>
  <w:style w:type="paragraph" w:styleId="IntenseQuote">
    <w:name w:val="Intense Quote"/>
    <w:basedOn w:val="Normal"/>
    <w:next w:val="Normal"/>
    <w:link w:val="IntenseQuoteChar"/>
    <w:uiPriority w:val="30"/>
    <w:qFormat/>
    <w:rsid w:val="00915D2C"/>
    <w:pPr>
      <w:pBdr>
        <w:top w:val="dotted" w:sz="2" w:space="10" w:color="854016" w:themeColor="accent2" w:themeShade="80"/>
        <w:bottom w:val="dotted" w:sz="2" w:space="4" w:color="854016" w:themeColor="accent2" w:themeShade="80"/>
      </w:pBdr>
      <w:spacing w:before="160" w:line="300" w:lineRule="auto"/>
      <w:ind w:left="1440" w:right="1440"/>
    </w:pPr>
    <w:rPr>
      <w:caps/>
      <w:color w:val="844016" w:themeColor="accent2" w:themeShade="7F"/>
      <w:spacing w:val="5"/>
      <w:sz w:val="20"/>
      <w:szCs w:val="20"/>
    </w:rPr>
  </w:style>
  <w:style w:type="character" w:customStyle="1" w:styleId="IntenseQuoteChar">
    <w:name w:val="Intense Quote Char"/>
    <w:basedOn w:val="DefaultParagraphFont"/>
    <w:link w:val="IntenseQuote"/>
    <w:uiPriority w:val="30"/>
    <w:rsid w:val="00915D2C"/>
    <w:rPr>
      <w:caps/>
      <w:color w:val="844016" w:themeColor="accent2" w:themeShade="7F"/>
      <w:spacing w:val="5"/>
      <w:sz w:val="20"/>
      <w:szCs w:val="20"/>
    </w:rPr>
  </w:style>
  <w:style w:type="character" w:styleId="SubtleEmphasis">
    <w:name w:val="Subtle Emphasis"/>
    <w:uiPriority w:val="19"/>
    <w:qFormat/>
    <w:rsid w:val="00915D2C"/>
    <w:rPr>
      <w:i/>
      <w:iCs/>
    </w:rPr>
  </w:style>
  <w:style w:type="character" w:styleId="IntenseEmphasis">
    <w:name w:val="Intense Emphasis"/>
    <w:uiPriority w:val="21"/>
    <w:qFormat/>
    <w:rsid w:val="00915D2C"/>
    <w:rPr>
      <w:i/>
      <w:iCs/>
      <w:caps/>
      <w:spacing w:val="10"/>
      <w:sz w:val="20"/>
      <w:szCs w:val="20"/>
    </w:rPr>
  </w:style>
  <w:style w:type="character" w:styleId="SubtleReference">
    <w:name w:val="Subtle Reference"/>
    <w:basedOn w:val="DefaultParagraphFont"/>
    <w:uiPriority w:val="31"/>
    <w:qFormat/>
    <w:rsid w:val="00915D2C"/>
    <w:rPr>
      <w:rFonts w:asciiTheme="minorHAnsi" w:eastAsiaTheme="minorEastAsia" w:hAnsiTheme="minorHAnsi" w:cstheme="minorBidi"/>
      <w:i/>
      <w:iCs/>
      <w:color w:val="844016" w:themeColor="accent2" w:themeShade="7F"/>
    </w:rPr>
  </w:style>
  <w:style w:type="character" w:styleId="IntenseReference">
    <w:name w:val="Intense Reference"/>
    <w:uiPriority w:val="32"/>
    <w:qFormat/>
    <w:rsid w:val="00915D2C"/>
    <w:rPr>
      <w:rFonts w:asciiTheme="minorHAnsi" w:eastAsiaTheme="minorEastAsia" w:hAnsiTheme="minorHAnsi" w:cstheme="minorBidi"/>
      <w:b/>
      <w:bCs/>
      <w:i/>
      <w:iCs/>
      <w:color w:val="844016" w:themeColor="accent2" w:themeShade="7F"/>
    </w:rPr>
  </w:style>
  <w:style w:type="character" w:styleId="BookTitle">
    <w:name w:val="Book Title"/>
    <w:uiPriority w:val="33"/>
    <w:qFormat/>
    <w:rsid w:val="00915D2C"/>
    <w:rPr>
      <w:caps/>
      <w:color w:val="844016" w:themeColor="accent2" w:themeShade="7F"/>
      <w:spacing w:val="5"/>
      <w:u w:color="844016" w:themeColor="accent2" w:themeShade="7F"/>
    </w:rPr>
  </w:style>
  <w:style w:type="paragraph" w:styleId="TOCHeading">
    <w:name w:val="TOC Heading"/>
    <w:basedOn w:val="Heading1"/>
    <w:next w:val="Normal"/>
    <w:uiPriority w:val="39"/>
    <w:semiHidden/>
    <w:unhideWhenUsed/>
    <w:qFormat/>
    <w:rsid w:val="00915D2C"/>
    <w:pPr>
      <w:outlineLvl w:val="9"/>
    </w:pPr>
  </w:style>
  <w:style w:type="paragraph" w:styleId="FootnoteText">
    <w:name w:val="footnote text"/>
    <w:basedOn w:val="Normal"/>
    <w:link w:val="FootnoteTextChar"/>
    <w:uiPriority w:val="99"/>
    <w:semiHidden/>
    <w:unhideWhenUsed/>
    <w:rsid w:val="00620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3B3"/>
    <w:rPr>
      <w:sz w:val="20"/>
      <w:szCs w:val="20"/>
    </w:rPr>
  </w:style>
  <w:style w:type="character" w:styleId="FootnoteReference">
    <w:name w:val="footnote reference"/>
    <w:basedOn w:val="DefaultParagraphFont"/>
    <w:uiPriority w:val="99"/>
    <w:semiHidden/>
    <w:unhideWhenUsed/>
    <w:rsid w:val="006203B3"/>
    <w:rPr>
      <w:vertAlign w:val="superscript"/>
    </w:rPr>
  </w:style>
  <w:style w:type="character" w:styleId="Hyperlink">
    <w:name w:val="Hyperlink"/>
    <w:basedOn w:val="DefaultParagraphFont"/>
    <w:uiPriority w:val="99"/>
    <w:semiHidden/>
    <w:unhideWhenUsed/>
    <w:rsid w:val="006203B3"/>
    <w:rPr>
      <w:color w:val="0000FF"/>
      <w:u w:val="single"/>
    </w:rPr>
  </w:style>
  <w:style w:type="character" w:customStyle="1" w:styleId="cs1-format">
    <w:name w:val="cs1-format"/>
    <w:basedOn w:val="DefaultParagraphFont"/>
    <w:rsid w:val="006203B3"/>
  </w:style>
  <w:style w:type="table" w:styleId="TableGrid">
    <w:name w:val="Table Grid"/>
    <w:basedOn w:val="TableNormal"/>
    <w:uiPriority w:val="39"/>
    <w:rsid w:val="00916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076">
      <w:bodyDiv w:val="1"/>
      <w:marLeft w:val="0"/>
      <w:marRight w:val="0"/>
      <w:marTop w:val="0"/>
      <w:marBottom w:val="0"/>
      <w:divBdr>
        <w:top w:val="none" w:sz="0" w:space="0" w:color="auto"/>
        <w:left w:val="none" w:sz="0" w:space="0" w:color="auto"/>
        <w:bottom w:val="none" w:sz="0" w:space="0" w:color="auto"/>
        <w:right w:val="none" w:sz="0" w:space="0" w:color="auto"/>
      </w:divBdr>
    </w:div>
    <w:div w:id="476606480">
      <w:bodyDiv w:val="1"/>
      <w:marLeft w:val="0"/>
      <w:marRight w:val="0"/>
      <w:marTop w:val="0"/>
      <w:marBottom w:val="0"/>
      <w:divBdr>
        <w:top w:val="none" w:sz="0" w:space="0" w:color="auto"/>
        <w:left w:val="none" w:sz="0" w:space="0" w:color="auto"/>
        <w:bottom w:val="none" w:sz="0" w:space="0" w:color="auto"/>
        <w:right w:val="none" w:sz="0" w:space="0" w:color="auto"/>
      </w:divBdr>
    </w:div>
    <w:div w:id="1123113559">
      <w:bodyDiv w:val="1"/>
      <w:marLeft w:val="0"/>
      <w:marRight w:val="0"/>
      <w:marTop w:val="0"/>
      <w:marBottom w:val="0"/>
      <w:divBdr>
        <w:top w:val="none" w:sz="0" w:space="0" w:color="auto"/>
        <w:left w:val="none" w:sz="0" w:space="0" w:color="auto"/>
        <w:bottom w:val="none" w:sz="0" w:space="0" w:color="auto"/>
        <w:right w:val="none" w:sz="0" w:space="0" w:color="auto"/>
      </w:divBdr>
    </w:div>
    <w:div w:id="1231188927">
      <w:bodyDiv w:val="1"/>
      <w:marLeft w:val="0"/>
      <w:marRight w:val="0"/>
      <w:marTop w:val="0"/>
      <w:marBottom w:val="0"/>
      <w:divBdr>
        <w:top w:val="none" w:sz="0" w:space="0" w:color="auto"/>
        <w:left w:val="none" w:sz="0" w:space="0" w:color="auto"/>
        <w:bottom w:val="none" w:sz="0" w:space="0" w:color="auto"/>
        <w:right w:val="none" w:sz="0" w:space="0" w:color="auto"/>
      </w:divBdr>
    </w:div>
    <w:div w:id="1491143191">
      <w:bodyDiv w:val="1"/>
      <w:marLeft w:val="0"/>
      <w:marRight w:val="0"/>
      <w:marTop w:val="0"/>
      <w:marBottom w:val="0"/>
      <w:divBdr>
        <w:top w:val="none" w:sz="0" w:space="0" w:color="auto"/>
        <w:left w:val="none" w:sz="0" w:space="0" w:color="auto"/>
        <w:bottom w:val="none" w:sz="0" w:space="0" w:color="auto"/>
        <w:right w:val="none" w:sz="0" w:space="0" w:color="auto"/>
      </w:divBdr>
    </w:div>
    <w:div w:id="1672685321">
      <w:bodyDiv w:val="1"/>
      <w:marLeft w:val="0"/>
      <w:marRight w:val="0"/>
      <w:marTop w:val="0"/>
      <w:marBottom w:val="0"/>
      <w:divBdr>
        <w:top w:val="none" w:sz="0" w:space="0" w:color="auto"/>
        <w:left w:val="none" w:sz="0" w:space="0" w:color="auto"/>
        <w:bottom w:val="none" w:sz="0" w:space="0" w:color="auto"/>
        <w:right w:val="none" w:sz="0" w:space="0" w:color="auto"/>
      </w:divBdr>
    </w:div>
    <w:div w:id="1677148590">
      <w:bodyDiv w:val="1"/>
      <w:marLeft w:val="0"/>
      <w:marRight w:val="0"/>
      <w:marTop w:val="0"/>
      <w:marBottom w:val="0"/>
      <w:divBdr>
        <w:top w:val="none" w:sz="0" w:space="0" w:color="auto"/>
        <w:left w:val="none" w:sz="0" w:space="0" w:color="auto"/>
        <w:bottom w:val="none" w:sz="0" w:space="0" w:color="auto"/>
        <w:right w:val="none" w:sz="0" w:space="0" w:color="auto"/>
      </w:divBdr>
    </w:div>
    <w:div w:id="1780683901">
      <w:bodyDiv w:val="1"/>
      <w:marLeft w:val="0"/>
      <w:marRight w:val="0"/>
      <w:marTop w:val="0"/>
      <w:marBottom w:val="0"/>
      <w:divBdr>
        <w:top w:val="none" w:sz="0" w:space="0" w:color="auto"/>
        <w:left w:val="none" w:sz="0" w:space="0" w:color="auto"/>
        <w:bottom w:val="none" w:sz="0" w:space="0" w:color="auto"/>
        <w:right w:val="none" w:sz="0" w:space="0" w:color="auto"/>
      </w:divBdr>
    </w:div>
    <w:div w:id="196241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eb.archive.org/web/20160305001901/http:/www.sudburydrums.com/uploads/5/8/0/1/5801637/takadimiarticle.pdf"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researchgate.net/publication/228515699"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usr.rider.edu/~vrme/v28n1/visions/Csikos_&amp;_Dohany_Music_Literacy.pdf"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Headlines">
  <a:themeElements>
    <a:clrScheme name="Headlines">
      <a:dk1>
        <a:sysClr val="windowText" lastClr="000000"/>
      </a:dk1>
      <a:lt1>
        <a:sysClr val="window" lastClr="FFFFFF"/>
      </a:lt1>
      <a:dk2>
        <a:srgbClr val="1D1A1D"/>
      </a:dk2>
      <a:lt2>
        <a:srgbClr val="F5F5F5"/>
      </a:lt2>
      <a:accent1>
        <a:srgbClr val="439EB7"/>
      </a:accent1>
      <a:accent2>
        <a:srgbClr val="E28B55"/>
      </a:accent2>
      <a:accent3>
        <a:srgbClr val="DCB64D"/>
      </a:accent3>
      <a:accent4>
        <a:srgbClr val="4CA198"/>
      </a:accent4>
      <a:accent5>
        <a:srgbClr val="835B82"/>
      </a:accent5>
      <a:accent6>
        <a:srgbClr val="645135"/>
      </a:accent6>
      <a:hlink>
        <a:srgbClr val="439EB7"/>
      </a:hlink>
      <a:folHlink>
        <a:srgbClr val="835B82"/>
      </a:folHlink>
    </a:clrScheme>
    <a:fontScheme name="Headlines">
      <a:majorFont>
        <a:latin typeface="Century Schoolbook" panose="02040604050505020304"/>
        <a:ea typeface=""/>
        <a:cs typeface=""/>
      </a:majorFont>
      <a:minorFont>
        <a:latin typeface="Corbel" panose="020B0503020204020204"/>
        <a:ea typeface=""/>
        <a:cs typeface=""/>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144F0-8038-CF46-AF53-23BC0DE3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Mazur</dc:creator>
  <cp:keywords/>
  <dc:description/>
  <cp:lastModifiedBy>Joshua Mazur</cp:lastModifiedBy>
  <cp:revision>2</cp:revision>
  <dcterms:created xsi:type="dcterms:W3CDTF">2020-06-27T15:38:00Z</dcterms:created>
  <dcterms:modified xsi:type="dcterms:W3CDTF">2020-06-29T03:11:00Z</dcterms:modified>
</cp:coreProperties>
</file>