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6A01" w14:textId="0B5412E0" w:rsidR="00B24D38" w:rsidRDefault="00B24D38" w:rsidP="00B24D38">
      <w:pPr>
        <w:jc w:val="center"/>
        <w:rPr>
          <w:b/>
          <w:bCs/>
        </w:rPr>
      </w:pPr>
      <w:r>
        <w:rPr>
          <w:b/>
          <w:bCs/>
          <w:noProof/>
        </w:rPr>
        <w:drawing>
          <wp:inline distT="0" distB="0" distL="0" distR="0" wp14:anchorId="3364CA48" wp14:editId="4C738621">
            <wp:extent cx="1743075" cy="1743075"/>
            <wp:effectExtent l="0" t="0" r="9525" b="9525"/>
            <wp:docPr id="1687026454" name="Picture 1" descr="A logo for a parent pathw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26454" name="Picture 1" descr="A logo for a parent pathways&#10;&#10;AI-generated content may be incorrect."/>
                    <pic:cNvPicPr/>
                  </pic:nvPicPr>
                  <pic:blipFill>
                    <a:blip r:embed="rId5"/>
                    <a:stretch>
                      <a:fillRect/>
                    </a:stretch>
                  </pic:blipFill>
                  <pic:spPr>
                    <a:xfrm>
                      <a:off x="0" y="0"/>
                      <a:ext cx="1743075" cy="1743075"/>
                    </a:xfrm>
                    <a:prstGeom prst="rect">
                      <a:avLst/>
                    </a:prstGeom>
                  </pic:spPr>
                </pic:pic>
              </a:graphicData>
            </a:graphic>
          </wp:inline>
        </w:drawing>
      </w:r>
    </w:p>
    <w:p w14:paraId="2B9FA19E" w14:textId="7F05082C" w:rsidR="00B24D38" w:rsidRPr="00B24D38" w:rsidRDefault="00B24D38" w:rsidP="00B24D38">
      <w:pPr>
        <w:jc w:val="center"/>
        <w:rPr>
          <w:b/>
          <w:bCs/>
        </w:rPr>
      </w:pPr>
      <w:r w:rsidRPr="00B24D38">
        <w:rPr>
          <w:b/>
          <w:bCs/>
        </w:rPr>
        <w:t>The Ultimate Parent Guide to Applying for DDD Services in Arizona</w:t>
      </w:r>
    </w:p>
    <w:p w14:paraId="2607E837" w14:textId="77777777" w:rsidR="00B24D38" w:rsidRPr="00B24D38" w:rsidRDefault="00B24D38" w:rsidP="00B24D38">
      <w:pPr>
        <w:jc w:val="center"/>
      </w:pPr>
      <w:r w:rsidRPr="00B24D38">
        <w:rPr>
          <w:i/>
          <w:iCs/>
        </w:rPr>
        <w:t xml:space="preserve">A step-by-step walkthrough, with real-world insight </w:t>
      </w:r>
      <w:proofErr w:type="gramStart"/>
      <w:r w:rsidRPr="00B24D38">
        <w:rPr>
          <w:i/>
          <w:iCs/>
        </w:rPr>
        <w:t>for</w:t>
      </w:r>
      <w:proofErr w:type="gramEnd"/>
      <w:r w:rsidRPr="00B24D38">
        <w:rPr>
          <w:i/>
          <w:iCs/>
        </w:rPr>
        <w:t xml:space="preserve"> families of children with disabilities</w:t>
      </w:r>
    </w:p>
    <w:p w14:paraId="18645A34" w14:textId="77777777" w:rsidR="00B24D38" w:rsidRPr="00B24D38" w:rsidRDefault="00B24D38" w:rsidP="00B24D38">
      <w:r w:rsidRPr="00B24D38">
        <w:pict w14:anchorId="57693F24">
          <v:rect id="_x0000_i1103" style="width:0;height:1.5pt" o:hralign="center" o:hrstd="t" o:hr="t" fillcolor="#a0a0a0" stroked="f"/>
        </w:pict>
      </w:r>
    </w:p>
    <w:p w14:paraId="5CE536A9"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What Is DDD and Why Does It Matter?</w:t>
      </w:r>
    </w:p>
    <w:p w14:paraId="606ECCF5" w14:textId="77777777" w:rsidR="00B24D38" w:rsidRPr="00B24D38" w:rsidRDefault="00B24D38" w:rsidP="00B24D38">
      <w:r w:rsidRPr="00B24D38">
        <w:t>The Division of Developmental Disabilities (DDD) is a part of Arizona’s Department of Economic Security (DES). It connects eligible individuals with services that help them lead safe, meaningful, and supported lives in their homes and communities. These services include habilitation (skill-building), attendant care, respite, therapies, and in some cases, behavior support.</w:t>
      </w:r>
    </w:p>
    <w:p w14:paraId="15B9AB7F" w14:textId="77777777" w:rsidR="00B24D38" w:rsidRPr="00B24D38" w:rsidRDefault="00B24D38" w:rsidP="00B24D38">
      <w:r w:rsidRPr="00B24D38">
        <w:t xml:space="preserve">For many families, DDD is the </w:t>
      </w:r>
      <w:r w:rsidRPr="00B24D38">
        <w:rPr>
          <w:b/>
          <w:bCs/>
        </w:rPr>
        <w:t>gateway to long-term support</w:t>
      </w:r>
      <w:r w:rsidRPr="00B24D38">
        <w:t xml:space="preserve"> — both practically and financially. But accessing these services depends on getting through a complex and often intimidating application process.</w:t>
      </w:r>
    </w:p>
    <w:p w14:paraId="0EF4EE79" w14:textId="77777777" w:rsidR="00B24D38" w:rsidRPr="00B24D38" w:rsidRDefault="00B24D38" w:rsidP="00B24D38">
      <w:r w:rsidRPr="00B24D38">
        <w:t>This guide is designed to walk you through that process from start to finish, with deep insight into what you need, what to expect, and how to prepare.</w:t>
      </w:r>
    </w:p>
    <w:p w14:paraId="656D486F" w14:textId="77777777" w:rsidR="00B24D38" w:rsidRPr="00B24D38" w:rsidRDefault="00B24D38" w:rsidP="00B24D38">
      <w:r w:rsidRPr="00B24D38">
        <w:pict w14:anchorId="7BA83F70">
          <v:rect id="_x0000_i1104" style="width:0;height:1.5pt" o:hralign="center" o:hrstd="t" o:hr="t" fillcolor="#a0a0a0" stroked="f"/>
        </w:pict>
      </w:r>
    </w:p>
    <w:p w14:paraId="2C80B82C"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Step 1: Understand Eligibility — The Three Key Requirements</w:t>
      </w:r>
    </w:p>
    <w:p w14:paraId="61262E66" w14:textId="77777777" w:rsidR="00B24D38" w:rsidRPr="00B24D38" w:rsidRDefault="00B24D38" w:rsidP="00B24D38">
      <w:r w:rsidRPr="00B24D38">
        <w:t xml:space="preserve">Before applying, it’s important to know if your child potentially qualifies. Arizona law outlines three criteria, and your child must meet </w:t>
      </w:r>
      <w:r w:rsidRPr="00B24D38">
        <w:rPr>
          <w:b/>
          <w:bCs/>
        </w:rPr>
        <w:t>all three</w:t>
      </w:r>
      <w:r w:rsidRPr="00B24D38">
        <w:t>:</w:t>
      </w:r>
    </w:p>
    <w:p w14:paraId="10CEE4A9" w14:textId="77777777" w:rsidR="00B24D38" w:rsidRPr="00B24D38" w:rsidRDefault="00B24D38" w:rsidP="00B24D38">
      <w:pPr>
        <w:rPr>
          <w:b/>
          <w:bCs/>
        </w:rPr>
      </w:pPr>
      <w:r w:rsidRPr="00B24D38">
        <w:rPr>
          <w:b/>
          <w:bCs/>
        </w:rPr>
        <w:t>1. Arizona Residency</w:t>
      </w:r>
    </w:p>
    <w:p w14:paraId="6C26E68F" w14:textId="47F8421D" w:rsidR="00B24D38" w:rsidRPr="00B24D38" w:rsidRDefault="00B24D38" w:rsidP="00B24D38">
      <w:r w:rsidRPr="00B24D38">
        <w:t>Your child must legally reside in the state of Arizona. Proof of residency may be required (e.g., utility bill, lease, school records).</w:t>
      </w:r>
      <w:r>
        <w:t xml:space="preserve">  You must have been residing in AZ for at least 6 months.</w:t>
      </w:r>
    </w:p>
    <w:p w14:paraId="2B67DA83" w14:textId="77777777" w:rsidR="00B24D38" w:rsidRPr="00B24D38" w:rsidRDefault="00B24D38" w:rsidP="00B24D38">
      <w:pPr>
        <w:rPr>
          <w:b/>
          <w:bCs/>
        </w:rPr>
      </w:pPr>
      <w:r w:rsidRPr="00B24D38">
        <w:rPr>
          <w:b/>
          <w:bCs/>
        </w:rPr>
        <w:t>2. Qualifying Diagnosis</w:t>
      </w:r>
    </w:p>
    <w:p w14:paraId="4A36900F" w14:textId="77777777" w:rsidR="00B24D38" w:rsidRPr="00B24D38" w:rsidRDefault="00B24D38" w:rsidP="00B24D38">
      <w:r w:rsidRPr="00B24D38">
        <w:lastRenderedPageBreak/>
        <w:t>Your child must have a diagnosis that began before age 18 and is expected to be lifelong. DDD recognizes four primary conditions:</w:t>
      </w:r>
    </w:p>
    <w:p w14:paraId="2A415955" w14:textId="77777777" w:rsidR="00B24D38" w:rsidRPr="00B24D38" w:rsidRDefault="00B24D38" w:rsidP="00B24D38">
      <w:pPr>
        <w:numPr>
          <w:ilvl w:val="0"/>
          <w:numId w:val="1"/>
        </w:numPr>
      </w:pPr>
      <w:r w:rsidRPr="00B24D38">
        <w:rPr>
          <w:b/>
          <w:bCs/>
        </w:rPr>
        <w:t>Autism Spectrum Disorder (ASD)</w:t>
      </w:r>
    </w:p>
    <w:p w14:paraId="280CC91A" w14:textId="77777777" w:rsidR="00B24D38" w:rsidRPr="00B24D38" w:rsidRDefault="00B24D38" w:rsidP="00B24D38">
      <w:pPr>
        <w:numPr>
          <w:ilvl w:val="0"/>
          <w:numId w:val="1"/>
        </w:numPr>
      </w:pPr>
      <w:r w:rsidRPr="00B24D38">
        <w:rPr>
          <w:b/>
          <w:bCs/>
        </w:rPr>
        <w:t>Intellectual Disability (ID)</w:t>
      </w:r>
    </w:p>
    <w:p w14:paraId="0D8BBF44" w14:textId="77777777" w:rsidR="00B24D38" w:rsidRPr="00B24D38" w:rsidRDefault="00B24D38" w:rsidP="00B24D38">
      <w:pPr>
        <w:numPr>
          <w:ilvl w:val="0"/>
          <w:numId w:val="1"/>
        </w:numPr>
      </w:pPr>
      <w:r w:rsidRPr="00B24D38">
        <w:rPr>
          <w:b/>
          <w:bCs/>
        </w:rPr>
        <w:t>Cerebral Palsy (CP)</w:t>
      </w:r>
    </w:p>
    <w:p w14:paraId="45355EDB" w14:textId="77777777" w:rsidR="00B24D38" w:rsidRPr="00B24D38" w:rsidRDefault="00B24D38" w:rsidP="00B24D38">
      <w:pPr>
        <w:numPr>
          <w:ilvl w:val="0"/>
          <w:numId w:val="1"/>
        </w:numPr>
      </w:pPr>
      <w:r w:rsidRPr="00B24D38">
        <w:rPr>
          <w:b/>
          <w:bCs/>
        </w:rPr>
        <w:t>Epilepsy (Seizure Disorder)</w:t>
      </w:r>
    </w:p>
    <w:p w14:paraId="2B84D884" w14:textId="77777777" w:rsidR="00B24D38" w:rsidRPr="00B24D38" w:rsidRDefault="00B24D38" w:rsidP="00B24D38">
      <w:r w:rsidRPr="00B24D38">
        <w:rPr>
          <w:b/>
          <w:bCs/>
        </w:rPr>
        <w:t>Note:</w:t>
      </w:r>
      <w:r w:rsidRPr="00B24D38">
        <w:t xml:space="preserve"> If your child has a genetic disorder (like Down syndrome) or rare condition, eligibility depends on how the condition impacts daily life. Some children with ADHD or learning disabilities alone may not qualify unless there's evidence of functional impairment.</w:t>
      </w:r>
    </w:p>
    <w:p w14:paraId="22731B71" w14:textId="77777777" w:rsidR="00B24D38" w:rsidRPr="00B24D38" w:rsidRDefault="00B24D38" w:rsidP="00B24D38">
      <w:pPr>
        <w:rPr>
          <w:b/>
          <w:bCs/>
        </w:rPr>
      </w:pPr>
      <w:r w:rsidRPr="00B24D38">
        <w:rPr>
          <w:b/>
          <w:bCs/>
        </w:rPr>
        <w:t>3. Substantial Functional Limitations in 3+ Life Areas</w:t>
      </w:r>
    </w:p>
    <w:p w14:paraId="34F08F93" w14:textId="77777777" w:rsidR="00B24D38" w:rsidRPr="00B24D38" w:rsidRDefault="00B24D38" w:rsidP="00B24D38">
      <w:r w:rsidRPr="00B24D38">
        <w:t xml:space="preserve">This is often the most misunderstood part. Your child must demonstrate serious difficulty in </w:t>
      </w:r>
      <w:r w:rsidRPr="00B24D38">
        <w:rPr>
          <w:b/>
          <w:bCs/>
        </w:rPr>
        <w:t>at least three</w:t>
      </w:r>
      <w:r w:rsidRPr="00B24D38">
        <w:t xml:space="preserve"> of the following seven areas:</w:t>
      </w:r>
    </w:p>
    <w:p w14:paraId="0BC0C5DC" w14:textId="77777777" w:rsidR="00B24D38" w:rsidRPr="00B24D38" w:rsidRDefault="00B24D38" w:rsidP="00B24D38">
      <w:pPr>
        <w:numPr>
          <w:ilvl w:val="0"/>
          <w:numId w:val="2"/>
        </w:numPr>
      </w:pPr>
      <w:r w:rsidRPr="00B24D38">
        <w:t>Self-care (eating, bathing, dressing, toileting)</w:t>
      </w:r>
    </w:p>
    <w:p w14:paraId="7D733906" w14:textId="77777777" w:rsidR="00B24D38" w:rsidRPr="00B24D38" w:rsidRDefault="00B24D38" w:rsidP="00B24D38">
      <w:pPr>
        <w:numPr>
          <w:ilvl w:val="0"/>
          <w:numId w:val="2"/>
        </w:numPr>
      </w:pPr>
      <w:r w:rsidRPr="00B24D38">
        <w:t>Communication (verbal, nonverbal, expressive/receptive language)</w:t>
      </w:r>
    </w:p>
    <w:p w14:paraId="485F8C8C" w14:textId="77777777" w:rsidR="00B24D38" w:rsidRPr="00B24D38" w:rsidRDefault="00B24D38" w:rsidP="00B24D38">
      <w:pPr>
        <w:numPr>
          <w:ilvl w:val="0"/>
          <w:numId w:val="2"/>
        </w:numPr>
      </w:pPr>
      <w:r w:rsidRPr="00B24D38">
        <w:t>Learning (adapting, memory, cognitive processing)</w:t>
      </w:r>
    </w:p>
    <w:p w14:paraId="149FA9F5" w14:textId="77777777" w:rsidR="00B24D38" w:rsidRPr="00B24D38" w:rsidRDefault="00B24D38" w:rsidP="00B24D38">
      <w:pPr>
        <w:numPr>
          <w:ilvl w:val="0"/>
          <w:numId w:val="2"/>
        </w:numPr>
      </w:pPr>
      <w:r w:rsidRPr="00B24D38">
        <w:t>Mobility (walking, transferring, coordination)</w:t>
      </w:r>
    </w:p>
    <w:p w14:paraId="4C47E057" w14:textId="77777777" w:rsidR="00B24D38" w:rsidRPr="00B24D38" w:rsidRDefault="00B24D38" w:rsidP="00B24D38">
      <w:pPr>
        <w:numPr>
          <w:ilvl w:val="0"/>
          <w:numId w:val="2"/>
        </w:numPr>
      </w:pPr>
      <w:r w:rsidRPr="00B24D38">
        <w:t>Self-direction (decision-making, safety awareness, emotional regulation)</w:t>
      </w:r>
    </w:p>
    <w:p w14:paraId="7C763641" w14:textId="77777777" w:rsidR="00B24D38" w:rsidRPr="00B24D38" w:rsidRDefault="00B24D38" w:rsidP="00B24D38">
      <w:pPr>
        <w:numPr>
          <w:ilvl w:val="0"/>
          <w:numId w:val="2"/>
        </w:numPr>
      </w:pPr>
      <w:r w:rsidRPr="00B24D38">
        <w:t>Capacity for independent living (performing tasks without help)</w:t>
      </w:r>
    </w:p>
    <w:p w14:paraId="5E0C54D9" w14:textId="77777777" w:rsidR="00B24D38" w:rsidRPr="00B24D38" w:rsidRDefault="00B24D38" w:rsidP="00B24D38">
      <w:pPr>
        <w:numPr>
          <w:ilvl w:val="0"/>
          <w:numId w:val="2"/>
        </w:numPr>
      </w:pPr>
      <w:r w:rsidRPr="00B24D38">
        <w:t>Economic self-sufficiency (not usually applicable for children)</w:t>
      </w:r>
    </w:p>
    <w:p w14:paraId="1A1FDEC7" w14:textId="77777777" w:rsidR="00B24D38" w:rsidRPr="00B24D38" w:rsidRDefault="00B24D38" w:rsidP="00B24D38">
      <w:r w:rsidRPr="00B24D38">
        <w:rPr>
          <w:b/>
          <w:bCs/>
        </w:rPr>
        <w:t>Parent tip:</w:t>
      </w:r>
      <w:r w:rsidRPr="00B24D38">
        <w:t xml:space="preserve"> Don’t rely only on what your child </w:t>
      </w:r>
      <w:r w:rsidRPr="00B24D38">
        <w:rPr>
          <w:i/>
          <w:iCs/>
        </w:rPr>
        <w:t>can</w:t>
      </w:r>
      <w:r w:rsidRPr="00B24D38">
        <w:t xml:space="preserve"> do — focus on what they need support </w:t>
      </w:r>
      <w:r w:rsidRPr="00B24D38">
        <w:rPr>
          <w:b/>
          <w:bCs/>
        </w:rPr>
        <w:t>to</w:t>
      </w:r>
      <w:r w:rsidRPr="00B24D38">
        <w:t xml:space="preserve"> do, how consistent those skills are, and how much adult supervision is required.</w:t>
      </w:r>
    </w:p>
    <w:p w14:paraId="53B238E1" w14:textId="77777777" w:rsidR="00B24D38" w:rsidRPr="00B24D38" w:rsidRDefault="00B24D38" w:rsidP="00B24D38">
      <w:r w:rsidRPr="00B24D38">
        <w:pict w14:anchorId="00969318">
          <v:rect id="_x0000_i1105" style="width:0;height:1.5pt" o:hralign="center" o:hrstd="t" o:hr="t" fillcolor="#a0a0a0" stroked="f"/>
        </w:pict>
      </w:r>
    </w:p>
    <w:p w14:paraId="773CFF9A"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Step 2: Gather Documentation</w:t>
      </w:r>
    </w:p>
    <w:p w14:paraId="7A26BE6A" w14:textId="77777777" w:rsidR="00B24D38" w:rsidRPr="00B24D38" w:rsidRDefault="00B24D38" w:rsidP="00B24D38">
      <w:r w:rsidRPr="00B24D38">
        <w:t xml:space="preserve">Before you fill out the application, </w:t>
      </w:r>
      <w:r w:rsidRPr="00B24D38">
        <w:rPr>
          <w:b/>
          <w:bCs/>
        </w:rPr>
        <w:t>gather every relevant document</w:t>
      </w:r>
      <w:r w:rsidRPr="00B24D38">
        <w:t xml:space="preserve"> you can find. This helps build a strong case and shows patterns across time and providers.</w:t>
      </w:r>
    </w:p>
    <w:p w14:paraId="3B63D1EF" w14:textId="77777777" w:rsidR="00B24D38" w:rsidRPr="00B24D38" w:rsidRDefault="00B24D38" w:rsidP="00B24D38">
      <w:r w:rsidRPr="00B24D38">
        <w:t>Include:</w:t>
      </w:r>
    </w:p>
    <w:p w14:paraId="7F79872D" w14:textId="77777777" w:rsidR="00B24D38" w:rsidRPr="00B24D38" w:rsidRDefault="00B24D38" w:rsidP="00B24D38">
      <w:pPr>
        <w:numPr>
          <w:ilvl w:val="0"/>
          <w:numId w:val="3"/>
        </w:numPr>
      </w:pPr>
      <w:r w:rsidRPr="00B24D38">
        <w:t>Psychological evaluations (diagnoses, cognitive scores, adaptive functioning)</w:t>
      </w:r>
    </w:p>
    <w:p w14:paraId="7443C2E1" w14:textId="77777777" w:rsidR="00B24D38" w:rsidRPr="00B24D38" w:rsidRDefault="00B24D38" w:rsidP="00B24D38">
      <w:pPr>
        <w:numPr>
          <w:ilvl w:val="0"/>
          <w:numId w:val="3"/>
        </w:numPr>
      </w:pPr>
      <w:r w:rsidRPr="00B24D38">
        <w:t>IEPs or MET reports from school</w:t>
      </w:r>
    </w:p>
    <w:p w14:paraId="6698238D" w14:textId="77777777" w:rsidR="00B24D38" w:rsidRPr="00B24D38" w:rsidRDefault="00B24D38" w:rsidP="00B24D38">
      <w:pPr>
        <w:numPr>
          <w:ilvl w:val="0"/>
          <w:numId w:val="3"/>
        </w:numPr>
      </w:pPr>
      <w:r w:rsidRPr="00B24D38">
        <w:lastRenderedPageBreak/>
        <w:t>Speech, OT, PT evaluations</w:t>
      </w:r>
    </w:p>
    <w:p w14:paraId="7598D520" w14:textId="77777777" w:rsidR="00B24D38" w:rsidRPr="00B24D38" w:rsidRDefault="00B24D38" w:rsidP="00B24D38">
      <w:pPr>
        <w:numPr>
          <w:ilvl w:val="0"/>
          <w:numId w:val="3"/>
        </w:numPr>
      </w:pPr>
      <w:r w:rsidRPr="00B24D38">
        <w:t>Progress notes from ABA or therapy providers</w:t>
      </w:r>
    </w:p>
    <w:p w14:paraId="033524F7" w14:textId="77777777" w:rsidR="00B24D38" w:rsidRPr="00B24D38" w:rsidRDefault="00B24D38" w:rsidP="00B24D38">
      <w:pPr>
        <w:numPr>
          <w:ilvl w:val="0"/>
          <w:numId w:val="3"/>
        </w:numPr>
      </w:pPr>
      <w:r w:rsidRPr="00B24D38">
        <w:t>Pediatrician notes, hospital discharge summaries (if applicable)</w:t>
      </w:r>
    </w:p>
    <w:p w14:paraId="28D7C06B" w14:textId="77777777" w:rsidR="00B24D38" w:rsidRPr="00B24D38" w:rsidRDefault="00B24D38" w:rsidP="00B24D38">
      <w:pPr>
        <w:numPr>
          <w:ilvl w:val="0"/>
          <w:numId w:val="3"/>
        </w:numPr>
      </w:pPr>
      <w:r w:rsidRPr="00B24D38">
        <w:t>Developmental screenings (M-CHAT, Vineland, ADOS, etc.)</w:t>
      </w:r>
    </w:p>
    <w:p w14:paraId="77FD948C" w14:textId="77777777" w:rsidR="00B24D38" w:rsidRPr="00B24D38" w:rsidRDefault="00B24D38" w:rsidP="00B24D38">
      <w:r w:rsidRPr="00B24D38">
        <w:rPr>
          <w:b/>
          <w:bCs/>
        </w:rPr>
        <w:t>Tip:</w:t>
      </w:r>
      <w:r w:rsidRPr="00B24D38">
        <w:t xml:space="preserve"> Highlight or tag key phrases like “requires full assistance,” “delayed adaptive skills,” “safety risk,” or “in need of constant supervision.”</w:t>
      </w:r>
    </w:p>
    <w:p w14:paraId="5638C13C" w14:textId="77777777" w:rsidR="00B24D38" w:rsidRPr="00B24D38" w:rsidRDefault="00B24D38" w:rsidP="00B24D38">
      <w:r w:rsidRPr="00B24D38">
        <w:pict w14:anchorId="2B95A64F">
          <v:rect id="_x0000_i1106" style="width:0;height:1.5pt" o:hralign="center" o:hrstd="t" o:hr="t" fillcolor="#a0a0a0" stroked="f"/>
        </w:pict>
      </w:r>
    </w:p>
    <w:p w14:paraId="5A59F6BC"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Step 3: Complete the Application Thoroughly</w:t>
      </w:r>
    </w:p>
    <w:p w14:paraId="485B5F44" w14:textId="77777777" w:rsidR="00B24D38" w:rsidRPr="00B24D38" w:rsidRDefault="00B24D38" w:rsidP="00B24D38">
      <w:r w:rsidRPr="00B24D38">
        <w:t xml:space="preserve">Download the application at: </w:t>
      </w:r>
      <w:hyperlink r:id="rId6" w:tgtFrame="_new" w:history="1">
        <w:r w:rsidRPr="00B24D38">
          <w:rPr>
            <w:rStyle w:val="Hyperlink"/>
          </w:rPr>
          <w:t>https://des.az.gov/ddd</w:t>
        </w:r>
      </w:hyperlink>
    </w:p>
    <w:p w14:paraId="74628CCA" w14:textId="77777777" w:rsidR="00B24D38" w:rsidRPr="00B24D38" w:rsidRDefault="00B24D38" w:rsidP="00B24D38">
      <w:r w:rsidRPr="00B24D38">
        <w:t xml:space="preserve">Be descriptive. Don’t just list a diagnosis — explain what that looks like for your child </w:t>
      </w:r>
      <w:proofErr w:type="gramStart"/>
      <w:r w:rsidRPr="00B24D38">
        <w:t>on a daily basis</w:t>
      </w:r>
      <w:proofErr w:type="gramEnd"/>
      <w:r w:rsidRPr="00B24D38">
        <w:t>. Example:</w:t>
      </w:r>
    </w:p>
    <w:p w14:paraId="03C02077" w14:textId="77777777" w:rsidR="00B24D38" w:rsidRPr="00B24D38" w:rsidRDefault="00B24D38" w:rsidP="00B24D38">
      <w:r w:rsidRPr="00B24D38">
        <w:rPr>
          <w:rFonts w:ascii="Segoe UI Emoji" w:hAnsi="Segoe UI Emoji" w:cs="Segoe UI Emoji"/>
        </w:rPr>
        <w:t>❌</w:t>
      </w:r>
      <w:r w:rsidRPr="00B24D38">
        <w:t xml:space="preserve"> Autism</w:t>
      </w:r>
      <w:r w:rsidRPr="00B24D38">
        <w:br/>
      </w:r>
      <w:r w:rsidRPr="00B24D38">
        <w:rPr>
          <w:rFonts w:ascii="Segoe UI Emoji" w:hAnsi="Segoe UI Emoji" w:cs="Segoe UI Emoji"/>
        </w:rPr>
        <w:t>✅</w:t>
      </w:r>
      <w:r w:rsidRPr="00B24D38">
        <w:t xml:space="preserve"> Diagnosed with Autism Spectrum Disorder at age 3. Needs visual schedules and hand-over-hand help with hygiene. Struggles with transitions, limited verbal communication, and frequent meltdowns when routines change.</w:t>
      </w:r>
    </w:p>
    <w:p w14:paraId="7CAA2B1A" w14:textId="77777777" w:rsidR="00B24D38" w:rsidRPr="00B24D38" w:rsidRDefault="00B24D38" w:rsidP="00B24D38">
      <w:r w:rsidRPr="00B24D38">
        <w:t>Where possible:</w:t>
      </w:r>
    </w:p>
    <w:p w14:paraId="2744754A" w14:textId="77777777" w:rsidR="00B24D38" w:rsidRPr="00B24D38" w:rsidRDefault="00B24D38" w:rsidP="00B24D38">
      <w:pPr>
        <w:numPr>
          <w:ilvl w:val="0"/>
          <w:numId w:val="4"/>
        </w:numPr>
      </w:pPr>
      <w:r w:rsidRPr="00B24D38">
        <w:t xml:space="preserve">Use </w:t>
      </w:r>
      <w:r w:rsidRPr="00B24D38">
        <w:rPr>
          <w:b/>
          <w:bCs/>
        </w:rPr>
        <w:t>specific language</w:t>
      </w:r>
      <w:r w:rsidRPr="00B24D38">
        <w:t xml:space="preserve"> (“requires adult help for all dressing tasks” vs. “has trouble dressing”)</w:t>
      </w:r>
    </w:p>
    <w:p w14:paraId="085460A4" w14:textId="77777777" w:rsidR="00B24D38" w:rsidRPr="00B24D38" w:rsidRDefault="00B24D38" w:rsidP="00B24D38">
      <w:pPr>
        <w:numPr>
          <w:ilvl w:val="0"/>
          <w:numId w:val="4"/>
        </w:numPr>
      </w:pPr>
      <w:r w:rsidRPr="00B24D38">
        <w:t xml:space="preserve">Be </w:t>
      </w:r>
      <w:r w:rsidRPr="00B24D38">
        <w:rPr>
          <w:b/>
          <w:bCs/>
        </w:rPr>
        <w:t>truthful, not hopeful</w:t>
      </w:r>
      <w:r w:rsidRPr="00B24D38">
        <w:t xml:space="preserve"> — this is not the time to minimize needs</w:t>
      </w:r>
    </w:p>
    <w:p w14:paraId="280C355E" w14:textId="77777777" w:rsidR="00B24D38" w:rsidRPr="00B24D38" w:rsidRDefault="00B24D38" w:rsidP="00B24D38">
      <w:pPr>
        <w:numPr>
          <w:ilvl w:val="0"/>
          <w:numId w:val="4"/>
        </w:numPr>
      </w:pPr>
      <w:r w:rsidRPr="00B24D38">
        <w:rPr>
          <w:b/>
          <w:bCs/>
        </w:rPr>
        <w:t>Focus on function</w:t>
      </w:r>
      <w:r w:rsidRPr="00B24D38">
        <w:t>, not academic skills</w:t>
      </w:r>
    </w:p>
    <w:p w14:paraId="77681D0E" w14:textId="77777777" w:rsidR="00B24D38" w:rsidRPr="00B24D38" w:rsidRDefault="00B24D38" w:rsidP="00B24D38">
      <w:r w:rsidRPr="00B24D38">
        <w:rPr>
          <w:b/>
          <w:bCs/>
        </w:rPr>
        <w:t>Pro tip:</w:t>
      </w:r>
      <w:r w:rsidRPr="00B24D38">
        <w:t xml:space="preserve"> It’s okay if your child has strengths — but eligibility is based on areas of limitation. Be honest about where your child needs help, even if it’s painful to put into words.</w:t>
      </w:r>
    </w:p>
    <w:p w14:paraId="702F8DFB" w14:textId="77777777" w:rsidR="00B24D38" w:rsidRPr="00B24D38" w:rsidRDefault="00B24D38" w:rsidP="00B24D38">
      <w:r w:rsidRPr="00B24D38">
        <w:pict w14:anchorId="2719ED15">
          <v:rect id="_x0000_i1107" style="width:0;height:1.5pt" o:hralign="center" o:hrstd="t" o:hr="t" fillcolor="#a0a0a0" stroked="f"/>
        </w:pict>
      </w:r>
    </w:p>
    <w:p w14:paraId="6B66C59A"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Step 4: Submit the Application</w:t>
      </w:r>
    </w:p>
    <w:p w14:paraId="60B782AE" w14:textId="77777777" w:rsidR="00B24D38" w:rsidRPr="00B24D38" w:rsidRDefault="00B24D38" w:rsidP="00B24D38">
      <w:r w:rsidRPr="00B24D38">
        <w:t>Send your application via:</w:t>
      </w:r>
    </w:p>
    <w:p w14:paraId="7B1D300A" w14:textId="77777777" w:rsidR="00B24D38" w:rsidRPr="00B24D38" w:rsidRDefault="00B24D38" w:rsidP="00B24D38">
      <w:pPr>
        <w:numPr>
          <w:ilvl w:val="0"/>
          <w:numId w:val="5"/>
        </w:numPr>
      </w:pPr>
      <w:r w:rsidRPr="00B24D38">
        <w:rPr>
          <w:b/>
          <w:bCs/>
        </w:rPr>
        <w:t>Email:</w:t>
      </w:r>
      <w:r w:rsidRPr="00B24D38">
        <w:t xml:space="preserve"> DDDApply@azdes.gov</w:t>
      </w:r>
    </w:p>
    <w:p w14:paraId="29C8DFE1" w14:textId="77777777" w:rsidR="00B24D38" w:rsidRPr="00B24D38" w:rsidRDefault="00B24D38" w:rsidP="00B24D38">
      <w:pPr>
        <w:numPr>
          <w:ilvl w:val="0"/>
          <w:numId w:val="5"/>
        </w:numPr>
      </w:pPr>
      <w:r w:rsidRPr="00B24D38">
        <w:rPr>
          <w:b/>
          <w:bCs/>
        </w:rPr>
        <w:t>Drop-off/mail:</w:t>
      </w:r>
      <w:r w:rsidRPr="00B24D38">
        <w:t xml:space="preserve"> Local DES/DDD office (addresses at des.az.gov)</w:t>
      </w:r>
    </w:p>
    <w:p w14:paraId="1A41721D" w14:textId="77777777" w:rsidR="00B24D38" w:rsidRPr="00B24D38" w:rsidRDefault="00B24D38" w:rsidP="00B24D38">
      <w:r w:rsidRPr="00B24D38">
        <w:lastRenderedPageBreak/>
        <w:t xml:space="preserve">Include all supporting documents in one submission. Keep a copy of your full packet. After submitting, </w:t>
      </w:r>
      <w:r w:rsidRPr="00B24D38">
        <w:rPr>
          <w:b/>
          <w:bCs/>
        </w:rPr>
        <w:t>follow up by phone</w:t>
      </w:r>
      <w:r w:rsidRPr="00B24D38">
        <w:t xml:space="preserve"> within a week:</w:t>
      </w:r>
      <w:r w:rsidRPr="00B24D38">
        <w:br/>
      </w:r>
      <w:r w:rsidRPr="00B24D38">
        <w:rPr>
          <w:rFonts w:ascii="Segoe UI Emoji" w:hAnsi="Segoe UI Emoji" w:cs="Segoe UI Emoji"/>
        </w:rPr>
        <w:t>📞</w:t>
      </w:r>
      <w:r w:rsidRPr="00B24D38">
        <w:t xml:space="preserve"> DDD Customer Service: (844) 770-9500, option 1</w:t>
      </w:r>
    </w:p>
    <w:p w14:paraId="5BC37EED" w14:textId="77777777" w:rsidR="00B24D38" w:rsidRPr="00B24D38" w:rsidRDefault="00B24D38" w:rsidP="00B24D38">
      <w:r w:rsidRPr="00B24D38">
        <w:pict w14:anchorId="28A90F71">
          <v:rect id="_x0000_i1108" style="width:0;height:1.5pt" o:hralign="center" o:hrstd="t" o:hr="t" fillcolor="#a0a0a0" stroked="f"/>
        </w:pict>
      </w:r>
    </w:p>
    <w:p w14:paraId="75E9335E"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Step 5: Prepare for the Eligibility Interview</w:t>
      </w:r>
    </w:p>
    <w:p w14:paraId="0E64A539" w14:textId="77777777" w:rsidR="00B24D38" w:rsidRPr="00B24D38" w:rsidRDefault="00B24D38" w:rsidP="00B24D38">
      <w:r w:rsidRPr="00B24D38">
        <w:t>If your child’s paperwork meets the basic criteria, you’ll be contacted by a DDD Eligibility Specialist to schedule an interview. This interview is typically 60–90 minutes and can be conducted in person or virtually.</w:t>
      </w:r>
    </w:p>
    <w:p w14:paraId="462329CA" w14:textId="77777777" w:rsidR="00B24D38" w:rsidRPr="00B24D38" w:rsidRDefault="00B24D38" w:rsidP="00B24D38">
      <w:r w:rsidRPr="00B24D38">
        <w:t>During the interview:</w:t>
      </w:r>
    </w:p>
    <w:p w14:paraId="4E06F90F" w14:textId="77777777" w:rsidR="00B24D38" w:rsidRPr="00B24D38" w:rsidRDefault="00B24D38" w:rsidP="00B24D38">
      <w:pPr>
        <w:numPr>
          <w:ilvl w:val="0"/>
          <w:numId w:val="6"/>
        </w:numPr>
      </w:pPr>
      <w:r w:rsidRPr="00B24D38">
        <w:t>You’ll answer structured questions about your child’s skills and challenges in each of the 7 life areas</w:t>
      </w:r>
    </w:p>
    <w:p w14:paraId="7C8D83A5" w14:textId="77777777" w:rsidR="00B24D38" w:rsidRPr="00B24D38" w:rsidRDefault="00B24D38" w:rsidP="00B24D38">
      <w:pPr>
        <w:numPr>
          <w:ilvl w:val="0"/>
          <w:numId w:val="6"/>
        </w:numPr>
      </w:pPr>
      <w:r w:rsidRPr="00B24D38">
        <w:t>You may be asked to rate independence on a scale (e.g., “Can your child prepare a meal without help?”)</w:t>
      </w:r>
    </w:p>
    <w:p w14:paraId="5C0050EB" w14:textId="77777777" w:rsidR="00B24D38" w:rsidRPr="00B24D38" w:rsidRDefault="00B24D38" w:rsidP="00B24D38">
      <w:pPr>
        <w:numPr>
          <w:ilvl w:val="0"/>
          <w:numId w:val="6"/>
        </w:numPr>
      </w:pPr>
      <w:r w:rsidRPr="00B24D38">
        <w:t>You’ll review how your child functions at home, school, in the community, and during routines</w:t>
      </w:r>
    </w:p>
    <w:p w14:paraId="132D2A81" w14:textId="77777777" w:rsidR="00B24D38" w:rsidRPr="00B24D38" w:rsidRDefault="00B24D38" w:rsidP="00B24D38">
      <w:r w:rsidRPr="00B24D38">
        <w:rPr>
          <w:b/>
          <w:bCs/>
        </w:rPr>
        <w:t>Parent insight:</w:t>
      </w:r>
      <w:r w:rsidRPr="00B24D38">
        <w:t xml:space="preserve"> Be as detailed and realistic as possible. </w:t>
      </w:r>
      <w:proofErr w:type="gramStart"/>
      <w:r w:rsidRPr="00B24D38">
        <w:t>Don’t</w:t>
      </w:r>
      <w:proofErr w:type="gramEnd"/>
      <w:r w:rsidRPr="00B24D38">
        <w:t xml:space="preserve"> sugarcoat. This is not about proving your love — it’s about showing the </w:t>
      </w:r>
      <w:r w:rsidRPr="00B24D38">
        <w:rPr>
          <w:b/>
          <w:bCs/>
        </w:rPr>
        <w:t>needs</w:t>
      </w:r>
      <w:r w:rsidRPr="00B24D38">
        <w:t xml:space="preserve"> that qualify your child for help.</w:t>
      </w:r>
    </w:p>
    <w:p w14:paraId="46C45641" w14:textId="77777777" w:rsidR="00B24D38" w:rsidRPr="00B24D38" w:rsidRDefault="00B24D38" w:rsidP="00B24D38">
      <w:r w:rsidRPr="00B24D38">
        <w:pict w14:anchorId="78C224D9">
          <v:rect id="_x0000_i1109" style="width:0;height:1.5pt" o:hralign="center" o:hrstd="t" o:hr="t" fillcolor="#a0a0a0" stroked="f"/>
        </w:pict>
      </w:r>
    </w:p>
    <w:p w14:paraId="752DC8B6"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Step 6: The Decision</w:t>
      </w:r>
    </w:p>
    <w:p w14:paraId="7879EACB" w14:textId="77777777" w:rsidR="00B24D38" w:rsidRPr="00B24D38" w:rsidRDefault="00B24D38" w:rsidP="00B24D38">
      <w:r w:rsidRPr="00B24D38">
        <w:t xml:space="preserve">DDD will review your application, documents, and interview notes. You will receive a written eligibility determination within </w:t>
      </w:r>
      <w:r w:rsidRPr="00B24D38">
        <w:rPr>
          <w:b/>
          <w:bCs/>
        </w:rPr>
        <w:t>30–45 days</w:t>
      </w:r>
      <w:r w:rsidRPr="00B24D38">
        <w:t>.</w:t>
      </w:r>
    </w:p>
    <w:p w14:paraId="78317789" w14:textId="77777777" w:rsidR="00B24D38" w:rsidRPr="00B24D38" w:rsidRDefault="00B24D38" w:rsidP="00B24D38">
      <w:pPr>
        <w:numPr>
          <w:ilvl w:val="0"/>
          <w:numId w:val="7"/>
        </w:numPr>
      </w:pPr>
      <w:r w:rsidRPr="00B24D38">
        <w:rPr>
          <w:b/>
          <w:bCs/>
        </w:rPr>
        <w:t>Approved:</w:t>
      </w:r>
      <w:r w:rsidRPr="00B24D38">
        <w:t xml:space="preserve"> You’ll be assigned a Support Coordinator who will contact you to begin service planning.</w:t>
      </w:r>
    </w:p>
    <w:p w14:paraId="1CC3C479" w14:textId="77777777" w:rsidR="00B24D38" w:rsidRPr="00B24D38" w:rsidRDefault="00B24D38" w:rsidP="00B24D38">
      <w:pPr>
        <w:numPr>
          <w:ilvl w:val="0"/>
          <w:numId w:val="7"/>
        </w:numPr>
      </w:pPr>
      <w:r w:rsidRPr="00B24D38">
        <w:rPr>
          <w:b/>
          <w:bCs/>
        </w:rPr>
        <w:t>Denied:</w:t>
      </w:r>
      <w:r w:rsidRPr="00B24D38">
        <w:t xml:space="preserve"> You will receive a denial letter with instructions on how to appeal. You have </w:t>
      </w:r>
      <w:r w:rsidRPr="00B24D38">
        <w:rPr>
          <w:b/>
          <w:bCs/>
        </w:rPr>
        <w:t>35 days</w:t>
      </w:r>
      <w:r w:rsidRPr="00B24D38">
        <w:t xml:space="preserve"> from the denial to request a hearing.</w:t>
      </w:r>
    </w:p>
    <w:p w14:paraId="1D55199F" w14:textId="77777777" w:rsidR="00B24D38" w:rsidRPr="00B24D38" w:rsidRDefault="00B24D38" w:rsidP="00B24D38">
      <w:r w:rsidRPr="00B24D38">
        <w:rPr>
          <w:b/>
          <w:bCs/>
        </w:rPr>
        <w:t>Appeals Tip:</w:t>
      </w:r>
      <w:r w:rsidRPr="00B24D38">
        <w:t xml:space="preserve"> Don’t panic. Many initial denials are due to missing documentation or unclear descriptions. You can resubmit with updated information, request a peer review, or pursue a fair hearing.</w:t>
      </w:r>
    </w:p>
    <w:p w14:paraId="64C49D0F" w14:textId="77777777" w:rsidR="00B24D38" w:rsidRPr="00B24D38" w:rsidRDefault="00B24D38" w:rsidP="00B24D38">
      <w:r w:rsidRPr="00B24D38">
        <w:pict w14:anchorId="4B0C8344">
          <v:rect id="_x0000_i1110" style="width:0;height:1.5pt" o:hralign="center" o:hrstd="t" o:hr="t" fillcolor="#a0a0a0" stroked="f"/>
        </w:pict>
      </w:r>
    </w:p>
    <w:p w14:paraId="65CA4068"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Step 7: Next Steps After Approval</w:t>
      </w:r>
    </w:p>
    <w:p w14:paraId="1B15CE91" w14:textId="77777777" w:rsidR="00B24D38" w:rsidRPr="00B24D38" w:rsidRDefault="00B24D38" w:rsidP="00B24D38">
      <w:r w:rsidRPr="00B24D38">
        <w:lastRenderedPageBreak/>
        <w:t>Once approved:</w:t>
      </w:r>
    </w:p>
    <w:p w14:paraId="2EA26306" w14:textId="77777777" w:rsidR="00B24D38" w:rsidRPr="00B24D38" w:rsidRDefault="00B24D38" w:rsidP="00B24D38">
      <w:pPr>
        <w:numPr>
          <w:ilvl w:val="0"/>
          <w:numId w:val="8"/>
        </w:numPr>
      </w:pPr>
      <w:r w:rsidRPr="00B24D38">
        <w:t xml:space="preserve">A Support Coordinator will contact you to begin your </w:t>
      </w:r>
      <w:r w:rsidRPr="00B24D38">
        <w:rPr>
          <w:b/>
          <w:bCs/>
        </w:rPr>
        <w:t>Person-Centered Service Plan (PCSP)</w:t>
      </w:r>
    </w:p>
    <w:p w14:paraId="26BDA88F" w14:textId="77777777" w:rsidR="00B24D38" w:rsidRPr="00B24D38" w:rsidRDefault="00B24D38" w:rsidP="00B24D38">
      <w:pPr>
        <w:numPr>
          <w:ilvl w:val="0"/>
          <w:numId w:val="8"/>
        </w:numPr>
      </w:pPr>
      <w:r w:rsidRPr="00B24D38">
        <w:t>You’ll discuss your child’s needs, goals, and services (like habilitation, respite, and attendant care)</w:t>
      </w:r>
    </w:p>
    <w:p w14:paraId="54F84572" w14:textId="77777777" w:rsidR="00B24D38" w:rsidRPr="00B24D38" w:rsidRDefault="00B24D38" w:rsidP="00B24D38">
      <w:pPr>
        <w:numPr>
          <w:ilvl w:val="0"/>
          <w:numId w:val="8"/>
        </w:numPr>
      </w:pPr>
      <w:r w:rsidRPr="00B24D38">
        <w:t xml:space="preserve">You’ll choose a service agency or opt to be a </w:t>
      </w:r>
      <w:r w:rsidRPr="00B24D38">
        <w:rPr>
          <w:b/>
          <w:bCs/>
        </w:rPr>
        <w:t>Parent Provider</w:t>
      </w:r>
      <w:r w:rsidRPr="00B24D38">
        <w:t xml:space="preserve"> (if ALTCS </w:t>
      </w:r>
      <w:proofErr w:type="gramStart"/>
      <w:r w:rsidRPr="00B24D38">
        <w:t>eligible</w:t>
      </w:r>
      <w:proofErr w:type="gramEnd"/>
      <w:r w:rsidRPr="00B24D38">
        <w:t>)</w:t>
      </w:r>
    </w:p>
    <w:p w14:paraId="538D1BE7" w14:textId="77777777" w:rsidR="00B24D38" w:rsidRPr="00B24D38" w:rsidRDefault="00B24D38" w:rsidP="00B24D38">
      <w:pPr>
        <w:numPr>
          <w:ilvl w:val="0"/>
          <w:numId w:val="8"/>
        </w:numPr>
      </w:pPr>
      <w:r w:rsidRPr="00B24D38">
        <w:t xml:space="preserve">You may also begin applying for </w:t>
      </w:r>
      <w:r w:rsidRPr="00B24D38">
        <w:rPr>
          <w:b/>
          <w:bCs/>
        </w:rPr>
        <w:t>ALTCS</w:t>
      </w:r>
      <w:r w:rsidRPr="00B24D38">
        <w:t>, which is required for full funding of most DDD services</w:t>
      </w:r>
    </w:p>
    <w:p w14:paraId="67743F90" w14:textId="77777777" w:rsidR="00B24D38" w:rsidRPr="00B24D38" w:rsidRDefault="00B24D38" w:rsidP="00B24D38">
      <w:r w:rsidRPr="00B24D38">
        <w:pict w14:anchorId="3A14B5A0">
          <v:rect id="_x0000_i1111" style="width:0;height:1.5pt" o:hralign="center" o:hrstd="t" o:hr="t" fillcolor="#a0a0a0" stroked="f"/>
        </w:pict>
      </w:r>
    </w:p>
    <w:p w14:paraId="71B75E90"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Common Questions</w:t>
      </w:r>
    </w:p>
    <w:p w14:paraId="22B39FB1" w14:textId="77777777" w:rsidR="00B24D38" w:rsidRPr="00B24D38" w:rsidRDefault="00B24D38" w:rsidP="00B24D38">
      <w:r w:rsidRPr="00B24D38">
        <w:rPr>
          <w:b/>
          <w:bCs/>
        </w:rPr>
        <w:t>Can I be paid to care for my child?</w:t>
      </w:r>
      <w:r w:rsidRPr="00B24D38">
        <w:br/>
        <w:t xml:space="preserve">Yes — under the </w:t>
      </w:r>
      <w:r w:rsidRPr="00B24D38">
        <w:rPr>
          <w:b/>
          <w:bCs/>
        </w:rPr>
        <w:t>Parents as Paid Caregivers</w:t>
      </w:r>
      <w:r w:rsidRPr="00B24D38">
        <w:t xml:space="preserve"> program (PPCG), parents may be paid to provide attendant care if the child is ALTCS eligible. (As of 2025, capped at 40 hours per week per child.)</w:t>
      </w:r>
    </w:p>
    <w:p w14:paraId="600219FF" w14:textId="2CD18EEE" w:rsidR="00B24D38" w:rsidRPr="00B24D38" w:rsidRDefault="00B24D38" w:rsidP="00B24D38">
      <w:r w:rsidRPr="00B24D38">
        <w:rPr>
          <w:b/>
          <w:bCs/>
        </w:rPr>
        <w:t>Do I need an advocate?</w:t>
      </w:r>
      <w:r w:rsidRPr="00B24D38">
        <w:br/>
        <w:t>It’s not required, but many parents benefit from working with someone who understands how to describe needs clearly, especially when preparing for interviews or appeals.</w:t>
      </w:r>
      <w:r>
        <w:t xml:space="preserve">  Ask us how we ca become your Advocate.</w:t>
      </w:r>
    </w:p>
    <w:p w14:paraId="4BAC3D87" w14:textId="77777777" w:rsidR="00B24D38" w:rsidRPr="00B24D38" w:rsidRDefault="00B24D38" w:rsidP="00B24D38">
      <w:r w:rsidRPr="00B24D38">
        <w:rPr>
          <w:b/>
          <w:bCs/>
        </w:rPr>
        <w:t>What if my child is young and “doing okay”?</w:t>
      </w:r>
      <w:r w:rsidRPr="00B24D38">
        <w:br/>
        <w:t xml:space="preserve">Eligibility isn’t based on diagnosis alone — but if your child needs reminders for safety, help with routines, or constant supervision, document it. Many children qualify even if they appear </w:t>
      </w:r>
      <w:proofErr w:type="gramStart"/>
      <w:r w:rsidRPr="00B24D38">
        <w:t>high-functioning</w:t>
      </w:r>
      <w:proofErr w:type="gramEnd"/>
      <w:r w:rsidRPr="00B24D38">
        <w:t>.</w:t>
      </w:r>
    </w:p>
    <w:p w14:paraId="29C1417B" w14:textId="77777777" w:rsidR="00B24D38" w:rsidRPr="00B24D38" w:rsidRDefault="00B24D38" w:rsidP="00B24D38">
      <w:r w:rsidRPr="00B24D38">
        <w:pict w14:anchorId="47888082">
          <v:rect id="_x0000_i1112" style="width:0;height:1.5pt" o:hralign="center" o:hrstd="t" o:hr="t" fillcolor="#a0a0a0" stroked="f"/>
        </w:pict>
      </w:r>
    </w:p>
    <w:p w14:paraId="75F9D290"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Tools for Success</w:t>
      </w:r>
    </w:p>
    <w:p w14:paraId="0C0FD813" w14:textId="77777777" w:rsidR="00B24D38" w:rsidRPr="00B24D38" w:rsidRDefault="00B24D38" w:rsidP="00B24D38">
      <w:pPr>
        <w:numPr>
          <w:ilvl w:val="0"/>
          <w:numId w:val="9"/>
        </w:numPr>
      </w:pPr>
      <w:r w:rsidRPr="00B24D38">
        <w:rPr>
          <w:rFonts w:ascii="Segoe UI Emoji" w:hAnsi="Segoe UI Emoji" w:cs="Segoe UI Emoji"/>
        </w:rPr>
        <w:t>✅</w:t>
      </w:r>
      <w:r w:rsidRPr="00B24D38">
        <w:t xml:space="preserve"> Keep a binder or folder with all evaluations, DDD letters, and notes</w:t>
      </w:r>
    </w:p>
    <w:p w14:paraId="56E10AD2" w14:textId="77777777" w:rsidR="00B24D38" w:rsidRPr="00B24D38" w:rsidRDefault="00B24D38" w:rsidP="00B24D38">
      <w:pPr>
        <w:numPr>
          <w:ilvl w:val="0"/>
          <w:numId w:val="9"/>
        </w:numPr>
      </w:pPr>
      <w:r w:rsidRPr="00B24D38">
        <w:rPr>
          <w:rFonts w:ascii="Segoe UI Emoji" w:hAnsi="Segoe UI Emoji" w:cs="Segoe UI Emoji"/>
        </w:rPr>
        <w:t>✅</w:t>
      </w:r>
      <w:r w:rsidRPr="00B24D38">
        <w:t xml:space="preserve"> Practice describing your child’s needs out loud before the interview</w:t>
      </w:r>
    </w:p>
    <w:p w14:paraId="126903CB" w14:textId="77777777" w:rsidR="00B24D38" w:rsidRPr="00B24D38" w:rsidRDefault="00B24D38" w:rsidP="00B24D38">
      <w:pPr>
        <w:numPr>
          <w:ilvl w:val="0"/>
          <w:numId w:val="9"/>
        </w:numPr>
      </w:pPr>
      <w:r w:rsidRPr="00B24D38">
        <w:rPr>
          <w:rFonts w:ascii="Segoe UI Emoji" w:hAnsi="Segoe UI Emoji" w:cs="Segoe UI Emoji"/>
        </w:rPr>
        <w:t>✅</w:t>
      </w:r>
      <w:r w:rsidRPr="00B24D38">
        <w:t xml:space="preserve"> Keep a log of behaviors or incidents that show support needs (wandering, meltdowns, unsafe behaviors)</w:t>
      </w:r>
    </w:p>
    <w:p w14:paraId="61C32CA1" w14:textId="77777777" w:rsidR="00B24D38" w:rsidRPr="00B24D38" w:rsidRDefault="00B24D38" w:rsidP="00B24D38">
      <w:pPr>
        <w:numPr>
          <w:ilvl w:val="0"/>
          <w:numId w:val="9"/>
        </w:numPr>
      </w:pPr>
      <w:r w:rsidRPr="00B24D38">
        <w:rPr>
          <w:rFonts w:ascii="Segoe UI Emoji" w:hAnsi="Segoe UI Emoji" w:cs="Segoe UI Emoji"/>
        </w:rPr>
        <w:t>✅</w:t>
      </w:r>
      <w:r w:rsidRPr="00B24D38">
        <w:t xml:space="preserve"> Ask providers for documentation with </w:t>
      </w:r>
      <w:r w:rsidRPr="00B24D38">
        <w:rPr>
          <w:b/>
          <w:bCs/>
        </w:rPr>
        <w:t>functional</w:t>
      </w:r>
      <w:r w:rsidRPr="00B24D38">
        <w:t xml:space="preserve"> wording — not just academic or medical</w:t>
      </w:r>
    </w:p>
    <w:p w14:paraId="17940AEF" w14:textId="77777777" w:rsidR="00B24D38" w:rsidRPr="00B24D38" w:rsidRDefault="00B24D38" w:rsidP="00B24D38">
      <w:r w:rsidRPr="00B24D38">
        <w:lastRenderedPageBreak/>
        <w:pict w14:anchorId="5AB6DCB5">
          <v:rect id="_x0000_i1113" style="width:0;height:1.5pt" o:hralign="center" o:hrstd="t" o:hr="t" fillcolor="#a0a0a0" stroked="f"/>
        </w:pict>
      </w:r>
    </w:p>
    <w:p w14:paraId="257442A0"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Contact &amp; Support</w:t>
      </w:r>
    </w:p>
    <w:p w14:paraId="782CB8C2" w14:textId="77777777" w:rsidR="00B24D38" w:rsidRPr="00B24D38" w:rsidRDefault="00B24D38" w:rsidP="00B24D38">
      <w:pPr>
        <w:numPr>
          <w:ilvl w:val="0"/>
          <w:numId w:val="10"/>
        </w:numPr>
      </w:pPr>
      <w:r w:rsidRPr="00B24D38">
        <w:rPr>
          <w:b/>
          <w:bCs/>
        </w:rPr>
        <w:t>DDD Website:</w:t>
      </w:r>
      <w:r w:rsidRPr="00B24D38">
        <w:t xml:space="preserve"> </w:t>
      </w:r>
      <w:hyperlink r:id="rId7" w:tgtFrame="_new" w:history="1">
        <w:r w:rsidRPr="00B24D38">
          <w:rPr>
            <w:rStyle w:val="Hyperlink"/>
          </w:rPr>
          <w:t>https://des.az.gov/ddd</w:t>
        </w:r>
      </w:hyperlink>
    </w:p>
    <w:p w14:paraId="66B8D300" w14:textId="77777777" w:rsidR="00B24D38" w:rsidRPr="00B24D38" w:rsidRDefault="00B24D38" w:rsidP="00B24D38">
      <w:pPr>
        <w:numPr>
          <w:ilvl w:val="0"/>
          <w:numId w:val="10"/>
        </w:numPr>
      </w:pPr>
      <w:r w:rsidRPr="00B24D38">
        <w:rPr>
          <w:b/>
          <w:bCs/>
        </w:rPr>
        <w:t>Email:</w:t>
      </w:r>
      <w:r w:rsidRPr="00B24D38">
        <w:t xml:space="preserve"> DDDApply@azdes.gov</w:t>
      </w:r>
    </w:p>
    <w:p w14:paraId="5B838FD3" w14:textId="77777777" w:rsidR="00B24D38" w:rsidRPr="00B24D38" w:rsidRDefault="00B24D38" w:rsidP="00B24D38">
      <w:pPr>
        <w:numPr>
          <w:ilvl w:val="0"/>
          <w:numId w:val="10"/>
        </w:numPr>
      </w:pPr>
      <w:r w:rsidRPr="00B24D38">
        <w:rPr>
          <w:b/>
          <w:bCs/>
        </w:rPr>
        <w:t>Phone:</w:t>
      </w:r>
      <w:r w:rsidRPr="00B24D38">
        <w:t xml:space="preserve"> (844) 770-9500, option 1</w:t>
      </w:r>
    </w:p>
    <w:p w14:paraId="61316FE9" w14:textId="77777777" w:rsidR="00B24D38" w:rsidRPr="00B24D38" w:rsidRDefault="00B24D38" w:rsidP="00B24D38">
      <w:pPr>
        <w:numPr>
          <w:ilvl w:val="0"/>
          <w:numId w:val="10"/>
        </w:numPr>
      </w:pPr>
      <w:r w:rsidRPr="00B24D38">
        <w:rPr>
          <w:b/>
          <w:bCs/>
        </w:rPr>
        <w:t>Parent Pathways Support:</w:t>
      </w:r>
      <w:r w:rsidRPr="00B24D38">
        <w:t xml:space="preserve"> </w:t>
      </w:r>
      <w:hyperlink r:id="rId8" w:tgtFrame="_new" w:history="1">
        <w:r w:rsidRPr="00B24D38">
          <w:rPr>
            <w:rStyle w:val="Hyperlink"/>
          </w:rPr>
          <w:t>https://parent-pathways.org</w:t>
        </w:r>
      </w:hyperlink>
    </w:p>
    <w:p w14:paraId="409F2AD1" w14:textId="77777777" w:rsidR="00B24D38" w:rsidRPr="00B24D38" w:rsidRDefault="00B24D38" w:rsidP="00B24D38">
      <w:r w:rsidRPr="00B24D38">
        <w:pict w14:anchorId="343DF1A8">
          <v:rect id="_x0000_i1114" style="width:0;height:1.5pt" o:hralign="center" o:hrstd="t" o:hr="t" fillcolor="#a0a0a0" stroked="f"/>
        </w:pict>
      </w:r>
    </w:p>
    <w:p w14:paraId="353A605B" w14:textId="77777777" w:rsidR="00B24D38" w:rsidRPr="00B24D38" w:rsidRDefault="00B24D38" w:rsidP="00B24D38">
      <w:pPr>
        <w:rPr>
          <w:b/>
          <w:bCs/>
        </w:rPr>
      </w:pPr>
      <w:r w:rsidRPr="00B24D38">
        <w:rPr>
          <w:rFonts w:ascii="Segoe UI Emoji" w:hAnsi="Segoe UI Emoji" w:cs="Segoe UI Emoji"/>
          <w:b/>
          <w:bCs/>
        </w:rPr>
        <w:t>💬</w:t>
      </w:r>
      <w:r w:rsidRPr="00B24D38">
        <w:rPr>
          <w:b/>
          <w:bCs/>
        </w:rPr>
        <w:t xml:space="preserve"> Final Thought</w:t>
      </w:r>
    </w:p>
    <w:p w14:paraId="1B8F4107" w14:textId="77777777" w:rsidR="00B24D38" w:rsidRPr="00B24D38" w:rsidRDefault="00B24D38" w:rsidP="00B24D38">
      <w:r w:rsidRPr="00B24D38">
        <w:t>Applying for DDD isn’t just about filling out a form — it’s about advocating for your child’s right to be supported, understood, and included. This process may feel overwhelming, but you are not alone. You’re already doing the hardest part: showing up, speaking out, and believing in your child’s future.</w:t>
      </w:r>
    </w:p>
    <w:p w14:paraId="61BE6556" w14:textId="77777777" w:rsidR="00B24D38" w:rsidRPr="00B24D38" w:rsidRDefault="00B24D38" w:rsidP="00B24D38">
      <w:r w:rsidRPr="00B24D38">
        <w:pict w14:anchorId="476C9512">
          <v:rect id="_x0000_i1115" style="width:0;height:1.5pt" o:hralign="center" o:hrstd="t" o:hr="t" fillcolor="#a0a0a0" stroked="f"/>
        </w:pict>
      </w:r>
    </w:p>
    <w:p w14:paraId="54C37F14" w14:textId="77777777" w:rsidR="008B07BE" w:rsidRDefault="008B07BE"/>
    <w:sectPr w:rsidR="008B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005"/>
    <w:multiLevelType w:val="multilevel"/>
    <w:tmpl w:val="487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1811"/>
    <w:multiLevelType w:val="multilevel"/>
    <w:tmpl w:val="0AC4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64976"/>
    <w:multiLevelType w:val="multilevel"/>
    <w:tmpl w:val="D9E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20D0A"/>
    <w:multiLevelType w:val="multilevel"/>
    <w:tmpl w:val="AFC6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D755E"/>
    <w:multiLevelType w:val="multilevel"/>
    <w:tmpl w:val="DABE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41ABA"/>
    <w:multiLevelType w:val="multilevel"/>
    <w:tmpl w:val="F5B0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7636"/>
    <w:multiLevelType w:val="multilevel"/>
    <w:tmpl w:val="75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60A93"/>
    <w:multiLevelType w:val="multilevel"/>
    <w:tmpl w:val="9436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02EE0"/>
    <w:multiLevelType w:val="multilevel"/>
    <w:tmpl w:val="F8CC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A5AF6"/>
    <w:multiLevelType w:val="multilevel"/>
    <w:tmpl w:val="D5A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235220">
    <w:abstractNumId w:val="6"/>
  </w:num>
  <w:num w:numId="2" w16cid:durableId="1765614983">
    <w:abstractNumId w:val="2"/>
  </w:num>
  <w:num w:numId="3" w16cid:durableId="845218734">
    <w:abstractNumId w:val="1"/>
  </w:num>
  <w:num w:numId="4" w16cid:durableId="1462575198">
    <w:abstractNumId w:val="9"/>
  </w:num>
  <w:num w:numId="5" w16cid:durableId="469977812">
    <w:abstractNumId w:val="8"/>
  </w:num>
  <w:num w:numId="6" w16cid:durableId="1406607849">
    <w:abstractNumId w:val="5"/>
  </w:num>
  <w:num w:numId="7" w16cid:durableId="465855446">
    <w:abstractNumId w:val="4"/>
  </w:num>
  <w:num w:numId="8" w16cid:durableId="2109082773">
    <w:abstractNumId w:val="3"/>
  </w:num>
  <w:num w:numId="9" w16cid:durableId="1378969539">
    <w:abstractNumId w:val="7"/>
  </w:num>
  <w:num w:numId="10" w16cid:durableId="57455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38"/>
    <w:rsid w:val="00522AE2"/>
    <w:rsid w:val="00734309"/>
    <w:rsid w:val="008B07BE"/>
    <w:rsid w:val="009A0D34"/>
    <w:rsid w:val="00B2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754A"/>
  <w15:chartTrackingRefBased/>
  <w15:docId w15:val="{826450CB-2566-4FB4-B886-149FFCEC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D38"/>
    <w:rPr>
      <w:rFonts w:eastAsiaTheme="majorEastAsia" w:cstheme="majorBidi"/>
      <w:color w:val="272727" w:themeColor="text1" w:themeTint="D8"/>
    </w:rPr>
  </w:style>
  <w:style w:type="paragraph" w:styleId="Title">
    <w:name w:val="Title"/>
    <w:basedOn w:val="Normal"/>
    <w:next w:val="Normal"/>
    <w:link w:val="TitleChar"/>
    <w:uiPriority w:val="10"/>
    <w:qFormat/>
    <w:rsid w:val="00B24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D38"/>
    <w:pPr>
      <w:spacing w:before="160"/>
      <w:jc w:val="center"/>
    </w:pPr>
    <w:rPr>
      <w:i/>
      <w:iCs/>
      <w:color w:val="404040" w:themeColor="text1" w:themeTint="BF"/>
    </w:rPr>
  </w:style>
  <w:style w:type="character" w:customStyle="1" w:styleId="QuoteChar">
    <w:name w:val="Quote Char"/>
    <w:basedOn w:val="DefaultParagraphFont"/>
    <w:link w:val="Quote"/>
    <w:uiPriority w:val="29"/>
    <w:rsid w:val="00B24D38"/>
    <w:rPr>
      <w:i/>
      <w:iCs/>
      <w:color w:val="404040" w:themeColor="text1" w:themeTint="BF"/>
    </w:rPr>
  </w:style>
  <w:style w:type="paragraph" w:styleId="ListParagraph">
    <w:name w:val="List Paragraph"/>
    <w:basedOn w:val="Normal"/>
    <w:uiPriority w:val="34"/>
    <w:qFormat/>
    <w:rsid w:val="00B24D38"/>
    <w:pPr>
      <w:ind w:left="720"/>
      <w:contextualSpacing/>
    </w:pPr>
  </w:style>
  <w:style w:type="character" w:styleId="IntenseEmphasis">
    <w:name w:val="Intense Emphasis"/>
    <w:basedOn w:val="DefaultParagraphFont"/>
    <w:uiPriority w:val="21"/>
    <w:qFormat/>
    <w:rsid w:val="00B24D38"/>
    <w:rPr>
      <w:i/>
      <w:iCs/>
      <w:color w:val="0F4761" w:themeColor="accent1" w:themeShade="BF"/>
    </w:rPr>
  </w:style>
  <w:style w:type="paragraph" w:styleId="IntenseQuote">
    <w:name w:val="Intense Quote"/>
    <w:basedOn w:val="Normal"/>
    <w:next w:val="Normal"/>
    <w:link w:val="IntenseQuoteChar"/>
    <w:uiPriority w:val="30"/>
    <w:qFormat/>
    <w:rsid w:val="00B24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D38"/>
    <w:rPr>
      <w:i/>
      <w:iCs/>
      <w:color w:val="0F4761" w:themeColor="accent1" w:themeShade="BF"/>
    </w:rPr>
  </w:style>
  <w:style w:type="character" w:styleId="IntenseReference">
    <w:name w:val="Intense Reference"/>
    <w:basedOn w:val="DefaultParagraphFont"/>
    <w:uiPriority w:val="32"/>
    <w:qFormat/>
    <w:rsid w:val="00B24D38"/>
    <w:rPr>
      <w:b/>
      <w:bCs/>
      <w:smallCaps/>
      <w:color w:val="0F4761" w:themeColor="accent1" w:themeShade="BF"/>
      <w:spacing w:val="5"/>
    </w:rPr>
  </w:style>
  <w:style w:type="character" w:styleId="Hyperlink">
    <w:name w:val="Hyperlink"/>
    <w:basedOn w:val="DefaultParagraphFont"/>
    <w:uiPriority w:val="99"/>
    <w:unhideWhenUsed/>
    <w:rsid w:val="00B24D38"/>
    <w:rPr>
      <w:color w:val="467886" w:themeColor="hyperlink"/>
      <w:u w:val="single"/>
    </w:rPr>
  </w:style>
  <w:style w:type="character" w:styleId="UnresolvedMention">
    <w:name w:val="Unresolved Mention"/>
    <w:basedOn w:val="DefaultParagraphFont"/>
    <w:uiPriority w:val="99"/>
    <w:semiHidden/>
    <w:unhideWhenUsed/>
    <w:rsid w:val="00B2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254988">
      <w:bodyDiv w:val="1"/>
      <w:marLeft w:val="0"/>
      <w:marRight w:val="0"/>
      <w:marTop w:val="0"/>
      <w:marBottom w:val="0"/>
      <w:divBdr>
        <w:top w:val="none" w:sz="0" w:space="0" w:color="auto"/>
        <w:left w:val="none" w:sz="0" w:space="0" w:color="auto"/>
        <w:bottom w:val="none" w:sz="0" w:space="0" w:color="auto"/>
        <w:right w:val="none" w:sz="0" w:space="0" w:color="auto"/>
      </w:divBdr>
      <w:divsChild>
        <w:div w:id="2067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101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1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9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783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4301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233445">
      <w:bodyDiv w:val="1"/>
      <w:marLeft w:val="0"/>
      <w:marRight w:val="0"/>
      <w:marTop w:val="0"/>
      <w:marBottom w:val="0"/>
      <w:divBdr>
        <w:top w:val="none" w:sz="0" w:space="0" w:color="auto"/>
        <w:left w:val="none" w:sz="0" w:space="0" w:color="auto"/>
        <w:bottom w:val="none" w:sz="0" w:space="0" w:color="auto"/>
        <w:right w:val="none" w:sz="0" w:space="0" w:color="auto"/>
      </w:divBdr>
      <w:divsChild>
        <w:div w:id="212680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02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66540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19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3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93069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pathways.org" TargetMode="External"/><Relationship Id="rId3" Type="http://schemas.openxmlformats.org/officeDocument/2006/relationships/settings" Target="settings.xml"/><Relationship Id="rId7" Type="http://schemas.openxmlformats.org/officeDocument/2006/relationships/hyperlink" Target="https://des.az.gov/d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az.gov/dd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Richmond</dc:creator>
  <cp:keywords/>
  <dc:description/>
  <cp:lastModifiedBy>Shannon Richmond</cp:lastModifiedBy>
  <cp:revision>1</cp:revision>
  <dcterms:created xsi:type="dcterms:W3CDTF">2025-06-12T03:28:00Z</dcterms:created>
  <dcterms:modified xsi:type="dcterms:W3CDTF">2025-06-12T03:32:00Z</dcterms:modified>
</cp:coreProperties>
</file>