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144CF" w14:textId="664539FE" w:rsidR="003F2F22" w:rsidRPr="003F2F22" w:rsidRDefault="003F2F22" w:rsidP="003F2F22">
      <w:pPr>
        <w:pStyle w:val="Heading3"/>
        <w:spacing w:before="300" w:line="600" w:lineRule="atLeast"/>
        <w:jc w:val="center"/>
        <w:rPr>
          <w:rFonts w:asciiTheme="minorHAnsi" w:hAnsiTheme="minorHAnsi" w:cstheme="minorHAnsi"/>
          <w:b/>
          <w:bCs/>
          <w:color w:val="333333"/>
          <w:sz w:val="36"/>
          <w:szCs w:val="36"/>
          <w:u w:val="single"/>
        </w:rPr>
      </w:pPr>
      <w:r w:rsidRPr="003F2F22">
        <w:rPr>
          <w:rFonts w:asciiTheme="minorHAnsi" w:hAnsiTheme="minorHAnsi" w:cstheme="minorHAnsi"/>
          <w:b/>
          <w:bCs/>
          <w:color w:val="333333"/>
          <w:sz w:val="36"/>
          <w:szCs w:val="36"/>
          <w:u w:val="single"/>
        </w:rPr>
        <w:t>GUIDE TO INDUSTRI</w:t>
      </w:r>
      <w:r>
        <w:rPr>
          <w:rFonts w:asciiTheme="minorHAnsi" w:hAnsiTheme="minorHAnsi" w:cstheme="minorHAnsi"/>
          <w:b/>
          <w:bCs/>
          <w:color w:val="333333"/>
          <w:sz w:val="36"/>
          <w:szCs w:val="36"/>
          <w:u w:val="single"/>
        </w:rPr>
        <w:t>A</w:t>
      </w:r>
      <w:bookmarkStart w:id="0" w:name="_GoBack"/>
      <w:bookmarkEnd w:id="0"/>
      <w:r w:rsidRPr="003F2F22">
        <w:rPr>
          <w:rFonts w:asciiTheme="minorHAnsi" w:hAnsiTheme="minorHAnsi" w:cstheme="minorHAnsi"/>
          <w:b/>
          <w:bCs/>
          <w:color w:val="333333"/>
          <w:sz w:val="36"/>
          <w:szCs w:val="36"/>
          <w:u w:val="single"/>
        </w:rPr>
        <w:t>L HYGEINE</w:t>
      </w:r>
    </w:p>
    <w:p w14:paraId="3845CF5C" w14:textId="2E98A2F4" w:rsidR="003F2F22" w:rsidRPr="003F2F22" w:rsidRDefault="003F2F22" w:rsidP="003F2F22">
      <w:pPr>
        <w:pStyle w:val="Heading3"/>
        <w:spacing w:before="300" w:line="600" w:lineRule="atLeast"/>
        <w:rPr>
          <w:rFonts w:asciiTheme="minorHAnsi" w:hAnsiTheme="minorHAnsi" w:cstheme="minorHAnsi"/>
          <w:color w:val="333333"/>
        </w:rPr>
      </w:pPr>
      <w:r w:rsidRPr="003F2F22">
        <w:rPr>
          <w:rFonts w:asciiTheme="minorHAnsi" w:hAnsiTheme="minorHAnsi" w:cstheme="minorHAnsi"/>
          <w:color w:val="333333"/>
        </w:rPr>
        <w:t>Course Description:</w:t>
      </w:r>
    </w:p>
    <w:p w14:paraId="6930C6AC" w14:textId="77777777" w:rsidR="003F2F22" w:rsidRPr="003F2F22" w:rsidRDefault="003F2F22" w:rsidP="003F2F22">
      <w:pPr>
        <w:pStyle w:val="NormalWeb"/>
        <w:spacing w:before="0" w:beforeAutospacing="0" w:after="150" w:afterAutospacing="0"/>
        <w:rPr>
          <w:rFonts w:asciiTheme="minorHAnsi" w:hAnsiTheme="minorHAnsi" w:cstheme="minorHAnsi"/>
          <w:color w:val="333333"/>
          <w:sz w:val="21"/>
          <w:szCs w:val="21"/>
        </w:rPr>
      </w:pPr>
      <w:r w:rsidRPr="003F2F22">
        <w:rPr>
          <w:rFonts w:asciiTheme="minorHAnsi" w:hAnsiTheme="minorHAnsi" w:cstheme="minorHAnsi"/>
          <w:color w:val="333333"/>
          <w:sz w:val="21"/>
          <w:szCs w:val="21"/>
        </w:rPr>
        <w:t>This course provides the students with an introduction to industrial hygiene. It addresses many workplace hazards: chemical, physical, and biological, with the primary emphasis being on hazard assessment. Topics such as qualitative versus quantitative assessment, hierarchy of controls and the role of the occupational hygienist are examined. Students obtain practical experience performing qualitative workplace assessments and the creation of a workplace exposure prevention program.</w:t>
      </w:r>
    </w:p>
    <w:p w14:paraId="0F42B4EA" w14:textId="77777777" w:rsidR="003F2F22" w:rsidRPr="003F2F22" w:rsidRDefault="003F2F22" w:rsidP="003F2F22">
      <w:pPr>
        <w:pStyle w:val="Heading3"/>
        <w:spacing w:before="300" w:line="600" w:lineRule="atLeast"/>
        <w:rPr>
          <w:rFonts w:asciiTheme="minorHAnsi" w:hAnsiTheme="minorHAnsi" w:cstheme="minorHAnsi"/>
          <w:color w:val="333333"/>
          <w:sz w:val="27"/>
          <w:szCs w:val="27"/>
        </w:rPr>
      </w:pPr>
      <w:r w:rsidRPr="003F2F22">
        <w:rPr>
          <w:rFonts w:asciiTheme="minorHAnsi" w:hAnsiTheme="minorHAnsi" w:cstheme="minorHAnsi"/>
          <w:color w:val="333333"/>
        </w:rPr>
        <w:t>Learning Outcomes:</w:t>
      </w:r>
    </w:p>
    <w:p w14:paraId="0D23353A" w14:textId="01AD092A" w:rsidR="003F2F22" w:rsidRPr="003F2F22" w:rsidRDefault="003F2F22" w:rsidP="003F2F22">
      <w:pPr>
        <w:pStyle w:val="NormalWeb"/>
        <w:spacing w:before="0" w:beforeAutospacing="0" w:after="150" w:afterAutospacing="0"/>
        <w:rPr>
          <w:rFonts w:asciiTheme="minorHAnsi" w:hAnsiTheme="minorHAnsi" w:cstheme="minorHAnsi"/>
          <w:color w:val="333333"/>
          <w:sz w:val="21"/>
          <w:szCs w:val="21"/>
        </w:rPr>
      </w:pPr>
      <w:r w:rsidRPr="003F2F22">
        <w:rPr>
          <w:rFonts w:asciiTheme="minorHAnsi" w:hAnsiTheme="minorHAnsi" w:cstheme="minorHAnsi"/>
          <w:color w:val="333333"/>
          <w:sz w:val="21"/>
          <w:szCs w:val="21"/>
        </w:rPr>
        <w:t>Upon successful completion of this course the student will have reliably demonstrated the ability to:</w:t>
      </w:r>
      <w:r w:rsidRPr="003F2F22">
        <w:rPr>
          <w:rFonts w:asciiTheme="minorHAnsi" w:hAnsiTheme="minorHAnsi" w:cstheme="minorHAnsi"/>
          <w:color w:val="333333"/>
          <w:sz w:val="21"/>
          <w:szCs w:val="21"/>
        </w:rPr>
        <w:br/>
      </w:r>
      <w:r w:rsidRPr="003F2F22">
        <w:rPr>
          <w:rFonts w:asciiTheme="minorHAnsi" w:hAnsiTheme="minorHAnsi" w:cstheme="minorHAnsi"/>
          <w:color w:val="333333"/>
          <w:sz w:val="21"/>
          <w:szCs w:val="21"/>
        </w:rPr>
        <w:br/>
        <w:t>1. Explain the importance of occupational hygiene.</w:t>
      </w:r>
      <w:r w:rsidRPr="003F2F22">
        <w:rPr>
          <w:rFonts w:asciiTheme="minorHAnsi" w:hAnsiTheme="minorHAnsi" w:cstheme="minorHAnsi"/>
          <w:color w:val="333333"/>
          <w:sz w:val="21"/>
          <w:szCs w:val="21"/>
        </w:rPr>
        <w:br/>
        <w:t xml:space="preserve">2. </w:t>
      </w:r>
      <w:r w:rsidRPr="003F2F22">
        <w:rPr>
          <w:rFonts w:asciiTheme="minorHAnsi" w:hAnsiTheme="minorHAnsi" w:cstheme="minorHAnsi"/>
          <w:color w:val="333333"/>
          <w:sz w:val="21"/>
          <w:szCs w:val="21"/>
        </w:rPr>
        <w:t>Analyze</w:t>
      </w:r>
      <w:r w:rsidRPr="003F2F22">
        <w:rPr>
          <w:rFonts w:asciiTheme="minorHAnsi" w:hAnsiTheme="minorHAnsi" w:cstheme="minorHAnsi"/>
          <w:color w:val="333333"/>
          <w:sz w:val="21"/>
          <w:szCs w:val="21"/>
        </w:rPr>
        <w:t xml:space="preserve"> and apply industrial hygiene strategies with respect to chemical, biological, and physical hazards.</w:t>
      </w:r>
      <w:r w:rsidRPr="003F2F22">
        <w:rPr>
          <w:rFonts w:asciiTheme="minorHAnsi" w:hAnsiTheme="minorHAnsi" w:cstheme="minorHAnsi"/>
          <w:color w:val="333333"/>
          <w:sz w:val="21"/>
          <w:szCs w:val="21"/>
        </w:rPr>
        <w:br/>
        <w:t>3. Identify industrial hygiene standards, testing systems, and monitoring techniques.</w:t>
      </w:r>
      <w:r w:rsidRPr="003F2F22">
        <w:rPr>
          <w:rFonts w:asciiTheme="minorHAnsi" w:hAnsiTheme="minorHAnsi" w:cstheme="minorHAnsi"/>
          <w:color w:val="333333"/>
          <w:sz w:val="21"/>
          <w:szCs w:val="21"/>
        </w:rPr>
        <w:br/>
        <w:t>4. Recognize, assess, and control chemical, biological, and physical hazards.</w:t>
      </w:r>
      <w:r w:rsidRPr="003F2F22">
        <w:rPr>
          <w:rFonts w:asciiTheme="minorHAnsi" w:hAnsiTheme="minorHAnsi" w:cstheme="minorHAnsi"/>
          <w:color w:val="333333"/>
          <w:sz w:val="21"/>
          <w:szCs w:val="21"/>
        </w:rPr>
        <w:br/>
        <w:t>5. Apply the laws and legal threshold limit values around hazardous exposure.</w:t>
      </w:r>
      <w:r w:rsidRPr="003F2F22">
        <w:rPr>
          <w:rFonts w:asciiTheme="minorHAnsi" w:hAnsiTheme="minorHAnsi" w:cstheme="minorHAnsi"/>
          <w:color w:val="333333"/>
          <w:sz w:val="21"/>
          <w:szCs w:val="21"/>
        </w:rPr>
        <w:br/>
        <w:t>6. Perform a workplace exposure assessment.</w:t>
      </w:r>
      <w:r w:rsidRPr="003F2F22">
        <w:rPr>
          <w:rFonts w:asciiTheme="minorHAnsi" w:hAnsiTheme="minorHAnsi" w:cstheme="minorHAnsi"/>
          <w:color w:val="333333"/>
          <w:sz w:val="21"/>
          <w:szCs w:val="21"/>
        </w:rPr>
        <w:br/>
        <w:t>7. Access reliable on-line resources to identify health effects associated with occupational illness.</w:t>
      </w:r>
    </w:p>
    <w:p w14:paraId="1ABD98BC" w14:textId="77777777" w:rsidR="003F2F22" w:rsidRPr="003F2F22" w:rsidRDefault="003F2F22" w:rsidP="003F2F22">
      <w:pPr>
        <w:pStyle w:val="Heading3"/>
        <w:spacing w:before="300" w:line="600" w:lineRule="atLeast"/>
        <w:rPr>
          <w:rFonts w:asciiTheme="minorHAnsi" w:hAnsiTheme="minorHAnsi" w:cstheme="minorHAnsi"/>
          <w:color w:val="333333"/>
          <w:sz w:val="27"/>
          <w:szCs w:val="27"/>
        </w:rPr>
      </w:pPr>
      <w:r w:rsidRPr="003F2F22">
        <w:rPr>
          <w:rFonts w:asciiTheme="minorHAnsi" w:hAnsiTheme="minorHAnsi" w:cstheme="minorHAnsi"/>
          <w:color w:val="333333"/>
        </w:rPr>
        <w:t>Course Content:</w:t>
      </w:r>
    </w:p>
    <w:p w14:paraId="769933A5" w14:textId="77777777" w:rsidR="003F2F22" w:rsidRPr="003F2F22" w:rsidRDefault="003F2F22" w:rsidP="003F2F22">
      <w:pPr>
        <w:pStyle w:val="NormalWeb"/>
        <w:spacing w:before="0" w:beforeAutospacing="0" w:after="150" w:afterAutospacing="0"/>
        <w:rPr>
          <w:rFonts w:asciiTheme="minorHAnsi" w:hAnsiTheme="minorHAnsi" w:cstheme="minorHAnsi"/>
          <w:color w:val="333333"/>
          <w:sz w:val="21"/>
          <w:szCs w:val="21"/>
        </w:rPr>
      </w:pPr>
      <w:r w:rsidRPr="003F2F22">
        <w:rPr>
          <w:rFonts w:asciiTheme="minorHAnsi" w:hAnsiTheme="minorHAnsi" w:cstheme="minorHAnsi"/>
          <w:color w:val="333333"/>
          <w:sz w:val="21"/>
          <w:szCs w:val="21"/>
        </w:rPr>
        <w:t>Brief History of Occupational Hygiene</w:t>
      </w:r>
      <w:r w:rsidRPr="003F2F22">
        <w:rPr>
          <w:rFonts w:asciiTheme="minorHAnsi" w:hAnsiTheme="minorHAnsi" w:cstheme="minorHAnsi"/>
          <w:color w:val="333333"/>
          <w:sz w:val="21"/>
          <w:szCs w:val="21"/>
        </w:rPr>
        <w:br/>
        <w:t>Occupational Hygiene Standards</w:t>
      </w:r>
      <w:r w:rsidRPr="003F2F22">
        <w:rPr>
          <w:rFonts w:asciiTheme="minorHAnsi" w:hAnsiTheme="minorHAnsi" w:cstheme="minorHAnsi"/>
          <w:color w:val="333333"/>
          <w:sz w:val="21"/>
          <w:szCs w:val="21"/>
        </w:rPr>
        <w:br/>
        <w:t>Industrial Hygiene and monitoring techniques</w:t>
      </w:r>
      <w:r w:rsidRPr="003F2F22">
        <w:rPr>
          <w:rFonts w:asciiTheme="minorHAnsi" w:hAnsiTheme="minorHAnsi" w:cstheme="minorHAnsi"/>
          <w:color w:val="333333"/>
          <w:sz w:val="21"/>
          <w:szCs w:val="21"/>
        </w:rPr>
        <w:br/>
        <w:t>Indoor air quality</w:t>
      </w:r>
      <w:r w:rsidRPr="003F2F22">
        <w:rPr>
          <w:rFonts w:asciiTheme="minorHAnsi" w:hAnsiTheme="minorHAnsi" w:cstheme="minorHAnsi"/>
          <w:color w:val="333333"/>
          <w:sz w:val="21"/>
          <w:szCs w:val="21"/>
        </w:rPr>
        <w:br/>
        <w:t>Physical hazards</w:t>
      </w:r>
      <w:r w:rsidRPr="003F2F22">
        <w:rPr>
          <w:rFonts w:asciiTheme="minorHAnsi" w:hAnsiTheme="minorHAnsi" w:cstheme="minorHAnsi"/>
          <w:color w:val="333333"/>
          <w:sz w:val="21"/>
          <w:szCs w:val="21"/>
        </w:rPr>
        <w:br/>
        <w:t>Noise in the workplace</w:t>
      </w:r>
      <w:r w:rsidRPr="003F2F22">
        <w:rPr>
          <w:rFonts w:asciiTheme="minorHAnsi" w:hAnsiTheme="minorHAnsi" w:cstheme="minorHAnsi"/>
          <w:color w:val="333333"/>
          <w:sz w:val="21"/>
          <w:szCs w:val="21"/>
        </w:rPr>
        <w:br/>
        <w:t>Radiation</w:t>
      </w:r>
      <w:r w:rsidRPr="003F2F22">
        <w:rPr>
          <w:rFonts w:asciiTheme="minorHAnsi" w:hAnsiTheme="minorHAnsi" w:cstheme="minorHAnsi"/>
          <w:color w:val="333333"/>
          <w:sz w:val="21"/>
          <w:szCs w:val="21"/>
        </w:rPr>
        <w:br/>
        <w:t>Temperature extremes</w:t>
      </w:r>
      <w:r w:rsidRPr="003F2F22">
        <w:rPr>
          <w:rFonts w:asciiTheme="minorHAnsi" w:hAnsiTheme="minorHAnsi" w:cstheme="minorHAnsi"/>
          <w:color w:val="333333"/>
          <w:sz w:val="21"/>
          <w:szCs w:val="21"/>
        </w:rPr>
        <w:br/>
        <w:t>Biological Hazards</w:t>
      </w:r>
      <w:r w:rsidRPr="003F2F22">
        <w:rPr>
          <w:rFonts w:asciiTheme="minorHAnsi" w:hAnsiTheme="minorHAnsi" w:cstheme="minorHAnsi"/>
          <w:color w:val="333333"/>
          <w:sz w:val="21"/>
          <w:szCs w:val="21"/>
        </w:rPr>
        <w:br/>
        <w:t>Toxicology Properties</w:t>
      </w:r>
    </w:p>
    <w:p w14:paraId="643CEA96" w14:textId="77777777" w:rsidR="009F5D84" w:rsidRPr="003F2F22" w:rsidRDefault="003F2F22" w:rsidP="003F2F22">
      <w:pPr>
        <w:rPr>
          <w:rFonts w:cstheme="minorHAnsi"/>
        </w:rPr>
      </w:pPr>
    </w:p>
    <w:sectPr w:rsidR="009F5D84" w:rsidRPr="003F2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F22"/>
    <w:rsid w:val="003F2F22"/>
    <w:rsid w:val="005E7BED"/>
    <w:rsid w:val="006C0A08"/>
    <w:rsid w:val="00BC06EF"/>
    <w:rsid w:val="00CA6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8D70"/>
  <w15:chartTrackingRefBased/>
  <w15:docId w15:val="{27A89C78-357C-4336-8A00-701CFC44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F2F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3F2F2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F2F2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F2F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F2F2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339974">
      <w:bodyDiv w:val="1"/>
      <w:marLeft w:val="0"/>
      <w:marRight w:val="0"/>
      <w:marTop w:val="0"/>
      <w:marBottom w:val="0"/>
      <w:divBdr>
        <w:top w:val="none" w:sz="0" w:space="0" w:color="auto"/>
        <w:left w:val="none" w:sz="0" w:space="0" w:color="auto"/>
        <w:bottom w:val="none" w:sz="0" w:space="0" w:color="auto"/>
        <w:right w:val="none" w:sz="0" w:space="0" w:color="auto"/>
      </w:divBdr>
    </w:div>
    <w:div w:id="1166897271">
      <w:bodyDiv w:val="1"/>
      <w:marLeft w:val="0"/>
      <w:marRight w:val="0"/>
      <w:marTop w:val="0"/>
      <w:marBottom w:val="0"/>
      <w:divBdr>
        <w:top w:val="none" w:sz="0" w:space="0" w:color="auto"/>
        <w:left w:val="none" w:sz="0" w:space="0" w:color="auto"/>
        <w:bottom w:val="none" w:sz="0" w:space="0" w:color="auto"/>
        <w:right w:val="none" w:sz="0" w:space="0" w:color="auto"/>
      </w:divBdr>
      <w:divsChild>
        <w:div w:id="1160539677">
          <w:marLeft w:val="0"/>
          <w:marRight w:val="0"/>
          <w:marTop w:val="0"/>
          <w:marBottom w:val="0"/>
          <w:divBdr>
            <w:top w:val="none" w:sz="0" w:space="0" w:color="auto"/>
            <w:left w:val="none" w:sz="0" w:space="0" w:color="auto"/>
            <w:bottom w:val="none" w:sz="0" w:space="0" w:color="auto"/>
            <w:right w:val="none" w:sz="0" w:space="0" w:color="auto"/>
          </w:divBdr>
        </w:div>
        <w:div w:id="1798447906">
          <w:marLeft w:val="0"/>
          <w:marRight w:val="0"/>
          <w:marTop w:val="0"/>
          <w:marBottom w:val="0"/>
          <w:divBdr>
            <w:top w:val="none" w:sz="0" w:space="0" w:color="auto"/>
            <w:left w:val="none" w:sz="0" w:space="0" w:color="auto"/>
            <w:bottom w:val="none" w:sz="0" w:space="0" w:color="auto"/>
            <w:right w:val="none" w:sz="0" w:space="0" w:color="auto"/>
          </w:divBdr>
        </w:div>
        <w:div w:id="1912154347">
          <w:marLeft w:val="0"/>
          <w:marRight w:val="0"/>
          <w:marTop w:val="0"/>
          <w:marBottom w:val="0"/>
          <w:divBdr>
            <w:top w:val="none" w:sz="0" w:space="0" w:color="auto"/>
            <w:left w:val="none" w:sz="0" w:space="0" w:color="auto"/>
            <w:bottom w:val="none" w:sz="0" w:space="0" w:color="auto"/>
            <w:right w:val="none" w:sz="0" w:space="0" w:color="auto"/>
          </w:divBdr>
        </w:div>
      </w:divsChild>
    </w:div>
    <w:div w:id="166219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Ritchie</dc:creator>
  <cp:keywords/>
  <dc:description/>
  <cp:lastModifiedBy>Robert Ritchie</cp:lastModifiedBy>
  <cp:revision>1</cp:revision>
  <dcterms:created xsi:type="dcterms:W3CDTF">2019-07-16T20:50:00Z</dcterms:created>
  <dcterms:modified xsi:type="dcterms:W3CDTF">2019-07-16T20:54:00Z</dcterms:modified>
</cp:coreProperties>
</file>