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0C769" w14:textId="77777777" w:rsidR="00A72C6B" w:rsidRDefault="00A72C6B">
      <w:pPr>
        <w:spacing w:line="240" w:lineRule="auto"/>
        <w:ind w:left="0" w:hanging="2"/>
        <w:rPr>
          <w:sz w:val="20"/>
          <w:szCs w:val="20"/>
        </w:rPr>
      </w:pPr>
    </w:p>
    <w:p w14:paraId="1A90C76A" w14:textId="77777777" w:rsidR="00A72C6B" w:rsidRDefault="00CA3B48">
      <w:pPr>
        <w:pStyle w:val="Heading1"/>
        <w:spacing w:line="240" w:lineRule="auto"/>
        <w:ind w:left="0" w:hanging="2"/>
        <w:rPr>
          <w:rFonts w:ascii="Times New Roman" w:hAnsi="Times New Roman"/>
          <w:sz w:val="20"/>
          <w:szCs w:val="20"/>
        </w:rPr>
      </w:pPr>
      <w:r>
        <w:rPr>
          <w:rFonts w:ascii="Times New Roman" w:hAnsi="Times New Roman"/>
          <w:sz w:val="20"/>
          <w:szCs w:val="20"/>
        </w:rPr>
        <w:t>Confidentiality and client access to records</w:t>
      </w:r>
    </w:p>
    <w:p w14:paraId="1A90C76B" w14:textId="77777777" w:rsidR="00A72C6B" w:rsidRDefault="00A72C6B">
      <w:pPr>
        <w:pStyle w:val="Heading1"/>
        <w:spacing w:line="240" w:lineRule="auto"/>
        <w:ind w:left="0" w:hanging="2"/>
        <w:rPr>
          <w:rFonts w:ascii="Times New Roman" w:hAnsi="Times New Roman"/>
          <w:sz w:val="20"/>
          <w:szCs w:val="20"/>
        </w:rPr>
      </w:pPr>
    </w:p>
    <w:p w14:paraId="1A90C76C" w14:textId="77777777" w:rsidR="00A72C6B" w:rsidRDefault="00CA3B48">
      <w:pPr>
        <w:pStyle w:val="Heading1"/>
        <w:spacing w:line="240" w:lineRule="auto"/>
        <w:ind w:left="0" w:hanging="2"/>
        <w:rPr>
          <w:rFonts w:ascii="Times New Roman" w:hAnsi="Times New Roman"/>
          <w:sz w:val="20"/>
          <w:szCs w:val="20"/>
        </w:rPr>
      </w:pPr>
      <w:r>
        <w:rPr>
          <w:rFonts w:ascii="Times New Roman" w:hAnsi="Times New Roman"/>
          <w:sz w:val="20"/>
          <w:szCs w:val="20"/>
        </w:rPr>
        <w:t>Policy statement</w:t>
      </w:r>
    </w:p>
    <w:p w14:paraId="1A90C76D" w14:textId="77777777" w:rsidR="00A72C6B" w:rsidRDefault="00A72C6B">
      <w:pPr>
        <w:spacing w:line="240" w:lineRule="auto"/>
        <w:ind w:left="0" w:hanging="2"/>
        <w:rPr>
          <w:sz w:val="20"/>
          <w:szCs w:val="20"/>
        </w:rPr>
      </w:pPr>
    </w:p>
    <w:p w14:paraId="1A90C76E" w14:textId="77777777" w:rsidR="00A72C6B" w:rsidRDefault="00CA3B48">
      <w:pPr>
        <w:spacing w:line="240" w:lineRule="auto"/>
        <w:ind w:left="0" w:hanging="2"/>
        <w:rPr>
          <w:sz w:val="20"/>
          <w:szCs w:val="20"/>
        </w:rPr>
      </w:pPr>
      <w:r>
        <w:rPr>
          <w:i/>
          <w:sz w:val="20"/>
          <w:szCs w:val="20"/>
        </w:rPr>
        <w:t>‘Confidential</w:t>
      </w:r>
      <w:r>
        <w:rPr>
          <w:i/>
          <w:sz w:val="20"/>
          <w:szCs w:val="20"/>
        </w:rPr>
        <w:t xml:space="preserve"> information is information that is not normally in the public domain or readily available from another source</w:t>
      </w:r>
      <w:r>
        <w:rPr>
          <w:i/>
          <w:sz w:val="20"/>
          <w:szCs w:val="20"/>
        </w:rPr>
        <w:t>. It</w:t>
      </w:r>
      <w:r>
        <w:rPr>
          <w:i/>
          <w:sz w:val="20"/>
          <w:szCs w:val="20"/>
        </w:rPr>
        <w:t xml:space="preserve"> should have a degree of sensitivity and value and be subject to a duty of confidence. A duty of confidence arises when one person provides information to another in circumstances where it is reasonable to expect that the information will be held in confidence.'</w:t>
      </w:r>
    </w:p>
    <w:p w14:paraId="1A90C76F" w14:textId="77777777" w:rsidR="00A72C6B" w:rsidRDefault="00A72C6B">
      <w:pPr>
        <w:spacing w:line="240" w:lineRule="auto"/>
        <w:ind w:left="0" w:hanging="2"/>
        <w:rPr>
          <w:sz w:val="20"/>
          <w:szCs w:val="20"/>
        </w:rPr>
      </w:pPr>
    </w:p>
    <w:p w14:paraId="1A90C770" w14:textId="77777777" w:rsidR="00A72C6B" w:rsidRDefault="00CA3B48">
      <w:pPr>
        <w:spacing w:line="240" w:lineRule="auto"/>
        <w:ind w:left="0" w:hanging="2"/>
        <w:jc w:val="right"/>
        <w:rPr>
          <w:sz w:val="20"/>
          <w:szCs w:val="20"/>
        </w:rPr>
      </w:pPr>
      <w:r>
        <w:rPr>
          <w:i/>
          <w:sz w:val="20"/>
          <w:szCs w:val="20"/>
        </w:rPr>
        <w:t>Information Sharing: Guidance for Practitioners and Managers</w:t>
      </w:r>
      <w:r>
        <w:rPr>
          <w:sz w:val="20"/>
          <w:szCs w:val="20"/>
        </w:rPr>
        <w:t xml:space="preserve"> (DCSF 2008)</w:t>
      </w:r>
    </w:p>
    <w:p w14:paraId="1A90C771" w14:textId="77777777" w:rsidR="00A72C6B" w:rsidRDefault="00A72C6B">
      <w:pPr>
        <w:spacing w:line="240" w:lineRule="auto"/>
        <w:ind w:left="0" w:hanging="2"/>
        <w:rPr>
          <w:sz w:val="20"/>
          <w:szCs w:val="20"/>
        </w:rPr>
      </w:pPr>
    </w:p>
    <w:p w14:paraId="1A90C772" w14:textId="77777777" w:rsidR="00A72C6B" w:rsidRDefault="00CA3B48">
      <w:pPr>
        <w:spacing w:line="240" w:lineRule="auto"/>
        <w:ind w:left="0" w:hanging="2"/>
        <w:rPr>
          <w:sz w:val="20"/>
          <w:szCs w:val="20"/>
        </w:rPr>
      </w:pPr>
      <w:r>
        <w:rPr>
          <w:sz w:val="20"/>
          <w:szCs w:val="20"/>
        </w:rPr>
        <w:t xml:space="preserve">In our setting, staff and managers can be said to have a ‘confidential relationship’ with families. It is our intention to respect the privacy of children and their parents and carers, while ensuring that they access high quality early years care and education in our setting. We aim to ensure that all parents and carers can share their information in the confidence that it will only be used to enhance the welfare of their children. There are record keeping </w:t>
      </w:r>
      <w:r>
        <w:rPr>
          <w:sz w:val="20"/>
          <w:szCs w:val="20"/>
        </w:rPr>
        <w:t>systems that</w:t>
      </w:r>
      <w:r>
        <w:rPr>
          <w:sz w:val="20"/>
          <w:szCs w:val="20"/>
        </w:rPr>
        <w:t xml:space="preserve"> meet legal requirements</w:t>
      </w:r>
      <w:r>
        <w:rPr>
          <w:sz w:val="20"/>
          <w:szCs w:val="20"/>
        </w:rPr>
        <w:t>. The</w:t>
      </w:r>
      <w:r>
        <w:rPr>
          <w:sz w:val="20"/>
          <w:szCs w:val="20"/>
        </w:rPr>
        <w:t xml:space="preserve"> means we use to store and share </w:t>
      </w:r>
      <w:r>
        <w:rPr>
          <w:sz w:val="20"/>
          <w:szCs w:val="20"/>
        </w:rPr>
        <w:t>this information is under the</w:t>
      </w:r>
      <w:r>
        <w:rPr>
          <w:sz w:val="20"/>
          <w:szCs w:val="20"/>
        </w:rPr>
        <w:t xml:space="preserve"> GDPR (2018) and the Human Rights Act (1998).</w:t>
      </w:r>
    </w:p>
    <w:p w14:paraId="1A90C773" w14:textId="77777777" w:rsidR="00A72C6B" w:rsidRDefault="00A72C6B">
      <w:pPr>
        <w:spacing w:line="240" w:lineRule="auto"/>
        <w:ind w:left="0" w:hanging="2"/>
        <w:rPr>
          <w:sz w:val="20"/>
          <w:szCs w:val="20"/>
        </w:rPr>
      </w:pPr>
    </w:p>
    <w:p w14:paraId="1A90C774" w14:textId="77777777" w:rsidR="00A72C6B" w:rsidRDefault="00CA3B48">
      <w:pPr>
        <w:spacing w:line="240" w:lineRule="auto"/>
        <w:ind w:left="0" w:hanging="2"/>
        <w:rPr>
          <w:sz w:val="20"/>
          <w:szCs w:val="20"/>
        </w:rPr>
      </w:pPr>
      <w:r>
        <w:rPr>
          <w:b/>
          <w:sz w:val="20"/>
          <w:szCs w:val="20"/>
        </w:rPr>
        <w:t>Confidentiality procedures</w:t>
      </w:r>
    </w:p>
    <w:p w14:paraId="1A90C775" w14:textId="77777777" w:rsidR="00A72C6B" w:rsidRDefault="00A72C6B">
      <w:pPr>
        <w:spacing w:line="240" w:lineRule="auto"/>
        <w:ind w:left="0" w:hanging="2"/>
        <w:rPr>
          <w:sz w:val="20"/>
          <w:szCs w:val="20"/>
        </w:rPr>
      </w:pPr>
    </w:p>
    <w:p w14:paraId="1A90C776" w14:textId="77777777" w:rsidR="00A72C6B" w:rsidRDefault="00CA3B48">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We always check whether parents regard the information they share with us to be confidential or not.</w:t>
      </w:r>
    </w:p>
    <w:p w14:paraId="1A90C777" w14:textId="77777777" w:rsidR="00A72C6B" w:rsidRDefault="00CA3B48">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 xml:space="preserve">Some parents may share information about themselves with other parents </w:t>
      </w:r>
      <w:r>
        <w:rPr>
          <w:sz w:val="20"/>
          <w:szCs w:val="20"/>
        </w:rPr>
        <w:t>and</w:t>
      </w:r>
      <w:r>
        <w:rPr>
          <w:color w:val="000000"/>
          <w:sz w:val="20"/>
          <w:szCs w:val="20"/>
        </w:rPr>
        <w:t xml:space="preserve"> staff</w:t>
      </w:r>
      <w:r>
        <w:rPr>
          <w:sz w:val="20"/>
          <w:szCs w:val="20"/>
        </w:rPr>
        <w:t>. The</w:t>
      </w:r>
      <w:r>
        <w:rPr>
          <w:color w:val="000000"/>
          <w:sz w:val="20"/>
          <w:szCs w:val="20"/>
        </w:rPr>
        <w:t xml:space="preserve"> setting cannot be held responsible if information is shared beyond those parents whom the person has ‘confided’ in.</w:t>
      </w:r>
    </w:p>
    <w:p w14:paraId="1A90C778" w14:textId="77777777" w:rsidR="00A72C6B" w:rsidRDefault="00CA3B48">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Information shared between parents in a discussion or training group is usually bound by a shared agreement that the information is confidential to the group and not discussed outside of it.</w:t>
      </w:r>
    </w:p>
    <w:p w14:paraId="1A90C779" w14:textId="77777777" w:rsidR="00A72C6B" w:rsidRDefault="00CA3B48">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We inform parents when we need to record confidential information beyond the general personal information we keep (see our Children's Records Policy) - for example with regard to any injuries, concerns or changes in relation to the child or the family, any discussions with parents on sensitive matters, any records we are obliged to keep regarding action taken in respect of child protection and any contact and correspondence with external agencies in relation to their child.</w:t>
      </w:r>
    </w:p>
    <w:p w14:paraId="1A90C77A" w14:textId="77777777" w:rsidR="00A72C6B" w:rsidRDefault="00CA3B48">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We keep all records securely (see our Children's Records Policy).</w:t>
      </w:r>
    </w:p>
    <w:p w14:paraId="1A90C77B" w14:textId="77777777" w:rsidR="00A72C6B" w:rsidRDefault="00A72C6B">
      <w:pPr>
        <w:pBdr>
          <w:top w:val="nil"/>
          <w:left w:val="nil"/>
          <w:bottom w:val="nil"/>
          <w:right w:val="nil"/>
          <w:between w:val="nil"/>
        </w:pBdr>
        <w:spacing w:line="240" w:lineRule="auto"/>
        <w:ind w:left="0" w:hanging="2"/>
        <w:rPr>
          <w:color w:val="000000"/>
          <w:sz w:val="20"/>
          <w:szCs w:val="20"/>
        </w:rPr>
      </w:pPr>
    </w:p>
    <w:p w14:paraId="1A90C77C" w14:textId="77777777" w:rsidR="00A72C6B" w:rsidRDefault="00CA3B48">
      <w:pPr>
        <w:pStyle w:val="Heading2"/>
        <w:spacing w:line="240" w:lineRule="auto"/>
        <w:ind w:left="0" w:hanging="2"/>
        <w:rPr>
          <w:rFonts w:ascii="Times New Roman" w:hAnsi="Times New Roman"/>
        </w:rPr>
      </w:pPr>
      <w:r>
        <w:rPr>
          <w:rFonts w:ascii="Times New Roman" w:hAnsi="Times New Roman"/>
        </w:rPr>
        <w:t>Client access to records procedures</w:t>
      </w:r>
    </w:p>
    <w:p w14:paraId="1A90C77D" w14:textId="77777777" w:rsidR="00A72C6B" w:rsidRDefault="00A72C6B">
      <w:pPr>
        <w:spacing w:line="240" w:lineRule="auto"/>
        <w:ind w:left="0" w:hanging="2"/>
        <w:rPr>
          <w:sz w:val="20"/>
          <w:szCs w:val="20"/>
        </w:rPr>
      </w:pPr>
    </w:p>
    <w:p w14:paraId="1A90C77E" w14:textId="77777777" w:rsidR="00A72C6B" w:rsidRDefault="00CA3B48">
      <w:pPr>
        <w:spacing w:line="240" w:lineRule="auto"/>
        <w:ind w:left="0" w:hanging="2"/>
        <w:rPr>
          <w:sz w:val="20"/>
          <w:szCs w:val="20"/>
        </w:rPr>
      </w:pPr>
      <w:r>
        <w:rPr>
          <w:sz w:val="20"/>
          <w:szCs w:val="20"/>
        </w:rPr>
        <w:t>Parents may request access to any confidential records held on their child and family following the procedure below:</w:t>
      </w:r>
    </w:p>
    <w:p w14:paraId="1A90C77F" w14:textId="77777777" w:rsidR="00A72C6B" w:rsidRDefault="00CA3B48">
      <w:pPr>
        <w:numPr>
          <w:ilvl w:val="0"/>
          <w:numId w:val="1"/>
        </w:numPr>
        <w:spacing w:line="240" w:lineRule="auto"/>
        <w:ind w:left="0" w:hanging="2"/>
        <w:rPr>
          <w:sz w:val="20"/>
          <w:szCs w:val="20"/>
        </w:rPr>
      </w:pPr>
      <w:r>
        <w:rPr>
          <w:sz w:val="20"/>
          <w:szCs w:val="20"/>
        </w:rPr>
        <w:t>Any request to see the child’s personal file by a parent or person with parental responsibility must be made in writing to the setting leader or manager.</w:t>
      </w:r>
    </w:p>
    <w:p w14:paraId="1A90C780" w14:textId="77777777" w:rsidR="00A72C6B" w:rsidRDefault="00CA3B48">
      <w:pPr>
        <w:numPr>
          <w:ilvl w:val="0"/>
          <w:numId w:val="1"/>
        </w:numPr>
        <w:spacing w:line="240" w:lineRule="auto"/>
        <w:ind w:left="0" w:hanging="2"/>
        <w:rPr>
          <w:sz w:val="20"/>
          <w:szCs w:val="20"/>
        </w:rPr>
      </w:pPr>
      <w:r>
        <w:rPr>
          <w:sz w:val="20"/>
          <w:szCs w:val="20"/>
        </w:rPr>
        <w:t>The setting leader informs the management team and sends a written acknowledgement.</w:t>
      </w:r>
    </w:p>
    <w:p w14:paraId="1A90C781" w14:textId="77777777" w:rsidR="00A72C6B" w:rsidRDefault="00CA3B48">
      <w:pPr>
        <w:numPr>
          <w:ilvl w:val="0"/>
          <w:numId w:val="1"/>
        </w:numPr>
        <w:spacing w:line="240" w:lineRule="auto"/>
        <w:ind w:left="0" w:hanging="2"/>
        <w:rPr>
          <w:sz w:val="20"/>
          <w:szCs w:val="20"/>
        </w:rPr>
      </w:pPr>
      <w:r>
        <w:rPr>
          <w:sz w:val="20"/>
          <w:szCs w:val="20"/>
        </w:rPr>
        <w:t>The setting commits to providing access within 14 days, although this may be extended.</w:t>
      </w:r>
    </w:p>
    <w:p w14:paraId="1A90C782" w14:textId="77777777" w:rsidR="00A72C6B" w:rsidRDefault="00CA3B48">
      <w:pPr>
        <w:numPr>
          <w:ilvl w:val="0"/>
          <w:numId w:val="1"/>
        </w:numPr>
        <w:spacing w:line="240" w:lineRule="auto"/>
        <w:ind w:left="0" w:hanging="2"/>
        <w:rPr>
          <w:sz w:val="20"/>
          <w:szCs w:val="20"/>
        </w:rPr>
      </w:pPr>
      <w:r>
        <w:rPr>
          <w:sz w:val="20"/>
          <w:szCs w:val="20"/>
        </w:rPr>
        <w:t>The setting’s leader and chair prepare the file for viewing.</w:t>
      </w:r>
    </w:p>
    <w:p w14:paraId="1A90C783" w14:textId="77777777" w:rsidR="00A72C6B" w:rsidRDefault="00CA3B48">
      <w:pPr>
        <w:numPr>
          <w:ilvl w:val="0"/>
          <w:numId w:val="1"/>
        </w:numPr>
        <w:spacing w:line="240" w:lineRule="auto"/>
        <w:ind w:left="0" w:hanging="2"/>
        <w:rPr>
          <w:sz w:val="20"/>
          <w:szCs w:val="20"/>
        </w:rPr>
      </w:pPr>
      <w:r>
        <w:rPr>
          <w:sz w:val="20"/>
          <w:szCs w:val="20"/>
        </w:rPr>
        <w:t>All third parties are written to, stating that a request for disclosure has been received and asking for their permission to disclose to the person requesting it. Copies of these letters are retained on file.</w:t>
      </w:r>
    </w:p>
    <w:p w14:paraId="1A90C784" w14:textId="77777777" w:rsidR="00A72C6B" w:rsidRDefault="00CA3B48">
      <w:pPr>
        <w:numPr>
          <w:ilvl w:val="0"/>
          <w:numId w:val="1"/>
        </w:numPr>
        <w:spacing w:line="240" w:lineRule="auto"/>
        <w:ind w:left="0" w:hanging="2"/>
        <w:rPr>
          <w:sz w:val="20"/>
          <w:szCs w:val="20"/>
        </w:rPr>
      </w:pPr>
      <w:r>
        <w:rPr>
          <w:sz w:val="20"/>
          <w:szCs w:val="20"/>
        </w:rPr>
        <w:t>‘Third parties’ include all family members who may be referred to in the records.</w:t>
      </w:r>
    </w:p>
    <w:p w14:paraId="1A90C785" w14:textId="77777777" w:rsidR="00A72C6B" w:rsidRDefault="00CA3B48">
      <w:pPr>
        <w:numPr>
          <w:ilvl w:val="0"/>
          <w:numId w:val="1"/>
        </w:numPr>
        <w:spacing w:line="240" w:lineRule="auto"/>
        <w:ind w:left="0" w:hanging="2"/>
        <w:rPr>
          <w:sz w:val="20"/>
          <w:szCs w:val="20"/>
        </w:rPr>
      </w:pPr>
      <w:r>
        <w:rPr>
          <w:sz w:val="20"/>
          <w:szCs w:val="20"/>
        </w:rPr>
        <w:t>It also includes workers from any other agency, including children's social care, the health authority, etc. It is usual for agencies to refuse consent to disclose, preferring the individual to go directly to them.</w:t>
      </w:r>
    </w:p>
    <w:p w14:paraId="1A90C786" w14:textId="77777777" w:rsidR="00A72C6B" w:rsidRDefault="00CA3B48">
      <w:pPr>
        <w:numPr>
          <w:ilvl w:val="0"/>
          <w:numId w:val="1"/>
        </w:numPr>
        <w:spacing w:line="240" w:lineRule="auto"/>
        <w:ind w:left="0" w:hanging="2"/>
        <w:rPr>
          <w:sz w:val="20"/>
          <w:szCs w:val="20"/>
        </w:rPr>
      </w:pPr>
      <w:r>
        <w:rPr>
          <w:sz w:val="20"/>
          <w:szCs w:val="20"/>
        </w:rPr>
        <w:t>When all the consents/refusals to disclose have been received, these are attached to the copy of the request letter.</w:t>
      </w:r>
    </w:p>
    <w:p w14:paraId="1A90C787" w14:textId="77777777" w:rsidR="00A72C6B" w:rsidRDefault="00CA3B48">
      <w:pPr>
        <w:numPr>
          <w:ilvl w:val="0"/>
          <w:numId w:val="1"/>
        </w:numPr>
        <w:spacing w:line="240" w:lineRule="auto"/>
        <w:ind w:left="0" w:hanging="2"/>
        <w:rPr>
          <w:sz w:val="20"/>
          <w:szCs w:val="20"/>
        </w:rPr>
      </w:pPr>
      <w:r>
        <w:rPr>
          <w:sz w:val="20"/>
          <w:szCs w:val="20"/>
        </w:rPr>
        <w:t>A photocopy of the complete file is taken.</w:t>
      </w:r>
    </w:p>
    <w:p w14:paraId="1A90C788" w14:textId="77777777" w:rsidR="00A72C6B" w:rsidRDefault="00CA3B48">
      <w:pPr>
        <w:numPr>
          <w:ilvl w:val="0"/>
          <w:numId w:val="1"/>
        </w:numPr>
        <w:spacing w:line="240" w:lineRule="auto"/>
        <w:ind w:left="0" w:hanging="2"/>
        <w:rPr>
          <w:sz w:val="20"/>
          <w:szCs w:val="20"/>
        </w:rPr>
      </w:pPr>
      <w:r>
        <w:rPr>
          <w:sz w:val="20"/>
          <w:szCs w:val="20"/>
        </w:rPr>
        <w:t xml:space="preserve">The setting leader and chair, director or owner go through the file and remove any information which a third party has refused consent to disclose. A thick black marker is </w:t>
      </w:r>
      <w:r>
        <w:rPr>
          <w:sz w:val="20"/>
          <w:szCs w:val="20"/>
        </w:rPr>
        <w:t>used to</w:t>
      </w:r>
      <w:r>
        <w:rPr>
          <w:sz w:val="20"/>
          <w:szCs w:val="20"/>
        </w:rPr>
        <w:t xml:space="preserve"> </w:t>
      </w:r>
      <w:r>
        <w:rPr>
          <w:sz w:val="20"/>
          <w:szCs w:val="20"/>
        </w:rPr>
        <w:t>mark each</w:t>
      </w:r>
      <w:r>
        <w:rPr>
          <w:sz w:val="20"/>
          <w:szCs w:val="20"/>
        </w:rPr>
        <w:t xml:space="preserve"> reference to the third party and information they have added to the file.</w:t>
      </w:r>
    </w:p>
    <w:p w14:paraId="1A90C789" w14:textId="77777777" w:rsidR="00A72C6B" w:rsidRDefault="00CA3B48">
      <w:pPr>
        <w:numPr>
          <w:ilvl w:val="0"/>
          <w:numId w:val="1"/>
        </w:numPr>
        <w:spacing w:line="240" w:lineRule="auto"/>
        <w:ind w:left="0" w:hanging="2"/>
        <w:rPr>
          <w:sz w:val="20"/>
          <w:szCs w:val="20"/>
        </w:rPr>
      </w:pPr>
      <w:r>
        <w:rPr>
          <w:sz w:val="20"/>
          <w:szCs w:val="20"/>
        </w:rPr>
        <w:lastRenderedPageBreak/>
        <w:t>What remains is the information recorded by the setting, detailing the work initiated and followed by them in relation to confidential matters. This is called the ‘clean copy’.</w:t>
      </w:r>
    </w:p>
    <w:p w14:paraId="1A90C78A" w14:textId="77777777" w:rsidR="00A72C6B" w:rsidRDefault="00CA3B48">
      <w:pPr>
        <w:numPr>
          <w:ilvl w:val="0"/>
          <w:numId w:val="1"/>
        </w:numPr>
        <w:spacing w:line="240" w:lineRule="auto"/>
        <w:ind w:left="0" w:hanging="2"/>
        <w:rPr>
          <w:sz w:val="20"/>
          <w:szCs w:val="20"/>
        </w:rPr>
      </w:pPr>
      <w:r>
        <w:rPr>
          <w:sz w:val="20"/>
          <w:szCs w:val="20"/>
        </w:rPr>
        <w:t>The ‘clean copy’ is photocopied for the parents, who are then invited in to discuss the contents. The file should never be given straight over, but should be gone through by the setting leader, so that it can be explained.</w:t>
      </w:r>
    </w:p>
    <w:p w14:paraId="1A90C78B" w14:textId="77777777" w:rsidR="00A72C6B" w:rsidRDefault="00CA3B48">
      <w:pPr>
        <w:numPr>
          <w:ilvl w:val="0"/>
          <w:numId w:val="1"/>
        </w:numPr>
        <w:spacing w:line="240" w:lineRule="auto"/>
        <w:ind w:left="0" w:hanging="2"/>
        <w:rPr>
          <w:sz w:val="20"/>
          <w:szCs w:val="20"/>
        </w:rPr>
      </w:pPr>
      <w:r>
        <w:rPr>
          <w:sz w:val="20"/>
          <w:szCs w:val="20"/>
        </w:rPr>
        <w:t>Legal advice may be sought before sharing a file, especially where the parent has possible grounds for litigation against the setting or another (third party) agency.</w:t>
      </w:r>
    </w:p>
    <w:p w14:paraId="1A90C78C" w14:textId="77777777" w:rsidR="00A72C6B" w:rsidRDefault="00A72C6B">
      <w:pPr>
        <w:spacing w:line="240" w:lineRule="auto"/>
        <w:ind w:left="0" w:hanging="2"/>
        <w:rPr>
          <w:sz w:val="20"/>
          <w:szCs w:val="20"/>
        </w:rPr>
      </w:pPr>
    </w:p>
    <w:p w14:paraId="1A90C78D" w14:textId="77777777" w:rsidR="00A72C6B" w:rsidRDefault="00CA3B48">
      <w:pPr>
        <w:spacing w:line="240" w:lineRule="auto"/>
        <w:ind w:left="0" w:hanging="2"/>
        <w:rPr>
          <w:sz w:val="20"/>
          <w:szCs w:val="20"/>
        </w:rPr>
      </w:pPr>
      <w:r>
        <w:rPr>
          <w:sz w:val="20"/>
          <w:szCs w:val="20"/>
        </w:rPr>
        <w:t>All the undertakings above are subject to the paramount commitment of the setting, which is to the safety and well-being of the child. Please see also our policy on Safeguarding Children and Child Protection</w:t>
      </w:r>
    </w:p>
    <w:p w14:paraId="1A90C78E" w14:textId="77777777" w:rsidR="00A72C6B" w:rsidRDefault="00A72C6B">
      <w:pPr>
        <w:spacing w:line="240" w:lineRule="auto"/>
        <w:ind w:left="0" w:hanging="2"/>
        <w:rPr>
          <w:sz w:val="20"/>
          <w:szCs w:val="20"/>
        </w:rPr>
      </w:pPr>
    </w:p>
    <w:p w14:paraId="1A90C78F" w14:textId="77777777" w:rsidR="00A72C6B" w:rsidRDefault="00CA3B48">
      <w:pPr>
        <w:spacing w:line="240" w:lineRule="auto"/>
        <w:ind w:left="0" w:hanging="2"/>
        <w:rPr>
          <w:sz w:val="20"/>
          <w:szCs w:val="20"/>
        </w:rPr>
      </w:pPr>
      <w:r>
        <w:rPr>
          <w:b/>
          <w:sz w:val="20"/>
          <w:szCs w:val="20"/>
        </w:rPr>
        <w:t>Legal framework</w:t>
      </w:r>
    </w:p>
    <w:p w14:paraId="1A90C790" w14:textId="77777777" w:rsidR="00A72C6B" w:rsidRDefault="00A72C6B">
      <w:pPr>
        <w:spacing w:line="240" w:lineRule="auto"/>
        <w:ind w:left="0" w:hanging="2"/>
        <w:rPr>
          <w:sz w:val="20"/>
          <w:szCs w:val="20"/>
        </w:rPr>
      </w:pPr>
    </w:p>
    <w:p w14:paraId="1A90C791" w14:textId="77777777" w:rsidR="00A72C6B" w:rsidRDefault="00CA3B48">
      <w:pPr>
        <w:numPr>
          <w:ilvl w:val="0"/>
          <w:numId w:val="3"/>
        </w:numPr>
        <w:pBdr>
          <w:top w:val="nil"/>
          <w:left w:val="nil"/>
          <w:bottom w:val="nil"/>
          <w:right w:val="nil"/>
          <w:between w:val="nil"/>
        </w:pBdr>
        <w:spacing w:line="240" w:lineRule="auto"/>
        <w:ind w:left="0" w:hanging="2"/>
        <w:rPr>
          <w:color w:val="000000"/>
          <w:sz w:val="20"/>
          <w:szCs w:val="20"/>
        </w:rPr>
      </w:pPr>
      <w:r>
        <w:rPr>
          <w:color w:val="000000"/>
          <w:sz w:val="20"/>
          <w:szCs w:val="20"/>
        </w:rPr>
        <w:t>GDPR (2018)</w:t>
      </w:r>
    </w:p>
    <w:p w14:paraId="1A90C792" w14:textId="77777777" w:rsidR="00A72C6B" w:rsidRDefault="00CA3B48">
      <w:pPr>
        <w:numPr>
          <w:ilvl w:val="0"/>
          <w:numId w:val="3"/>
        </w:numPr>
        <w:pBdr>
          <w:top w:val="nil"/>
          <w:left w:val="nil"/>
          <w:bottom w:val="nil"/>
          <w:right w:val="nil"/>
          <w:between w:val="nil"/>
        </w:pBdr>
        <w:spacing w:line="240" w:lineRule="auto"/>
        <w:ind w:left="0" w:hanging="2"/>
        <w:rPr>
          <w:color w:val="000000"/>
          <w:sz w:val="20"/>
          <w:szCs w:val="20"/>
        </w:rPr>
      </w:pPr>
      <w:r>
        <w:rPr>
          <w:color w:val="000000"/>
          <w:sz w:val="20"/>
          <w:szCs w:val="20"/>
        </w:rPr>
        <w:t>Human Rights Act (1998)</w:t>
      </w:r>
    </w:p>
    <w:p w14:paraId="1A90C793" w14:textId="77777777" w:rsidR="00A72C6B" w:rsidRDefault="00A72C6B">
      <w:pPr>
        <w:spacing w:line="240" w:lineRule="auto"/>
        <w:ind w:left="0" w:hanging="2"/>
        <w:rPr>
          <w:sz w:val="20"/>
          <w:szCs w:val="20"/>
        </w:rPr>
      </w:pP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5243"/>
      </w:tblGrid>
      <w:tr w:rsidR="00A72C6B" w14:paraId="1A90C796" w14:textId="77777777">
        <w:tc>
          <w:tcPr>
            <w:tcW w:w="4503" w:type="dxa"/>
            <w:tcBorders>
              <w:top w:val="single" w:sz="4" w:space="0" w:color="000000"/>
              <w:left w:val="single" w:sz="4" w:space="0" w:color="000000"/>
              <w:bottom w:val="single" w:sz="4" w:space="0" w:color="000000"/>
              <w:right w:val="single" w:sz="4" w:space="0" w:color="000000"/>
            </w:tcBorders>
          </w:tcPr>
          <w:p w14:paraId="1A90C794" w14:textId="77777777" w:rsidR="00A72C6B" w:rsidRDefault="00CA3B48">
            <w:pPr>
              <w:spacing w:line="240" w:lineRule="auto"/>
              <w:ind w:left="0" w:hanging="2"/>
              <w:jc w:val="center"/>
              <w:rPr>
                <w:sz w:val="20"/>
                <w:szCs w:val="20"/>
              </w:rPr>
            </w:pPr>
            <w:r>
              <w:rPr>
                <w:sz w:val="20"/>
                <w:szCs w:val="20"/>
              </w:rPr>
              <w:t>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1A90C795" w14:textId="77777777" w:rsidR="00A72C6B" w:rsidRDefault="00CA3B48">
            <w:pPr>
              <w:spacing w:line="240" w:lineRule="auto"/>
              <w:ind w:left="0" w:hanging="2"/>
              <w:jc w:val="center"/>
              <w:rPr>
                <w:sz w:val="20"/>
                <w:szCs w:val="20"/>
              </w:rPr>
            </w:pPr>
            <w:r>
              <w:rPr>
                <w:sz w:val="20"/>
                <w:szCs w:val="20"/>
              </w:rPr>
              <w:t>Rebecca Mason</w:t>
            </w:r>
          </w:p>
        </w:tc>
      </w:tr>
      <w:tr w:rsidR="00A72C6B" w14:paraId="1A90C79A" w14:textId="77777777">
        <w:tc>
          <w:tcPr>
            <w:tcW w:w="4503" w:type="dxa"/>
            <w:tcBorders>
              <w:top w:val="single" w:sz="4" w:space="0" w:color="000000"/>
              <w:left w:val="single" w:sz="4" w:space="0" w:color="000000"/>
              <w:bottom w:val="single" w:sz="4" w:space="0" w:color="000000"/>
              <w:right w:val="single" w:sz="4" w:space="0" w:color="000000"/>
            </w:tcBorders>
          </w:tcPr>
          <w:p w14:paraId="1A90C797" w14:textId="77777777" w:rsidR="00A72C6B" w:rsidRDefault="00CA3B48">
            <w:pPr>
              <w:spacing w:line="240" w:lineRule="auto"/>
              <w:ind w:left="0" w:hanging="2"/>
              <w:jc w:val="center"/>
              <w:rPr>
                <w:sz w:val="20"/>
                <w:szCs w:val="20"/>
              </w:rPr>
            </w:pPr>
            <w:r>
              <w:rPr>
                <w:sz w:val="20"/>
                <w:szCs w:val="20"/>
              </w:rPr>
              <w:t>Signed &amp; Dated by 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1A90C798" w14:textId="77777777" w:rsidR="00A72C6B" w:rsidRDefault="00A72C6B">
            <w:pPr>
              <w:spacing w:line="240" w:lineRule="auto"/>
              <w:ind w:left="0" w:hanging="2"/>
              <w:jc w:val="center"/>
              <w:rPr>
                <w:sz w:val="20"/>
                <w:szCs w:val="20"/>
              </w:rPr>
            </w:pPr>
          </w:p>
          <w:p w14:paraId="1A90C799" w14:textId="77777777" w:rsidR="00A72C6B" w:rsidRDefault="00A72C6B">
            <w:pPr>
              <w:spacing w:line="240" w:lineRule="auto"/>
              <w:ind w:left="0" w:hanging="2"/>
              <w:jc w:val="center"/>
              <w:rPr>
                <w:sz w:val="20"/>
                <w:szCs w:val="20"/>
              </w:rPr>
            </w:pPr>
          </w:p>
        </w:tc>
      </w:tr>
      <w:tr w:rsidR="00A72C6B" w14:paraId="1A90C79D" w14:textId="77777777">
        <w:tc>
          <w:tcPr>
            <w:tcW w:w="4503" w:type="dxa"/>
            <w:tcBorders>
              <w:top w:val="single" w:sz="4" w:space="0" w:color="000000"/>
              <w:left w:val="single" w:sz="4" w:space="0" w:color="000000"/>
              <w:bottom w:val="single" w:sz="4" w:space="0" w:color="000000"/>
              <w:right w:val="single" w:sz="4" w:space="0" w:color="000000"/>
            </w:tcBorders>
          </w:tcPr>
          <w:p w14:paraId="1A90C79B" w14:textId="77777777" w:rsidR="00A72C6B" w:rsidRDefault="00CA3B48">
            <w:pPr>
              <w:spacing w:line="240" w:lineRule="auto"/>
              <w:ind w:left="0" w:hanging="2"/>
              <w:jc w:val="center"/>
              <w:rPr>
                <w:sz w:val="20"/>
                <w:szCs w:val="20"/>
              </w:rPr>
            </w:pPr>
            <w:r>
              <w:rPr>
                <w:sz w:val="20"/>
                <w:szCs w:val="20"/>
              </w:rPr>
              <w:t>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1A90C79C" w14:textId="77777777" w:rsidR="00A72C6B" w:rsidRDefault="00CA3B48">
            <w:pPr>
              <w:spacing w:line="240" w:lineRule="auto"/>
              <w:ind w:left="0" w:hanging="2"/>
              <w:jc w:val="center"/>
              <w:rPr>
                <w:sz w:val="20"/>
                <w:szCs w:val="20"/>
              </w:rPr>
            </w:pPr>
            <w:r>
              <w:rPr>
                <w:sz w:val="20"/>
                <w:szCs w:val="20"/>
              </w:rPr>
              <w:t>Danni Forzoni</w:t>
            </w:r>
          </w:p>
        </w:tc>
      </w:tr>
      <w:tr w:rsidR="00A72C6B" w14:paraId="1A90C7A0" w14:textId="77777777">
        <w:tc>
          <w:tcPr>
            <w:tcW w:w="4503" w:type="dxa"/>
            <w:tcBorders>
              <w:top w:val="single" w:sz="4" w:space="0" w:color="000000"/>
              <w:left w:val="single" w:sz="4" w:space="0" w:color="000000"/>
              <w:bottom w:val="single" w:sz="4" w:space="0" w:color="000000"/>
              <w:right w:val="single" w:sz="4" w:space="0" w:color="000000"/>
            </w:tcBorders>
          </w:tcPr>
          <w:p w14:paraId="1A90C79E" w14:textId="77777777" w:rsidR="00A72C6B" w:rsidRDefault="00CA3B48">
            <w:pPr>
              <w:spacing w:line="240" w:lineRule="auto"/>
              <w:ind w:left="0" w:hanging="2"/>
              <w:jc w:val="center"/>
              <w:rPr>
                <w:sz w:val="20"/>
                <w:szCs w:val="20"/>
              </w:rPr>
            </w:pPr>
            <w:r>
              <w:rPr>
                <w:sz w:val="20"/>
                <w:szCs w:val="20"/>
              </w:rPr>
              <w:t>Signed &amp; Dated by the 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1A90C79F" w14:textId="77777777" w:rsidR="00A72C6B" w:rsidRDefault="00A72C6B">
            <w:pPr>
              <w:spacing w:line="240" w:lineRule="auto"/>
              <w:ind w:left="0" w:hanging="2"/>
              <w:jc w:val="center"/>
              <w:rPr>
                <w:sz w:val="20"/>
                <w:szCs w:val="20"/>
              </w:rPr>
            </w:pPr>
          </w:p>
        </w:tc>
      </w:tr>
      <w:tr w:rsidR="00A72C6B" w14:paraId="1A90C7A2" w14:textId="77777777">
        <w:trPr>
          <w:trHeight w:val="141"/>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6A6A6"/>
          </w:tcPr>
          <w:p w14:paraId="1A90C7A1" w14:textId="77777777" w:rsidR="00A72C6B" w:rsidRDefault="00A72C6B">
            <w:pPr>
              <w:spacing w:line="240" w:lineRule="auto"/>
              <w:ind w:left="0" w:hanging="2"/>
              <w:jc w:val="center"/>
              <w:rPr>
                <w:sz w:val="20"/>
                <w:szCs w:val="20"/>
              </w:rPr>
            </w:pPr>
          </w:p>
        </w:tc>
      </w:tr>
      <w:tr w:rsidR="00A72C6B" w14:paraId="1A90C7A5" w14:textId="77777777">
        <w:tc>
          <w:tcPr>
            <w:tcW w:w="4503" w:type="dxa"/>
            <w:tcBorders>
              <w:top w:val="single" w:sz="4" w:space="0" w:color="000000"/>
              <w:left w:val="single" w:sz="4" w:space="0" w:color="000000"/>
              <w:bottom w:val="single" w:sz="4" w:space="0" w:color="000000"/>
              <w:right w:val="single" w:sz="4" w:space="0" w:color="000000"/>
            </w:tcBorders>
          </w:tcPr>
          <w:p w14:paraId="1A90C7A3" w14:textId="77777777" w:rsidR="00A72C6B" w:rsidRDefault="00CA3B48">
            <w:pPr>
              <w:spacing w:line="240" w:lineRule="auto"/>
              <w:ind w:left="0" w:hanging="2"/>
              <w:jc w:val="center"/>
              <w:rPr>
                <w:sz w:val="20"/>
                <w:szCs w:val="20"/>
              </w:rPr>
            </w:pPr>
            <w:r>
              <w:rPr>
                <w:sz w:val="20"/>
                <w:szCs w:val="20"/>
              </w:rPr>
              <w:t>Frequency of policy review</w:t>
            </w:r>
          </w:p>
        </w:tc>
        <w:tc>
          <w:tcPr>
            <w:tcW w:w="5243" w:type="dxa"/>
            <w:tcBorders>
              <w:top w:val="single" w:sz="4" w:space="0" w:color="000000"/>
              <w:left w:val="single" w:sz="4" w:space="0" w:color="000000"/>
              <w:bottom w:val="single" w:sz="4" w:space="0" w:color="000000"/>
              <w:right w:val="single" w:sz="4" w:space="0" w:color="000000"/>
            </w:tcBorders>
          </w:tcPr>
          <w:p w14:paraId="1A90C7A4" w14:textId="77777777" w:rsidR="00A72C6B" w:rsidRDefault="00CA3B48">
            <w:pPr>
              <w:spacing w:line="240" w:lineRule="auto"/>
              <w:ind w:left="0" w:hanging="2"/>
              <w:jc w:val="center"/>
              <w:rPr>
                <w:sz w:val="20"/>
                <w:szCs w:val="20"/>
              </w:rPr>
            </w:pPr>
            <w:r>
              <w:rPr>
                <w:sz w:val="20"/>
                <w:szCs w:val="20"/>
              </w:rPr>
              <w:t>Annual</w:t>
            </w:r>
          </w:p>
        </w:tc>
      </w:tr>
      <w:tr w:rsidR="00A72C6B" w14:paraId="1A90C7A8" w14:textId="77777777">
        <w:tc>
          <w:tcPr>
            <w:tcW w:w="4503" w:type="dxa"/>
            <w:tcBorders>
              <w:top w:val="single" w:sz="4" w:space="0" w:color="000000"/>
              <w:left w:val="single" w:sz="4" w:space="0" w:color="000000"/>
              <w:bottom w:val="single" w:sz="4" w:space="0" w:color="000000"/>
              <w:right w:val="single" w:sz="4" w:space="0" w:color="000000"/>
            </w:tcBorders>
          </w:tcPr>
          <w:p w14:paraId="1A90C7A6" w14:textId="77777777" w:rsidR="00A72C6B" w:rsidRDefault="00CA3B48">
            <w:pPr>
              <w:spacing w:line="240" w:lineRule="auto"/>
              <w:ind w:left="0" w:hanging="2"/>
              <w:jc w:val="center"/>
              <w:rPr>
                <w:sz w:val="20"/>
                <w:szCs w:val="20"/>
              </w:rPr>
            </w:pPr>
            <w:r>
              <w:rPr>
                <w:sz w:val="20"/>
                <w:szCs w:val="20"/>
              </w:rPr>
              <w:t>Date next review due</w:t>
            </w:r>
          </w:p>
        </w:tc>
        <w:tc>
          <w:tcPr>
            <w:tcW w:w="5243" w:type="dxa"/>
            <w:tcBorders>
              <w:top w:val="single" w:sz="4" w:space="0" w:color="000000"/>
              <w:left w:val="single" w:sz="4" w:space="0" w:color="000000"/>
              <w:bottom w:val="single" w:sz="4" w:space="0" w:color="000000"/>
              <w:right w:val="single" w:sz="4" w:space="0" w:color="000000"/>
            </w:tcBorders>
          </w:tcPr>
          <w:p w14:paraId="1A90C7A7" w14:textId="235C987B" w:rsidR="00A72C6B" w:rsidRDefault="00CA3B48">
            <w:pPr>
              <w:spacing w:line="240" w:lineRule="auto"/>
              <w:ind w:left="0" w:hanging="2"/>
              <w:jc w:val="center"/>
              <w:rPr>
                <w:sz w:val="20"/>
                <w:szCs w:val="20"/>
              </w:rPr>
            </w:pPr>
            <w:r>
              <w:rPr>
                <w:sz w:val="20"/>
                <w:szCs w:val="20"/>
              </w:rPr>
              <w:t>1st January 2027</w:t>
            </w:r>
          </w:p>
        </w:tc>
      </w:tr>
    </w:tbl>
    <w:p w14:paraId="1A90C7A9" w14:textId="77777777" w:rsidR="00A72C6B" w:rsidRDefault="00A72C6B">
      <w:pPr>
        <w:spacing w:line="240" w:lineRule="auto"/>
        <w:ind w:left="0" w:hanging="2"/>
        <w:rPr>
          <w:sz w:val="20"/>
          <w:szCs w:val="20"/>
        </w:rPr>
      </w:pPr>
    </w:p>
    <w:p w14:paraId="1A90C7AA" w14:textId="77777777" w:rsidR="00A72C6B" w:rsidRDefault="00A72C6B">
      <w:pPr>
        <w:spacing w:line="240" w:lineRule="auto"/>
        <w:ind w:left="0" w:hanging="2"/>
        <w:rPr>
          <w:sz w:val="20"/>
          <w:szCs w:val="20"/>
        </w:rPr>
      </w:pPr>
    </w:p>
    <w:p w14:paraId="1A90C7AB" w14:textId="77777777" w:rsidR="00A72C6B" w:rsidRDefault="00A72C6B">
      <w:pPr>
        <w:spacing w:line="240" w:lineRule="auto"/>
        <w:ind w:left="0" w:hanging="2"/>
        <w:rPr>
          <w:sz w:val="20"/>
          <w:szCs w:val="20"/>
        </w:rPr>
      </w:pPr>
    </w:p>
    <w:sectPr w:rsidR="00A72C6B">
      <w:footerReference w:type="default" r:id="rId8"/>
      <w:headerReference w:type="first" r:id="rId9"/>
      <w:footerReference w:type="first" r:id="rId10"/>
      <w:pgSz w:w="12240" w:h="15840"/>
      <w:pgMar w:top="1440" w:right="1440" w:bottom="1440" w:left="144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0C7B3" w14:textId="77777777" w:rsidR="00CA3B48" w:rsidRDefault="00CA3B48">
      <w:pPr>
        <w:spacing w:line="240" w:lineRule="auto"/>
        <w:ind w:left="0" w:hanging="2"/>
      </w:pPr>
      <w:r>
        <w:separator/>
      </w:r>
    </w:p>
  </w:endnote>
  <w:endnote w:type="continuationSeparator" w:id="0">
    <w:p w14:paraId="1A90C7B5" w14:textId="77777777" w:rsidR="00CA3B48" w:rsidRDefault="00CA3B4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C7AC" w14:textId="558FA696" w:rsidR="00A72C6B" w:rsidRDefault="00CA3B48">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C7AE" w14:textId="0A14A877" w:rsidR="00A72C6B" w:rsidRDefault="00CA3B48">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C7AF" w14:textId="77777777" w:rsidR="00CA3B48" w:rsidRDefault="00CA3B48">
      <w:pPr>
        <w:spacing w:line="240" w:lineRule="auto"/>
        <w:ind w:left="0" w:hanging="2"/>
      </w:pPr>
      <w:r>
        <w:separator/>
      </w:r>
    </w:p>
  </w:footnote>
  <w:footnote w:type="continuationSeparator" w:id="0">
    <w:p w14:paraId="1A90C7B1" w14:textId="77777777" w:rsidR="00CA3B48" w:rsidRDefault="00CA3B4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C7AD" w14:textId="77777777" w:rsidR="00A72C6B" w:rsidRDefault="00CA3B48">
    <w:pPr>
      <w:ind w:left="0" w:hanging="2"/>
      <w:jc w:val="center"/>
      <w:rPr>
        <w:rFonts w:ascii="Arial" w:eastAsia="Arial" w:hAnsi="Arial" w:cs="Arial"/>
        <w:b/>
        <w:sz w:val="22"/>
        <w:szCs w:val="22"/>
      </w:rPr>
    </w:pPr>
    <w:r>
      <w:rPr>
        <w:b/>
        <w:noProof/>
        <w:sz w:val="20"/>
        <w:szCs w:val="20"/>
      </w:rPr>
      <w:drawing>
        <wp:inline distT="114300" distB="114300" distL="114300" distR="114300" wp14:anchorId="1A90C7AF" wp14:editId="1A90C7B0">
          <wp:extent cx="102870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b/>
        <w:color w:val="FF0000"/>
        <w:sz w:val="40"/>
        <w:szCs w:val="40"/>
      </w:rPr>
      <w:t>St James’ Preschool (Petts 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960"/>
    <w:multiLevelType w:val="multilevel"/>
    <w:tmpl w:val="4DE81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3E66F0"/>
    <w:multiLevelType w:val="multilevel"/>
    <w:tmpl w:val="A8B23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876B46"/>
    <w:multiLevelType w:val="multilevel"/>
    <w:tmpl w:val="43C65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73636">
    <w:abstractNumId w:val="1"/>
  </w:num>
  <w:num w:numId="2" w16cid:durableId="1043289193">
    <w:abstractNumId w:val="2"/>
  </w:num>
  <w:num w:numId="3" w16cid:durableId="1714693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C6B"/>
    <w:rsid w:val="00A72C6B"/>
    <w:rsid w:val="00CA3B48"/>
    <w:rsid w:val="00E6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C769"/>
  <w15:docId w15:val="{EDD73519-7E0E-4D20-828B-791EF423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pPr>
    <w:rPr>
      <w:rFonts w:ascii="Arial" w:hAnsi="Arial"/>
      <w:b/>
      <w:bCs/>
      <w:sz w:val="28"/>
      <w:lang/>
    </w:rPr>
  </w:style>
  <w:style w:type="paragraph" w:styleId="Heading2">
    <w:name w:val="heading 2"/>
    <w:basedOn w:val="Normal"/>
    <w:next w:val="Normal"/>
    <w:uiPriority w:val="9"/>
    <w:unhideWhenUsed/>
    <w:qFormat/>
    <w:pPr>
      <w:keepNext/>
      <w:outlineLvl w:val="1"/>
    </w:pPr>
    <w:rPr>
      <w:rFonts w:ascii="Arial" w:hAnsi="Arial"/>
      <w:b/>
      <w:bCs/>
      <w:sz w:val="20"/>
      <w:lang/>
    </w:rPr>
  </w:style>
  <w:style w:type="paragraph" w:styleId="Heading3">
    <w:name w:val="heading 3"/>
    <w:basedOn w:val="Normal"/>
    <w:next w:val="Normal"/>
    <w:uiPriority w:val="9"/>
    <w:semiHidden/>
    <w:unhideWhenUsed/>
    <w:qFormat/>
    <w:pPr>
      <w:keepNext/>
      <w:keepLines/>
      <w:spacing w:before="200"/>
      <w:outlineLvl w:val="2"/>
    </w:pPr>
    <w:rPr>
      <w:rFonts w:ascii="Cambria" w:hAnsi="Cambria"/>
      <w:b/>
      <w:bCs/>
      <w:color w:val="4F81BD"/>
      <w:lang/>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Arial" w:eastAsia="Times New Roman" w:hAnsi="Arial" w:cs="Arial"/>
      <w:b/>
      <w:bCs/>
      <w:w w:val="100"/>
      <w:position w:val="-1"/>
      <w:sz w:val="28"/>
      <w:szCs w:val="24"/>
      <w:effect w:val="none"/>
      <w:vertAlign w:val="baseline"/>
      <w:cs w:val="0"/>
      <w:em w:val="none"/>
      <w:lang w:val="en-GB"/>
    </w:rPr>
  </w:style>
  <w:style w:type="character" w:customStyle="1" w:styleId="Heading2Char">
    <w:name w:val="Heading 2 Char"/>
    <w:rPr>
      <w:rFonts w:ascii="Arial" w:eastAsia="Times New Roman" w:hAnsi="Arial" w:cs="Arial"/>
      <w:b/>
      <w:bCs/>
      <w:w w:val="100"/>
      <w:position w:val="-1"/>
      <w:szCs w:val="24"/>
      <w:effect w:val="none"/>
      <w:vertAlign w:val="baseline"/>
      <w:cs w:val="0"/>
      <w:em w:val="none"/>
      <w:lang w:val="en-GB"/>
    </w:rPr>
  </w:style>
  <w:style w:type="paragraph" w:styleId="BodyText">
    <w:name w:val="Body Text"/>
    <w:basedOn w:val="Normal"/>
    <w:rPr>
      <w:rFonts w:ascii="Arial" w:hAnsi="Arial"/>
      <w:sz w:val="20"/>
      <w:lang/>
    </w:rPr>
  </w:style>
  <w:style w:type="character" w:customStyle="1" w:styleId="BodyTextChar">
    <w:name w:val="Body Text Char"/>
    <w:rPr>
      <w:rFonts w:ascii="Arial" w:eastAsia="Times New Roman" w:hAnsi="Arial" w:cs="Times New Roman"/>
      <w:w w:val="100"/>
      <w:position w:val="-1"/>
      <w:szCs w:val="24"/>
      <w:effect w:val="none"/>
      <w:vertAlign w:val="baseline"/>
      <w:cs w:val="0"/>
      <w:em w:val="none"/>
      <w:lang w:val="en-GB"/>
    </w:rPr>
  </w:style>
  <w:style w:type="character" w:customStyle="1" w:styleId="Heading3Char">
    <w:name w:val="Heading 3 Char"/>
    <w:rPr>
      <w:rFonts w:ascii="Cambria" w:eastAsia="Times New Roman" w:hAnsi="Cambria" w:cs="Times New Roman"/>
      <w:b/>
      <w:bCs/>
      <w:color w:val="4F81BD"/>
      <w:w w:val="100"/>
      <w:position w:val="-1"/>
      <w:sz w:val="24"/>
      <w:szCs w:val="24"/>
      <w:effect w:val="none"/>
      <w:vertAlign w:val="baseline"/>
      <w:cs w:val="0"/>
      <w:em w:val="none"/>
      <w:lang w:val="en-GB"/>
    </w:rPr>
  </w:style>
  <w:style w:type="character" w:styleId="Hyperlink">
    <w:name w:val="Hyperlink"/>
    <w:rPr>
      <w:color w:val="0000FF"/>
      <w:w w:val="100"/>
      <w:position w:val="-1"/>
      <w:u w:val="single"/>
      <w:effect w:val="none"/>
      <w:vertAlign w:val="baseline"/>
      <w:cs w:val="0"/>
      <w:em w:val="none"/>
    </w:rPr>
  </w:style>
  <w:style w:type="paragraph" w:styleId="ListParagraph">
    <w:name w:val="List Paragraph"/>
    <w:basedOn w:val="Normal"/>
    <w:pPr>
      <w:ind w:left="720"/>
      <w:contextualSpacing/>
    </w:pPr>
  </w:style>
  <w:style w:type="paragraph" w:styleId="BalloonText">
    <w:name w:val="Balloon Text"/>
    <w:basedOn w:val="Normal"/>
    <w:qFormat/>
    <w:rPr>
      <w:rFonts w:ascii="Tahoma" w:hAnsi="Tahoma"/>
      <w:sz w:val="16"/>
      <w:szCs w:val="16"/>
      <w:lang/>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lang w:val="en-G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rPr>
      <w:lang/>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GB"/>
    </w:rPr>
  </w:style>
  <w:style w:type="paragraph" w:customStyle="1" w:styleId="Footer">
    <w:name w:val="footer"/>
    <w:aliases w:val="Char"/>
    <w:basedOn w:val="Normal"/>
    <w:qFormat/>
    <w:rPr>
      <w:lang/>
    </w:rPr>
  </w:style>
  <w:style w:type="character" w:customStyle="1" w:styleId="FooterChar">
    <w:name w:val="Footer Char"/>
    <w:aliases w:val="Char Char"/>
    <w:rPr>
      <w:rFonts w:ascii="Times New Roman" w:eastAsia="Times New Roman" w:hAnsi="Times New Roman" w:cs="Times New Roman"/>
      <w:w w:val="100"/>
      <w:position w:val="-1"/>
      <w:sz w:val="24"/>
      <w:szCs w:val="24"/>
      <w:effect w:val="none"/>
      <w:vertAlign w:val="baseline"/>
      <w:cs w:val="0"/>
      <w:em w:val="none"/>
      <w:lang w:val="en-GB"/>
    </w:rPr>
  </w:style>
  <w:style w:type="character" w:styleId="FollowedHyperlink">
    <w:name w:val="FollowedHyperlink"/>
    <w:qFormat/>
    <w:rPr>
      <w:color w:val="800080"/>
      <w:w w:val="100"/>
      <w:position w:val="-1"/>
      <w:u w:val="single"/>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tM+wjWacmQeV6HEmIKKxvPRrLA==">CgMxLjA4AHIhMThRbG9OREJHa3BNNnFWYzJWM3E5TjFta2RvV3NrMWNm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James' Preschool</cp:lastModifiedBy>
  <cp:revision>2</cp:revision>
  <dcterms:created xsi:type="dcterms:W3CDTF">2020-01-05T13:40:00Z</dcterms:created>
  <dcterms:modified xsi:type="dcterms:W3CDTF">2026-01-07T10:28:00Z</dcterms:modified>
</cp:coreProperties>
</file>