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68" w:rsidRDefault="00D11A68" w:rsidP="00D11A68">
      <w:pPr>
        <w:jc w:val="center"/>
        <w:rPr>
          <w:b/>
          <w:sz w:val="28"/>
          <w:szCs w:val="28"/>
        </w:rPr>
      </w:pPr>
    </w:p>
    <w:p w:rsidR="00D11A68" w:rsidRDefault="00D11A68" w:rsidP="00D11A68">
      <w:pPr>
        <w:jc w:val="center"/>
        <w:rPr>
          <w:b/>
          <w:sz w:val="28"/>
          <w:szCs w:val="28"/>
        </w:rPr>
      </w:pPr>
    </w:p>
    <w:p w:rsidR="00D11A68" w:rsidRDefault="00D11A68" w:rsidP="00D11A68">
      <w:pPr>
        <w:jc w:val="center"/>
        <w:rPr>
          <w:b/>
          <w:sz w:val="28"/>
          <w:szCs w:val="28"/>
        </w:rPr>
      </w:pPr>
    </w:p>
    <w:p w:rsidR="00D11A68" w:rsidRDefault="00D11A68" w:rsidP="00D11A68">
      <w:pPr>
        <w:jc w:val="center"/>
        <w:rPr>
          <w:b/>
          <w:sz w:val="28"/>
          <w:szCs w:val="28"/>
        </w:rPr>
      </w:pPr>
    </w:p>
    <w:p w:rsidR="00D11A68" w:rsidRPr="00BE7B3B" w:rsidRDefault="00D11A68" w:rsidP="00D11A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1FDD" w:rsidRPr="002D0907" w:rsidRDefault="00D11A68" w:rsidP="00D11A68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0907">
        <w:rPr>
          <w:rFonts w:ascii="Times New Roman" w:hAnsi="Times New Roman" w:cs="Times New Roman"/>
          <w:b/>
          <w:sz w:val="20"/>
          <w:szCs w:val="20"/>
          <w:u w:val="single"/>
        </w:rPr>
        <w:t>GENERAL WARRANTY DEED- From a Corporation</w:t>
      </w:r>
    </w:p>
    <w:p w:rsidR="00D11A68" w:rsidRPr="00BE7B3B" w:rsidRDefault="00D11A68" w:rsidP="00D11A68">
      <w:pPr>
        <w:ind w:left="360" w:righ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b/>
          <w:sz w:val="20"/>
          <w:szCs w:val="20"/>
        </w:rPr>
        <w:t xml:space="preserve">Rye Beach Property Owner’s Association </w:t>
      </w:r>
      <w:proofErr w:type="spellStart"/>
      <w:r w:rsidRPr="00BE7B3B">
        <w:rPr>
          <w:rFonts w:ascii="Times New Roman" w:hAnsi="Times New Roman" w:cs="Times New Roman"/>
          <w:b/>
          <w:sz w:val="20"/>
          <w:szCs w:val="20"/>
        </w:rPr>
        <w:t>Inc</w:t>
      </w:r>
      <w:proofErr w:type="spellEnd"/>
      <w:r w:rsidRPr="00BE7B3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E7B3B">
        <w:rPr>
          <w:rFonts w:ascii="Times New Roman" w:hAnsi="Times New Roman" w:cs="Times New Roman"/>
          <w:sz w:val="20"/>
          <w:szCs w:val="20"/>
        </w:rPr>
        <w:t xml:space="preserve">a </w:t>
      </w:r>
      <w:r w:rsidRPr="00BE7B3B">
        <w:rPr>
          <w:rFonts w:ascii="Times New Roman" w:hAnsi="Times New Roman" w:cs="Times New Roman"/>
          <w:b/>
          <w:sz w:val="20"/>
          <w:szCs w:val="20"/>
        </w:rPr>
        <w:t>non-profit corporation</w:t>
      </w:r>
      <w:r w:rsidRPr="00BE7B3B">
        <w:rPr>
          <w:rFonts w:ascii="Times New Roman" w:hAnsi="Times New Roman" w:cs="Times New Roman"/>
          <w:sz w:val="20"/>
          <w:szCs w:val="20"/>
        </w:rPr>
        <w:t xml:space="preserve">, for valuable consideration paid, grant(s) with general warranty covenant(s) to </w:t>
      </w:r>
      <w:r w:rsidRPr="00BE7B3B">
        <w:rPr>
          <w:rFonts w:ascii="Times New Roman" w:hAnsi="Times New Roman" w:cs="Times New Roman"/>
          <w:b/>
          <w:sz w:val="20"/>
          <w:szCs w:val="20"/>
        </w:rPr>
        <w:t xml:space="preserve">Rye Beach Property Owner’s Association </w:t>
      </w:r>
      <w:proofErr w:type="spellStart"/>
      <w:r w:rsidRPr="00BE7B3B">
        <w:rPr>
          <w:rFonts w:ascii="Times New Roman" w:hAnsi="Times New Roman" w:cs="Times New Roman"/>
          <w:b/>
          <w:sz w:val="20"/>
          <w:szCs w:val="20"/>
        </w:rPr>
        <w:t>Inc</w:t>
      </w:r>
      <w:proofErr w:type="spellEnd"/>
      <w:r w:rsidRPr="00BE7B3B">
        <w:rPr>
          <w:rFonts w:ascii="Times New Roman" w:hAnsi="Times New Roman" w:cs="Times New Roman"/>
          <w:sz w:val="20"/>
          <w:szCs w:val="20"/>
        </w:rPr>
        <w:t xml:space="preserve">, a </w:t>
      </w:r>
      <w:r w:rsidRPr="00BE7B3B">
        <w:rPr>
          <w:rFonts w:ascii="Times New Roman" w:hAnsi="Times New Roman" w:cs="Times New Roman"/>
          <w:b/>
          <w:sz w:val="20"/>
          <w:szCs w:val="20"/>
        </w:rPr>
        <w:t>non-profit corporation</w:t>
      </w:r>
      <w:r w:rsidRPr="00BE7B3B">
        <w:rPr>
          <w:rFonts w:ascii="Times New Roman" w:hAnsi="Times New Roman" w:cs="Times New Roman"/>
          <w:sz w:val="20"/>
          <w:szCs w:val="20"/>
        </w:rPr>
        <w:t xml:space="preserve">, whose tax mailing address is: PO Box 221, Huron, Ohio 44839, in the following </w:t>
      </w:r>
      <w:r w:rsidRPr="00BE7B3B">
        <w:rPr>
          <w:rFonts w:ascii="Times New Roman" w:hAnsi="Times New Roman" w:cs="Times New Roman"/>
          <w:b/>
          <w:sz w:val="20"/>
          <w:szCs w:val="20"/>
        </w:rPr>
        <w:t>REAL PROPERTY</w:t>
      </w:r>
      <w:r w:rsidRPr="00BE7B3B">
        <w:rPr>
          <w:rFonts w:ascii="Times New Roman" w:hAnsi="Times New Roman" w:cs="Times New Roman"/>
          <w:sz w:val="20"/>
          <w:szCs w:val="20"/>
        </w:rPr>
        <w:t>:</w:t>
      </w:r>
    </w:p>
    <w:p w:rsidR="00D11A68" w:rsidRPr="00BE7B3B" w:rsidRDefault="00D11A68" w:rsidP="00D11A68">
      <w:pPr>
        <w:ind w:left="360" w:righ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E7B3B">
        <w:rPr>
          <w:rFonts w:ascii="Times New Roman" w:hAnsi="Times New Roman" w:cs="Times New Roman"/>
          <w:sz w:val="20"/>
          <w:szCs w:val="20"/>
        </w:rPr>
        <w:t>Rye Beach Property Owner’s Association Park Area-3.0270 acres of which .9000 acre is submerged.</w:t>
      </w:r>
      <w:proofErr w:type="gramEnd"/>
      <w:r w:rsidRPr="00BE7B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1A68" w:rsidRPr="00BE7B3B" w:rsidRDefault="00D11A68" w:rsidP="00D11A68">
      <w:pPr>
        <w:ind w:left="360" w:righ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>Legal Description:</w:t>
      </w: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>Being situated in the State of Ohio, County of Erie, City of Huron, Rye Beach Land Co subdivision (PV 8, PG 4) Erie County Tax record 43-00351.000</w:t>
      </w: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 Beginning at 1/2 " iron pin, set, marking the intersection of the East line of Atwood Place (20 </w:t>
      </w:r>
      <w:proofErr w:type="spellStart"/>
      <w:r w:rsidRPr="00BE7B3B">
        <w:rPr>
          <w:rFonts w:ascii="Times New Roman" w:hAnsi="Times New Roman" w:cs="Times New Roman"/>
          <w:sz w:val="20"/>
          <w:szCs w:val="20"/>
        </w:rPr>
        <w:t>ft</w:t>
      </w:r>
      <w:proofErr w:type="spellEnd"/>
      <w:r w:rsidRPr="00BE7B3B">
        <w:rPr>
          <w:rFonts w:ascii="Times New Roman" w:hAnsi="Times New Roman" w:cs="Times New Roman"/>
          <w:sz w:val="20"/>
          <w:szCs w:val="20"/>
        </w:rPr>
        <w:t xml:space="preserve">) with the North line of Shore Drive (30 </w:t>
      </w:r>
      <w:proofErr w:type="spellStart"/>
      <w:r w:rsidRPr="00BE7B3B">
        <w:rPr>
          <w:rFonts w:ascii="Times New Roman" w:hAnsi="Times New Roman" w:cs="Times New Roman"/>
          <w:sz w:val="20"/>
          <w:szCs w:val="20"/>
        </w:rPr>
        <w:t>ft</w:t>
      </w:r>
      <w:proofErr w:type="spellEnd"/>
      <w:r w:rsidRPr="00BE7B3B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>(1). Thence North 31° , 45' 51" East along the East line of Atwood Place, passing through a 1/2" iron pin, set, at a distance of 257.51 feet, and a drill hole, cut, at a distance of 327.51 feet, a distance of 337.51 feet to the Northwest corner of Atwood Place.</w:t>
      </w: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 (2). Thence North 58° 14' 09" West along the North end of Atwood Place a distance of 20.00 feet to the Northwest corner of Atwood Place. </w:t>
      </w: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(3). Thence South 31° 45' 51" West along the West line of Atwood Place a distance of 10.00 feet to a point on the centerline of Vacated Front Street. </w:t>
      </w: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(4). Thence North 58° 14' 09" West along the centerline of Vacated Front Street, a distance of 135.00 feet to a 1/2 " iron pin, set, on the centerline of Vacated Oakwood Ave. </w:t>
      </w: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(5). Thence North 31° 45' 51" East along the centerline of Vacated Oakwood Ave., a distance of 113.00 feet to a point. </w:t>
      </w: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 (6). Thence South 59° 39' 37" East a distance of 339.19 feet to a point, on the northerly extension of the centerline of Vacated Richland Ave.;  </w:t>
      </w:r>
    </w:p>
    <w:p w:rsidR="00D228D6" w:rsidRDefault="00D228D6" w:rsidP="002245A8">
      <w:pPr>
        <w:rPr>
          <w:rFonts w:ascii="Times New Roman" w:hAnsi="Times New Roman" w:cs="Times New Roman"/>
          <w:sz w:val="20"/>
          <w:szCs w:val="20"/>
        </w:rPr>
      </w:pPr>
    </w:p>
    <w:p w:rsidR="00D228D6" w:rsidRDefault="00D228D6" w:rsidP="002245A8">
      <w:pPr>
        <w:rPr>
          <w:rFonts w:ascii="Times New Roman" w:hAnsi="Times New Roman" w:cs="Times New Roman"/>
          <w:sz w:val="20"/>
          <w:szCs w:val="20"/>
        </w:rPr>
      </w:pPr>
    </w:p>
    <w:p w:rsidR="00D228D6" w:rsidRDefault="00D228D6" w:rsidP="002245A8">
      <w:pPr>
        <w:rPr>
          <w:rFonts w:ascii="Times New Roman" w:hAnsi="Times New Roman" w:cs="Times New Roman"/>
          <w:sz w:val="20"/>
          <w:szCs w:val="20"/>
        </w:rPr>
      </w:pPr>
    </w:p>
    <w:p w:rsidR="00D228D6" w:rsidRDefault="00D228D6" w:rsidP="002245A8">
      <w:pPr>
        <w:rPr>
          <w:rFonts w:ascii="Times New Roman" w:hAnsi="Times New Roman" w:cs="Times New Roman"/>
          <w:sz w:val="20"/>
          <w:szCs w:val="20"/>
        </w:rPr>
      </w:pPr>
    </w:p>
    <w:p w:rsidR="00D228D6" w:rsidRDefault="00D228D6" w:rsidP="002245A8">
      <w:pPr>
        <w:rPr>
          <w:rFonts w:ascii="Times New Roman" w:hAnsi="Times New Roman" w:cs="Times New Roman"/>
          <w:sz w:val="20"/>
          <w:szCs w:val="20"/>
        </w:rPr>
      </w:pP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(7). Thence South 01° 00' 00" East along the centerline of Vacated Richland Ave., passing through a drill hole, cut, at a distance of 98.50 feet, and a 1/2" iron pin, found at a distance of 165.00 feet, and a 1/2" iron pin, found at a distance of 250.00 feet, a distance of 367.76 feet to a drill hole, cut, on the North line of Shore Drive: </w:t>
      </w: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(8). Thence North 78° 16' 09" West along the North line of Shore Drive, a distance of 407.78 feet to a 1/2" iron pin, set and the point of beginning, containing 3.0224 acres, of which 0.9000 acre is submerged land, more or less. </w:t>
      </w:r>
      <w:proofErr w:type="gramStart"/>
      <w:r w:rsidRPr="00BE7B3B">
        <w:rPr>
          <w:rFonts w:ascii="Times New Roman" w:hAnsi="Times New Roman" w:cs="Times New Roman"/>
          <w:sz w:val="20"/>
          <w:szCs w:val="20"/>
        </w:rPr>
        <w:t>but</w:t>
      </w:r>
      <w:proofErr w:type="gramEnd"/>
      <w:r w:rsidRPr="00BE7B3B">
        <w:rPr>
          <w:rFonts w:ascii="Times New Roman" w:hAnsi="Times New Roman" w:cs="Times New Roman"/>
          <w:sz w:val="20"/>
          <w:szCs w:val="20"/>
        </w:rPr>
        <w:t xml:space="preserve"> being subject to all legal highways, easements and restrictions of land of record. </w:t>
      </w:r>
    </w:p>
    <w:p w:rsidR="002245A8" w:rsidRPr="00BE7B3B" w:rsidRDefault="002245A8" w:rsidP="002245A8">
      <w:pPr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 The above description was prepared from an actual survey by Daniel E. </w:t>
      </w:r>
      <w:proofErr w:type="spellStart"/>
      <w:r w:rsidRPr="00BE7B3B">
        <w:rPr>
          <w:rFonts w:ascii="Times New Roman" w:hAnsi="Times New Roman" w:cs="Times New Roman"/>
          <w:sz w:val="20"/>
          <w:szCs w:val="20"/>
        </w:rPr>
        <w:t>Hartung</w:t>
      </w:r>
      <w:proofErr w:type="spellEnd"/>
      <w:r w:rsidRPr="00BE7B3B">
        <w:rPr>
          <w:rFonts w:ascii="Times New Roman" w:hAnsi="Times New Roman" w:cs="Times New Roman"/>
          <w:sz w:val="20"/>
          <w:szCs w:val="20"/>
        </w:rPr>
        <w:t xml:space="preserve"> Jr., Professional Surveyor No. 5667 in February, 2012.  The bearings were assumed only for the purpose of indicating angles.</w:t>
      </w:r>
    </w:p>
    <w:p w:rsidR="002245A8" w:rsidRPr="00BE7B3B" w:rsidRDefault="002245A8" w:rsidP="00D11A68">
      <w:pPr>
        <w:ind w:left="360" w:righ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The Property hereinabove described was acquired by the Grantor by a prior instrument, referenced </w:t>
      </w:r>
      <w:r w:rsidR="00D71913" w:rsidRPr="00BE7B3B">
        <w:rPr>
          <w:rFonts w:ascii="Times New Roman" w:hAnsi="Times New Roman" w:cs="Times New Roman"/>
          <w:sz w:val="20"/>
          <w:szCs w:val="20"/>
        </w:rPr>
        <w:t>by</w:t>
      </w:r>
      <w:r w:rsidRPr="00BE7B3B">
        <w:rPr>
          <w:rFonts w:ascii="Times New Roman" w:hAnsi="Times New Roman" w:cs="Times New Roman"/>
          <w:sz w:val="20"/>
          <w:szCs w:val="20"/>
        </w:rPr>
        <w:t xml:space="preserve"> </w:t>
      </w:r>
      <w:r w:rsidRPr="00BE7B3B">
        <w:rPr>
          <w:rFonts w:ascii="Times New Roman" w:hAnsi="Times New Roman" w:cs="Times New Roman"/>
          <w:b/>
          <w:sz w:val="20"/>
          <w:szCs w:val="20"/>
        </w:rPr>
        <w:t>200012630</w:t>
      </w:r>
      <w:r w:rsidRPr="00BE7B3B">
        <w:rPr>
          <w:rFonts w:ascii="Times New Roman" w:hAnsi="Times New Roman" w:cs="Times New Roman"/>
          <w:sz w:val="20"/>
          <w:szCs w:val="20"/>
        </w:rPr>
        <w:t>, Deed records of Erie County, Ohio.</w:t>
      </w:r>
    </w:p>
    <w:p w:rsidR="00D71913" w:rsidRPr="00BE7B3B" w:rsidRDefault="006410A9" w:rsidP="00D11A68">
      <w:pPr>
        <w:ind w:left="360" w:right="360" w:hanging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DECLARATION OF RESTRICTIONS TO NEVER </w:t>
      </w: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>EXPIRE</w:t>
      </w:r>
      <w:bookmarkEnd w:id="0"/>
    </w:p>
    <w:p w:rsidR="00D71913" w:rsidRPr="00BE7B3B" w:rsidRDefault="00D71913" w:rsidP="00D71913">
      <w:pPr>
        <w:pStyle w:val="ListParagraph"/>
        <w:numPr>
          <w:ilvl w:val="0"/>
          <w:numId w:val="1"/>
        </w:numPr>
        <w:ind w:righ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B3B">
        <w:rPr>
          <w:rFonts w:ascii="Times New Roman" w:hAnsi="Times New Roman" w:cs="Times New Roman"/>
          <w:b/>
          <w:sz w:val="20"/>
          <w:szCs w:val="20"/>
        </w:rPr>
        <w:t>Property can never be sold</w:t>
      </w:r>
    </w:p>
    <w:p w:rsidR="00D71913" w:rsidRPr="00BE7B3B" w:rsidRDefault="00D71913" w:rsidP="00D71913">
      <w:pPr>
        <w:pStyle w:val="ListParagraph"/>
        <w:numPr>
          <w:ilvl w:val="0"/>
          <w:numId w:val="1"/>
        </w:numPr>
        <w:ind w:righ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B3B">
        <w:rPr>
          <w:rFonts w:ascii="Times New Roman" w:hAnsi="Times New Roman" w:cs="Times New Roman"/>
          <w:b/>
          <w:sz w:val="20"/>
          <w:szCs w:val="20"/>
        </w:rPr>
        <w:t>Property will remain private</w:t>
      </w:r>
    </w:p>
    <w:p w:rsidR="00D71913" w:rsidRPr="00BE7B3B" w:rsidRDefault="00D71913" w:rsidP="00D71913">
      <w:pPr>
        <w:pStyle w:val="ListParagraph"/>
        <w:numPr>
          <w:ilvl w:val="0"/>
          <w:numId w:val="1"/>
        </w:numPr>
        <w:ind w:righ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B3B">
        <w:rPr>
          <w:rFonts w:ascii="Times New Roman" w:hAnsi="Times New Roman" w:cs="Times New Roman"/>
          <w:b/>
          <w:sz w:val="20"/>
          <w:szCs w:val="20"/>
        </w:rPr>
        <w:t>Property will remain a park</w:t>
      </w:r>
    </w:p>
    <w:p w:rsidR="00D71913" w:rsidRPr="00BE7B3B" w:rsidRDefault="00D71913" w:rsidP="00D71913">
      <w:pPr>
        <w:pStyle w:val="ListParagraph"/>
        <w:numPr>
          <w:ilvl w:val="0"/>
          <w:numId w:val="1"/>
        </w:numPr>
        <w:ind w:righ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B3B">
        <w:rPr>
          <w:rFonts w:ascii="Times New Roman" w:hAnsi="Times New Roman" w:cs="Times New Roman"/>
          <w:b/>
          <w:sz w:val="20"/>
          <w:szCs w:val="20"/>
        </w:rPr>
        <w:t>Property retains 100% mineral rights</w:t>
      </w:r>
    </w:p>
    <w:p w:rsidR="00D71913" w:rsidRPr="00BE7B3B" w:rsidRDefault="00D71913" w:rsidP="00D71913">
      <w:pPr>
        <w:pStyle w:val="ListParagraph"/>
        <w:ind w:right="360"/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And said </w:t>
      </w:r>
      <w:r w:rsidR="00C56A5E" w:rsidRPr="00BE7B3B">
        <w:rPr>
          <w:rFonts w:ascii="Times New Roman" w:hAnsi="Times New Roman" w:cs="Times New Roman"/>
          <w:sz w:val="20"/>
          <w:szCs w:val="20"/>
        </w:rPr>
        <w:t>Grantor, does</w:t>
      </w:r>
      <w:r w:rsidRPr="00BE7B3B">
        <w:rPr>
          <w:rFonts w:ascii="Times New Roman" w:hAnsi="Times New Roman" w:cs="Times New Roman"/>
          <w:sz w:val="20"/>
          <w:szCs w:val="20"/>
        </w:rPr>
        <w:t xml:space="preserve"> attest for the Grantee that at and until the ensealing of these presents, the Grantor is well seized of the above described premises, as a good and indefeasible estate in Fee Simple and will WARRANT AND DEFEND said premises, with the appurtenances thereunto belonging to the said Grantee against all lawful claims and demands whatsoever.</w:t>
      </w:r>
    </w:p>
    <w:p w:rsidR="00C56A5E" w:rsidRPr="00BE7B3B" w:rsidRDefault="00C56A5E" w:rsidP="00D71913">
      <w:pPr>
        <w:pStyle w:val="ListParagraph"/>
        <w:ind w:right="360"/>
        <w:rPr>
          <w:rFonts w:ascii="Times New Roman" w:hAnsi="Times New Roman" w:cs="Times New Roman"/>
          <w:sz w:val="20"/>
          <w:szCs w:val="20"/>
        </w:rPr>
      </w:pPr>
    </w:p>
    <w:p w:rsidR="00C56A5E" w:rsidRPr="00BE7B3B" w:rsidRDefault="00C56A5E" w:rsidP="00D71913">
      <w:pPr>
        <w:pStyle w:val="ListParagraph"/>
        <w:ind w:right="360"/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>Executed this ________ day of ______________, 2024</w:t>
      </w:r>
    </w:p>
    <w:p w:rsidR="00C56A5E" w:rsidRPr="00BE7B3B" w:rsidRDefault="00C56A5E" w:rsidP="00D71913">
      <w:pPr>
        <w:pStyle w:val="ListParagraph"/>
        <w:ind w:right="360"/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Rye Beach Property Owner’s Association </w:t>
      </w:r>
      <w:proofErr w:type="spellStart"/>
      <w:r w:rsidRPr="00BE7B3B">
        <w:rPr>
          <w:rFonts w:ascii="Times New Roman" w:hAnsi="Times New Roman" w:cs="Times New Roman"/>
          <w:sz w:val="20"/>
          <w:szCs w:val="20"/>
        </w:rPr>
        <w:t>Inc</w:t>
      </w:r>
      <w:proofErr w:type="spellEnd"/>
    </w:p>
    <w:p w:rsidR="00C56A5E" w:rsidRPr="00BE7B3B" w:rsidRDefault="00C56A5E" w:rsidP="00D71913">
      <w:pPr>
        <w:pStyle w:val="ListParagraph"/>
        <w:ind w:right="360"/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Per: </w:t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</w:r>
      <w:r w:rsidRPr="00BE7B3B">
        <w:rPr>
          <w:rFonts w:ascii="Times New Roman" w:hAnsi="Times New Roman" w:cs="Times New Roman"/>
          <w:sz w:val="20"/>
          <w:szCs w:val="20"/>
        </w:rPr>
        <w:softHyphen/>
        <w:t>______________________</w:t>
      </w:r>
    </w:p>
    <w:p w:rsidR="00C56A5E" w:rsidRPr="00BE7B3B" w:rsidRDefault="00C56A5E" w:rsidP="00D71913">
      <w:pPr>
        <w:pStyle w:val="ListParagraph"/>
        <w:ind w:right="360"/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Michael Jones </w:t>
      </w:r>
      <w:proofErr w:type="spellStart"/>
      <w:r w:rsidRPr="00BE7B3B">
        <w:rPr>
          <w:rFonts w:ascii="Times New Roman" w:hAnsi="Times New Roman" w:cs="Times New Roman"/>
          <w:sz w:val="20"/>
          <w:szCs w:val="20"/>
        </w:rPr>
        <w:t>Sr</w:t>
      </w:r>
      <w:proofErr w:type="spellEnd"/>
      <w:r w:rsidRPr="00BE7B3B">
        <w:rPr>
          <w:rFonts w:ascii="Times New Roman" w:hAnsi="Times New Roman" w:cs="Times New Roman"/>
          <w:sz w:val="20"/>
          <w:szCs w:val="20"/>
        </w:rPr>
        <w:t xml:space="preserve"> Co-President RBPOA </w:t>
      </w:r>
      <w:proofErr w:type="spellStart"/>
      <w:r w:rsidRPr="00BE7B3B">
        <w:rPr>
          <w:rFonts w:ascii="Times New Roman" w:hAnsi="Times New Roman" w:cs="Times New Roman"/>
          <w:sz w:val="20"/>
          <w:szCs w:val="20"/>
        </w:rPr>
        <w:t>Inc</w:t>
      </w:r>
      <w:proofErr w:type="spellEnd"/>
    </w:p>
    <w:p w:rsidR="00C56A5E" w:rsidRPr="00BE7B3B" w:rsidRDefault="00C56A5E" w:rsidP="00D71913">
      <w:pPr>
        <w:pStyle w:val="ListParagraph"/>
        <w:ind w:right="360"/>
        <w:rPr>
          <w:rFonts w:ascii="Times New Roman" w:hAnsi="Times New Roman" w:cs="Times New Roman"/>
          <w:sz w:val="20"/>
          <w:szCs w:val="20"/>
        </w:rPr>
      </w:pPr>
    </w:p>
    <w:p w:rsidR="00C56A5E" w:rsidRPr="00BE7B3B" w:rsidRDefault="00C56A5E" w:rsidP="00D71913">
      <w:pPr>
        <w:pStyle w:val="ListParagraph"/>
        <w:ind w:right="360"/>
        <w:rPr>
          <w:rFonts w:ascii="Times New Roman" w:hAnsi="Times New Roman" w:cs="Times New Roman"/>
          <w:sz w:val="20"/>
          <w:szCs w:val="20"/>
        </w:rPr>
      </w:pPr>
      <w:r w:rsidRPr="00BE7B3B">
        <w:rPr>
          <w:rFonts w:ascii="Times New Roman" w:hAnsi="Times New Roman" w:cs="Times New Roman"/>
          <w:sz w:val="20"/>
          <w:szCs w:val="20"/>
        </w:rPr>
        <w:t xml:space="preserve">This instrument was prepared by Rye Beach Property Owner’s Association </w:t>
      </w:r>
      <w:proofErr w:type="spellStart"/>
      <w:proofErr w:type="gramStart"/>
      <w:r w:rsidRPr="00BE7B3B">
        <w:rPr>
          <w:rFonts w:ascii="Times New Roman" w:hAnsi="Times New Roman" w:cs="Times New Roman"/>
          <w:sz w:val="20"/>
          <w:szCs w:val="20"/>
        </w:rPr>
        <w:t>Inc</w:t>
      </w:r>
      <w:proofErr w:type="spellEnd"/>
      <w:r w:rsidRPr="00BE7B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E7B3B">
        <w:rPr>
          <w:rFonts w:ascii="Times New Roman" w:hAnsi="Times New Roman" w:cs="Times New Roman"/>
          <w:sz w:val="20"/>
          <w:szCs w:val="20"/>
        </w:rPr>
        <w:t>Sr</w:t>
      </w:r>
      <w:proofErr w:type="spellEnd"/>
      <w:proofErr w:type="gramEnd"/>
      <w:r w:rsidRPr="00BE7B3B">
        <w:rPr>
          <w:rFonts w:ascii="Times New Roman" w:hAnsi="Times New Roman" w:cs="Times New Roman"/>
          <w:sz w:val="20"/>
          <w:szCs w:val="20"/>
        </w:rPr>
        <w:t xml:space="preserve"> Co-President Michael Jones.</w:t>
      </w:r>
    </w:p>
    <w:sectPr w:rsidR="00C56A5E" w:rsidRPr="00BE7B3B" w:rsidSect="002D0907">
      <w:pgSz w:w="12240" w:h="15840"/>
      <w:pgMar w:top="2448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1F" w:rsidRDefault="00EB2D1F" w:rsidP="00D228D6">
      <w:pPr>
        <w:spacing w:after="0" w:line="240" w:lineRule="auto"/>
      </w:pPr>
      <w:r>
        <w:separator/>
      </w:r>
    </w:p>
  </w:endnote>
  <w:endnote w:type="continuationSeparator" w:id="0">
    <w:p w:rsidR="00EB2D1F" w:rsidRDefault="00EB2D1F" w:rsidP="00D2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1F" w:rsidRDefault="00EB2D1F" w:rsidP="00D228D6">
      <w:pPr>
        <w:spacing w:after="0" w:line="240" w:lineRule="auto"/>
      </w:pPr>
      <w:r>
        <w:separator/>
      </w:r>
    </w:p>
  </w:footnote>
  <w:footnote w:type="continuationSeparator" w:id="0">
    <w:p w:rsidR="00EB2D1F" w:rsidRDefault="00EB2D1F" w:rsidP="00D2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444"/>
    <w:multiLevelType w:val="hybridMultilevel"/>
    <w:tmpl w:val="904A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68"/>
    <w:rsid w:val="001E6EAD"/>
    <w:rsid w:val="002245A8"/>
    <w:rsid w:val="002D0907"/>
    <w:rsid w:val="006410A9"/>
    <w:rsid w:val="00BE7B3B"/>
    <w:rsid w:val="00C56A5E"/>
    <w:rsid w:val="00D06208"/>
    <w:rsid w:val="00D11A68"/>
    <w:rsid w:val="00D228D6"/>
    <w:rsid w:val="00D71913"/>
    <w:rsid w:val="00E27BCD"/>
    <w:rsid w:val="00EB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D6"/>
  </w:style>
  <w:style w:type="paragraph" w:styleId="Footer">
    <w:name w:val="footer"/>
    <w:basedOn w:val="Normal"/>
    <w:link w:val="FooterChar"/>
    <w:uiPriority w:val="99"/>
    <w:unhideWhenUsed/>
    <w:rsid w:val="00D2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D6"/>
  </w:style>
  <w:style w:type="paragraph" w:styleId="Footer">
    <w:name w:val="footer"/>
    <w:basedOn w:val="Normal"/>
    <w:link w:val="FooterChar"/>
    <w:uiPriority w:val="99"/>
    <w:unhideWhenUsed/>
    <w:rsid w:val="00D2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jones</dc:creator>
  <cp:lastModifiedBy>mike jones</cp:lastModifiedBy>
  <cp:revision>2</cp:revision>
  <cp:lastPrinted>2024-02-13T20:21:00Z</cp:lastPrinted>
  <dcterms:created xsi:type="dcterms:W3CDTF">2024-02-13T19:13:00Z</dcterms:created>
  <dcterms:modified xsi:type="dcterms:W3CDTF">2024-02-15T07:08:00Z</dcterms:modified>
</cp:coreProperties>
</file>