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527C" w14:textId="77777777" w:rsidR="00900DB8" w:rsidRDefault="00000000">
      <w:pPr>
        <w:spacing w:after="60"/>
      </w:pPr>
      <w:r>
        <w:rPr>
          <w:rFonts w:ascii="Arial" w:eastAsia="Arial" w:hAnsi="Arial" w:cs="Arial"/>
          <w:b/>
          <w:bCs/>
          <w:color w:val="1B3A6B"/>
          <w:sz w:val="32"/>
          <w:szCs w:val="32"/>
        </w:rPr>
        <w:t>AI BEHAVIOR CHANGE MEASUREMENT FRAMEWORK</w:t>
      </w:r>
    </w:p>
    <w:p w14:paraId="2E5D40D4" w14:textId="77777777" w:rsidR="00900DB8" w:rsidRDefault="00000000">
      <w:pPr>
        <w:pBdr>
          <w:bottom w:val="single" w:sz="8" w:space="1" w:color="2E6DB4"/>
        </w:pBdr>
        <w:spacing w:after="120"/>
      </w:pPr>
      <w:r>
        <w:rPr>
          <w:rFonts w:ascii="Arial" w:eastAsia="Arial" w:hAnsi="Arial" w:cs="Arial"/>
          <w:i/>
          <w:iCs/>
          <w:color w:val="666666"/>
        </w:rPr>
        <w:t xml:space="preserve">Stop measuring who logged in. Start measuring whether anything actually changed.  </w:t>
      </w:r>
      <w:r>
        <w:rPr>
          <w:rFonts w:ascii="Arial" w:eastAsia="Arial" w:hAnsi="Arial" w:cs="Arial"/>
          <w:b/>
          <w:bCs/>
          <w:color w:val="2E6DB4"/>
        </w:rPr>
        <w:t>marincg.com</w:t>
      </w:r>
    </w:p>
    <w:tbl>
      <w:tblPr>
        <w:tblW w:w="1444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00"/>
        <w:gridCol w:w="200"/>
        <w:gridCol w:w="4840"/>
      </w:tblGrid>
      <w:tr w:rsidR="00900DB8" w14:paraId="07120752" w14:textId="77777777">
        <w:tblPrEx>
          <w:tblCellMar>
            <w:top w:w="0" w:type="dxa"/>
            <w:bottom w:w="0" w:type="dxa"/>
          </w:tblCellMar>
        </w:tblPrEx>
        <w:tc>
          <w:tcPr>
            <w:tcW w:w="9400" w:type="dxa"/>
            <w:tcBorders>
              <w:top w:val="none" w:sz="0" w:space="0" w:color="FFFFFF"/>
              <w:left w:val="none" w:sz="0" w:space="0" w:color="FFFFFF"/>
              <w:bottom w:val="none" w:sz="0" w:space="0" w:color="FFFFFF"/>
              <w:right w:val="none" w:sz="0" w:space="0" w:color="FFFFFF"/>
            </w:tcBorders>
            <w:shd w:val="clear" w:color="auto" w:fill="E8EEF7"/>
            <w:tcMar>
              <w:top w:w="130" w:type="dxa"/>
              <w:left w:w="170" w:type="dxa"/>
              <w:bottom w:w="130" w:type="dxa"/>
              <w:right w:w="170" w:type="dxa"/>
            </w:tcMar>
          </w:tcPr>
          <w:p w14:paraId="4A8CE06E" w14:textId="77777777" w:rsidR="00900DB8" w:rsidRDefault="00000000">
            <w:r>
              <w:rPr>
                <w:rFonts w:ascii="Arial" w:eastAsia="Arial" w:hAnsi="Arial" w:cs="Arial"/>
                <w:color w:val="333333"/>
                <w:sz w:val="18"/>
                <w:szCs w:val="18"/>
              </w:rPr>
              <w:t>Most AI adoption dashboards measure access — logins, completions, prompts generated. These numbers trend upward regardless of whether anything meaningful changes on the ground. Genuine behavior change requires a different approach: baselines set before launch, outputs reviewed honestly, and someone explicitly accountable for reporting what they find. This framework gives you the metrics to do that.</w:t>
            </w:r>
          </w:p>
        </w:tc>
        <w:tc>
          <w:tcPr>
            <w:tcW w:w="200" w:type="dxa"/>
            <w:tcBorders>
              <w:top w:val="none" w:sz="0" w:space="0" w:color="FFFFFF"/>
              <w:left w:val="none" w:sz="0" w:space="0" w:color="FFFFFF"/>
              <w:bottom w:val="none" w:sz="0" w:space="0" w:color="FFFFFF"/>
              <w:right w:val="none" w:sz="0" w:space="0" w:color="FFFFFF"/>
            </w:tcBorders>
          </w:tcPr>
          <w:p w14:paraId="198AA684" w14:textId="77777777" w:rsidR="00900DB8" w:rsidRDefault="00900DB8"/>
        </w:tc>
        <w:tc>
          <w:tcPr>
            <w:tcW w:w="4840" w:type="dxa"/>
            <w:tcBorders>
              <w:top w:val="none" w:sz="0" w:space="0" w:color="FFFFFF"/>
              <w:left w:val="none" w:sz="0" w:space="0" w:color="FFFFFF"/>
              <w:bottom w:val="none" w:sz="0" w:space="0" w:color="FFFFFF"/>
              <w:right w:val="none" w:sz="0" w:space="0" w:color="FFFFFF"/>
            </w:tcBorders>
            <w:shd w:val="clear" w:color="auto" w:fill="1B3A6B"/>
            <w:tcMar>
              <w:top w:w="130" w:type="dxa"/>
              <w:left w:w="170" w:type="dxa"/>
              <w:bottom w:w="130" w:type="dxa"/>
              <w:right w:w="170" w:type="dxa"/>
            </w:tcMar>
          </w:tcPr>
          <w:p w14:paraId="7722E586" w14:textId="77777777" w:rsidR="00900DB8" w:rsidRDefault="00000000">
            <w:pPr>
              <w:spacing w:after="80"/>
            </w:pPr>
            <w:r>
              <w:rPr>
                <w:rFonts w:ascii="Arial" w:eastAsia="Arial" w:hAnsi="Arial" w:cs="Arial"/>
                <w:b/>
                <w:bCs/>
                <w:color w:val="FFFFFF"/>
              </w:rPr>
              <w:t>The golden rule</w:t>
            </w:r>
          </w:p>
          <w:p w14:paraId="10CC4224" w14:textId="77777777" w:rsidR="00900DB8" w:rsidRDefault="00000000">
            <w:r>
              <w:rPr>
                <w:rFonts w:ascii="Arial" w:eastAsia="Arial" w:hAnsi="Arial" w:cs="Arial"/>
                <w:color w:val="C8D8F0"/>
                <w:sz w:val="17"/>
                <w:szCs w:val="17"/>
              </w:rPr>
              <w:t>Every metric here requires a baseline before rollout. Without a before, you have no after. Pick two or three, document the current state, and review at 60 and 90 days. The metrics that are easy to game are already being gamed. These ones require engaging with the actual work.</w:t>
            </w:r>
          </w:p>
        </w:tc>
      </w:tr>
    </w:tbl>
    <w:p w14:paraId="59AF76A8" w14:textId="77777777" w:rsidR="00900DB8" w:rsidRDefault="00000000">
      <w:pPr>
        <w:spacing w:before="160" w:after="80"/>
      </w:pPr>
      <w:r>
        <w:rPr>
          <w:rFonts w:ascii="Arial" w:eastAsia="Arial" w:hAnsi="Arial" w:cs="Arial"/>
          <w:b/>
          <w:bCs/>
          <w:caps/>
          <w:color w:val="2E6DB4"/>
          <w:sz w:val="17"/>
          <w:szCs w:val="17"/>
        </w:rPr>
        <w:t>LEADING INDICATORS — early signals that behavior is shifting</w:t>
      </w:r>
    </w:p>
    <w:tbl>
      <w:tblPr>
        <w:tblW w:w="1444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2037"/>
        <w:gridCol w:w="3715"/>
        <w:gridCol w:w="4194"/>
        <w:gridCol w:w="3907"/>
      </w:tblGrid>
      <w:tr w:rsidR="00900DB8" w14:paraId="0BF632AB"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3B67E8C4" w14:textId="77777777" w:rsidR="00900DB8" w:rsidRDefault="00000000">
            <w:r>
              <w:rPr>
                <w:rFonts w:ascii="Arial" w:eastAsia="Arial" w:hAnsi="Arial" w:cs="Arial"/>
                <w:b/>
                <w:bCs/>
                <w:color w:val="FFFFFF"/>
                <w:sz w:val="19"/>
                <w:szCs w:val="19"/>
              </w:rPr>
              <w:t>#</w:t>
            </w:r>
          </w:p>
        </w:tc>
        <w:tc>
          <w:tcPr>
            <w:tcW w:w="17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1C5989F6" w14:textId="77777777" w:rsidR="00900DB8" w:rsidRDefault="00000000">
            <w:r>
              <w:rPr>
                <w:rFonts w:ascii="Arial" w:eastAsia="Arial" w:hAnsi="Arial" w:cs="Arial"/>
                <w:b/>
                <w:bCs/>
                <w:color w:val="FFFFFF"/>
                <w:sz w:val="19"/>
                <w:szCs w:val="19"/>
              </w:rPr>
              <w:t>Metric</w:t>
            </w:r>
          </w:p>
        </w:tc>
        <w:tc>
          <w:tcPr>
            <w:tcW w:w="31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320E6548" w14:textId="77777777" w:rsidR="00900DB8" w:rsidRDefault="00000000">
            <w:r>
              <w:rPr>
                <w:rFonts w:ascii="Arial" w:eastAsia="Arial" w:hAnsi="Arial" w:cs="Arial"/>
                <w:b/>
                <w:bCs/>
                <w:color w:val="FFFFFF"/>
                <w:sz w:val="19"/>
                <w:szCs w:val="19"/>
              </w:rPr>
              <w:t>What to measure</w:t>
            </w:r>
          </w:p>
        </w:tc>
        <w:tc>
          <w:tcPr>
            <w:tcW w:w="35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6D50367F" w14:textId="77777777" w:rsidR="00900DB8" w:rsidRDefault="00000000">
            <w:r>
              <w:rPr>
                <w:rFonts w:ascii="Arial" w:eastAsia="Arial" w:hAnsi="Arial" w:cs="Arial"/>
                <w:b/>
                <w:bCs/>
                <w:color w:val="FFFFFF"/>
                <w:sz w:val="19"/>
                <w:szCs w:val="19"/>
              </w:rPr>
              <w:t>How to find it</w:t>
            </w:r>
          </w:p>
        </w:tc>
        <w:tc>
          <w:tcPr>
            <w:tcW w:w="326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3947A0F2" w14:textId="77777777" w:rsidR="00900DB8" w:rsidRDefault="00000000">
            <w:r>
              <w:rPr>
                <w:rFonts w:ascii="Arial" w:eastAsia="Arial" w:hAnsi="Arial" w:cs="Arial"/>
                <w:b/>
                <w:bCs/>
                <w:color w:val="FFFFFF"/>
                <w:sz w:val="19"/>
                <w:szCs w:val="19"/>
              </w:rPr>
              <w:t>Warning signal</w:t>
            </w:r>
          </w:p>
        </w:tc>
      </w:tr>
      <w:tr w:rsidR="00900DB8" w14:paraId="259E1970"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7F0279EC" w14:textId="77777777" w:rsidR="00900DB8" w:rsidRDefault="00000000">
            <w:pPr>
              <w:jc w:val="center"/>
            </w:pPr>
            <w:r>
              <w:rPr>
                <w:rFonts w:ascii="Arial" w:eastAsia="Arial" w:hAnsi="Arial" w:cs="Arial"/>
                <w:b/>
                <w:bCs/>
                <w:color w:val="FFFFFF"/>
                <w:sz w:val="26"/>
                <w:szCs w:val="26"/>
              </w:rPr>
              <w:t>01</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1D0C4E98" w14:textId="77777777" w:rsidR="00900DB8" w:rsidRDefault="00000000">
            <w:pPr>
              <w:spacing w:before="20" w:after="20"/>
            </w:pPr>
            <w:r>
              <w:rPr>
                <w:rFonts w:ascii="Arial" w:eastAsia="Arial" w:hAnsi="Arial" w:cs="Arial"/>
                <w:b/>
                <w:bCs/>
                <w:color w:val="222222"/>
                <w:sz w:val="18"/>
                <w:szCs w:val="18"/>
              </w:rPr>
              <w:t>Time-on-task</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7C2FDA6F" w14:textId="77777777" w:rsidR="00900DB8" w:rsidRDefault="00000000">
            <w:pPr>
              <w:spacing w:before="20" w:after="20"/>
            </w:pPr>
            <w:r>
              <w:rPr>
                <w:rFonts w:ascii="Arial" w:eastAsia="Arial" w:hAnsi="Arial" w:cs="Arial"/>
                <w:color w:val="222222"/>
                <w:sz w:val="17"/>
                <w:szCs w:val="17"/>
              </w:rPr>
              <w:t>Elapsed time on 3–5 repeated tasks, before and after rollout. Use actual timestamps, not estimates.</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52DBBD86" w14:textId="77777777" w:rsidR="00900DB8" w:rsidRDefault="00000000">
            <w:pPr>
              <w:spacing w:before="20" w:after="20"/>
            </w:pPr>
            <w:r>
              <w:rPr>
                <w:rFonts w:ascii="Arial" w:eastAsia="Arial" w:hAnsi="Arial" w:cs="Arial"/>
                <w:color w:val="222222"/>
                <w:sz w:val="17"/>
                <w:szCs w:val="17"/>
              </w:rPr>
              <w:t>Calendar blocks, ticket open/close times, project management logs.</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5302986B" w14:textId="77777777" w:rsidR="00900DB8" w:rsidRDefault="00000000">
            <w:pPr>
              <w:spacing w:before="20" w:after="20"/>
            </w:pPr>
            <w:r>
              <w:rPr>
                <w:rFonts w:ascii="Arial" w:eastAsia="Arial" w:hAnsi="Arial" w:cs="Arial"/>
                <w:color w:val="444444"/>
                <w:sz w:val="17"/>
                <w:szCs w:val="17"/>
              </w:rPr>
              <w:t>Task takes the same time post-rollout = tool added on top of old workflow, not replacing it.</w:t>
            </w:r>
          </w:p>
        </w:tc>
      </w:tr>
      <w:tr w:rsidR="00900DB8" w14:paraId="0A2A8123"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3D42ABFD" w14:textId="77777777" w:rsidR="00900DB8" w:rsidRDefault="00000000">
            <w:pPr>
              <w:jc w:val="center"/>
            </w:pPr>
            <w:r>
              <w:rPr>
                <w:rFonts w:ascii="Arial" w:eastAsia="Arial" w:hAnsi="Arial" w:cs="Arial"/>
                <w:b/>
                <w:bCs/>
                <w:color w:val="FFFFFF"/>
                <w:sz w:val="26"/>
                <w:szCs w:val="26"/>
              </w:rPr>
              <w:t>02</w:t>
            </w:r>
          </w:p>
        </w:tc>
        <w:tc>
          <w:tcPr>
            <w:tcW w:w="17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vAlign w:val="center"/>
          </w:tcPr>
          <w:p w14:paraId="41CCDBA2" w14:textId="77777777" w:rsidR="00900DB8" w:rsidRDefault="00000000">
            <w:pPr>
              <w:spacing w:before="20" w:after="20"/>
            </w:pPr>
            <w:r>
              <w:rPr>
                <w:rFonts w:ascii="Arial" w:eastAsia="Arial" w:hAnsi="Arial" w:cs="Arial"/>
                <w:b/>
                <w:bCs/>
                <w:color w:val="222222"/>
                <w:sz w:val="18"/>
                <w:szCs w:val="18"/>
              </w:rPr>
              <w:t>Rework rate</w:t>
            </w:r>
          </w:p>
        </w:tc>
        <w:tc>
          <w:tcPr>
            <w:tcW w:w="31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6B129DB5" w14:textId="77777777" w:rsidR="00900DB8" w:rsidRDefault="00000000">
            <w:pPr>
              <w:spacing w:before="20" w:after="20"/>
            </w:pPr>
            <w:r>
              <w:rPr>
                <w:rFonts w:ascii="Arial" w:eastAsia="Arial" w:hAnsi="Arial" w:cs="Arial"/>
                <w:color w:val="222222"/>
                <w:sz w:val="17"/>
                <w:szCs w:val="17"/>
              </w:rPr>
              <w:t>How often outputs are returned for significant revision. Flat rate = faster drafts, same quality.</w:t>
            </w:r>
          </w:p>
        </w:tc>
        <w:tc>
          <w:tcPr>
            <w:tcW w:w="35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44390A03" w14:textId="77777777" w:rsidR="00900DB8" w:rsidRDefault="00000000">
            <w:pPr>
              <w:spacing w:before="20" w:after="20"/>
            </w:pPr>
            <w:r>
              <w:rPr>
                <w:rFonts w:ascii="Arial" w:eastAsia="Arial" w:hAnsi="Arial" w:cs="Arial"/>
                <w:color w:val="222222"/>
                <w:sz w:val="17"/>
                <w:szCs w:val="17"/>
              </w:rPr>
              <w:t>Revision history, PM comments, email threads requesting changes or corrections.</w:t>
            </w:r>
          </w:p>
        </w:tc>
        <w:tc>
          <w:tcPr>
            <w:tcW w:w="326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5B41E63C" w14:textId="77777777" w:rsidR="00900DB8" w:rsidRDefault="00000000">
            <w:pPr>
              <w:spacing w:before="20" w:after="20"/>
            </w:pPr>
            <w:r>
              <w:rPr>
                <w:rFonts w:ascii="Arial" w:eastAsia="Arial" w:hAnsi="Arial" w:cs="Arial"/>
                <w:color w:val="444444"/>
                <w:sz w:val="17"/>
                <w:szCs w:val="17"/>
              </w:rPr>
              <w:t>Rework rate unchanged at 90 days = AI producing volume, not improving quality.</w:t>
            </w:r>
          </w:p>
        </w:tc>
      </w:tr>
      <w:tr w:rsidR="00900DB8" w14:paraId="40F9DDD9"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1BA8E06D" w14:textId="77777777" w:rsidR="00900DB8" w:rsidRDefault="00000000">
            <w:pPr>
              <w:jc w:val="center"/>
            </w:pPr>
            <w:r>
              <w:rPr>
                <w:rFonts w:ascii="Arial" w:eastAsia="Arial" w:hAnsi="Arial" w:cs="Arial"/>
                <w:b/>
                <w:bCs/>
                <w:color w:val="FFFFFF"/>
                <w:sz w:val="26"/>
                <w:szCs w:val="26"/>
              </w:rPr>
              <w:t>03</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38B67EBA" w14:textId="77777777" w:rsidR="00900DB8" w:rsidRDefault="00000000">
            <w:pPr>
              <w:spacing w:before="20" w:after="20"/>
            </w:pPr>
            <w:r>
              <w:rPr>
                <w:rFonts w:ascii="Arial" w:eastAsia="Arial" w:hAnsi="Arial" w:cs="Arial"/>
                <w:b/>
                <w:bCs/>
                <w:color w:val="222222"/>
                <w:sz w:val="18"/>
                <w:szCs w:val="18"/>
              </w:rPr>
              <w:t>Escalation frequency</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4C288A33" w14:textId="77777777" w:rsidR="00900DB8" w:rsidRDefault="00000000">
            <w:pPr>
              <w:spacing w:before="20" w:after="20"/>
            </w:pPr>
            <w:r>
              <w:rPr>
                <w:rFonts w:ascii="Arial" w:eastAsia="Arial" w:hAnsi="Arial" w:cs="Arial"/>
                <w:color w:val="222222"/>
                <w:sz w:val="17"/>
                <w:szCs w:val="17"/>
              </w:rPr>
              <w:t>How often employees bring routine decisions to managers they should handle independently.</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4A4A9E31" w14:textId="77777777" w:rsidR="00900DB8" w:rsidRDefault="00000000">
            <w:pPr>
              <w:spacing w:before="20" w:after="20"/>
            </w:pPr>
            <w:r>
              <w:rPr>
                <w:rFonts w:ascii="Arial" w:eastAsia="Arial" w:hAnsi="Arial" w:cs="Arial"/>
                <w:color w:val="222222"/>
                <w:sz w:val="17"/>
                <w:szCs w:val="17"/>
              </w:rPr>
              <w:t>Manager calendars, one-on-one notes, sign-off requests on low-stakes decisions.</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2BA3AB93" w14:textId="77777777" w:rsidR="00900DB8" w:rsidRDefault="00000000">
            <w:pPr>
              <w:spacing w:before="20" w:after="20"/>
            </w:pPr>
            <w:r>
              <w:rPr>
                <w:rFonts w:ascii="Arial" w:eastAsia="Arial" w:hAnsi="Arial" w:cs="Arial"/>
                <w:color w:val="444444"/>
                <w:sz w:val="17"/>
                <w:szCs w:val="17"/>
              </w:rPr>
              <w:t>No decline in escalation = people using AI for drafts but still not trusting their own judgment.</w:t>
            </w:r>
          </w:p>
        </w:tc>
      </w:tr>
      <w:tr w:rsidR="00900DB8" w14:paraId="7E70E767"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4CC0B78E" w14:textId="77777777" w:rsidR="00900DB8" w:rsidRDefault="00000000">
            <w:pPr>
              <w:jc w:val="center"/>
            </w:pPr>
            <w:r>
              <w:rPr>
                <w:rFonts w:ascii="Arial" w:eastAsia="Arial" w:hAnsi="Arial" w:cs="Arial"/>
                <w:b/>
                <w:bCs/>
                <w:color w:val="FFFFFF"/>
                <w:sz w:val="26"/>
                <w:szCs w:val="26"/>
              </w:rPr>
              <w:t>04</w:t>
            </w:r>
          </w:p>
        </w:tc>
        <w:tc>
          <w:tcPr>
            <w:tcW w:w="17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vAlign w:val="center"/>
          </w:tcPr>
          <w:p w14:paraId="184EA7BE" w14:textId="77777777" w:rsidR="00900DB8" w:rsidRDefault="00000000">
            <w:pPr>
              <w:spacing w:before="20" w:after="20"/>
            </w:pPr>
            <w:r>
              <w:rPr>
                <w:rFonts w:ascii="Arial" w:eastAsia="Arial" w:hAnsi="Arial" w:cs="Arial"/>
                <w:b/>
                <w:bCs/>
                <w:color w:val="222222"/>
                <w:sz w:val="18"/>
                <w:szCs w:val="18"/>
              </w:rPr>
              <w:t>First-draft pass rate</w:t>
            </w:r>
          </w:p>
        </w:tc>
        <w:tc>
          <w:tcPr>
            <w:tcW w:w="31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1C85DFBE" w14:textId="77777777" w:rsidR="00900DB8" w:rsidRDefault="00000000">
            <w:pPr>
              <w:spacing w:before="20" w:after="20"/>
            </w:pPr>
            <w:r>
              <w:rPr>
                <w:rFonts w:ascii="Arial" w:eastAsia="Arial" w:hAnsi="Arial" w:cs="Arial"/>
                <w:color w:val="222222"/>
                <w:sz w:val="17"/>
                <w:szCs w:val="17"/>
              </w:rPr>
              <w:t>What % of first drafts move forward without significant revision? Track before and after.</w:t>
            </w:r>
          </w:p>
        </w:tc>
        <w:tc>
          <w:tcPr>
            <w:tcW w:w="35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56E54CF2" w14:textId="77777777" w:rsidR="00900DB8" w:rsidRDefault="00000000">
            <w:pPr>
              <w:spacing w:before="20" w:after="20"/>
            </w:pPr>
            <w:r>
              <w:rPr>
                <w:rFonts w:ascii="Arial" w:eastAsia="Arial" w:hAnsi="Arial" w:cs="Arial"/>
                <w:color w:val="222222"/>
                <w:sz w:val="17"/>
                <w:szCs w:val="17"/>
              </w:rPr>
              <w:t>Review history in docs, CRM notes, approval workflow logs. Define 'significant' in advance.</w:t>
            </w:r>
          </w:p>
        </w:tc>
        <w:tc>
          <w:tcPr>
            <w:tcW w:w="326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35C5C059" w14:textId="77777777" w:rsidR="00900DB8" w:rsidRDefault="00000000">
            <w:pPr>
              <w:spacing w:before="20" w:after="20"/>
            </w:pPr>
            <w:r>
              <w:rPr>
                <w:rFonts w:ascii="Arial" w:eastAsia="Arial" w:hAnsi="Arial" w:cs="Arial"/>
                <w:color w:val="444444"/>
                <w:sz w:val="17"/>
                <w:szCs w:val="17"/>
              </w:rPr>
              <w:t>Pass rate flat or declining = AI drafts require as much editing as before.</w:t>
            </w:r>
          </w:p>
        </w:tc>
      </w:tr>
      <w:tr w:rsidR="00900DB8" w14:paraId="64FF41FD"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4C6A48C9" w14:textId="77777777" w:rsidR="00900DB8" w:rsidRDefault="00000000">
            <w:pPr>
              <w:jc w:val="center"/>
            </w:pPr>
            <w:r>
              <w:rPr>
                <w:rFonts w:ascii="Arial" w:eastAsia="Arial" w:hAnsi="Arial" w:cs="Arial"/>
                <w:b/>
                <w:bCs/>
                <w:color w:val="FFFFFF"/>
                <w:sz w:val="26"/>
                <w:szCs w:val="26"/>
              </w:rPr>
              <w:t>05</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2477364A" w14:textId="77777777" w:rsidR="00900DB8" w:rsidRDefault="00000000">
            <w:pPr>
              <w:spacing w:before="20" w:after="20"/>
            </w:pPr>
            <w:r>
              <w:rPr>
                <w:rFonts w:ascii="Arial" w:eastAsia="Arial" w:hAnsi="Arial" w:cs="Arial"/>
                <w:b/>
                <w:bCs/>
                <w:color w:val="222222"/>
                <w:sz w:val="18"/>
                <w:szCs w:val="18"/>
              </w:rPr>
              <w:t>Tool substitution rate</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0C6A849C" w14:textId="77777777" w:rsidR="00900DB8" w:rsidRDefault="00000000">
            <w:pPr>
              <w:spacing w:before="20" w:after="20"/>
            </w:pPr>
            <w:r>
              <w:rPr>
                <w:rFonts w:ascii="Arial" w:eastAsia="Arial" w:hAnsi="Arial" w:cs="Arial"/>
                <w:color w:val="222222"/>
                <w:sz w:val="17"/>
                <w:szCs w:val="17"/>
              </w:rPr>
              <w:t>Of tasks that could be AI-assisted, what % actually are — vs. reverting to the old method?</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6D6E1256" w14:textId="77777777" w:rsidR="00900DB8" w:rsidRDefault="00000000">
            <w:pPr>
              <w:spacing w:before="20" w:after="20"/>
            </w:pPr>
            <w:r>
              <w:rPr>
                <w:rFonts w:ascii="Arial" w:eastAsia="Arial" w:hAnsi="Arial" w:cs="Arial"/>
                <w:color w:val="222222"/>
                <w:sz w:val="17"/>
                <w:szCs w:val="17"/>
              </w:rPr>
              <w:t>Spot-check actual work samples. Login data won't show this — you need to observe the work.</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32C259E4" w14:textId="77777777" w:rsidR="00900DB8" w:rsidRDefault="00000000">
            <w:pPr>
              <w:spacing w:before="20" w:after="20"/>
            </w:pPr>
            <w:r>
              <w:rPr>
                <w:rFonts w:ascii="Arial" w:eastAsia="Arial" w:hAnsi="Arial" w:cs="Arial"/>
                <w:color w:val="444444"/>
                <w:sz w:val="17"/>
                <w:szCs w:val="17"/>
              </w:rPr>
              <w:t>High logins, low substitution = performative adoption. People log in, then do it the old way.</w:t>
            </w:r>
          </w:p>
        </w:tc>
      </w:tr>
    </w:tbl>
    <w:p w14:paraId="2F936FA9" w14:textId="77777777" w:rsidR="00900DB8" w:rsidRDefault="00900DB8">
      <w:pPr>
        <w:spacing w:before="180"/>
      </w:pPr>
    </w:p>
    <w:p w14:paraId="462F7DB0" w14:textId="77777777" w:rsidR="00900DB8" w:rsidRDefault="00000000">
      <w:pPr>
        <w:pBdr>
          <w:top w:val="single" w:sz="6" w:space="1" w:color="2E6DB4"/>
        </w:pBdr>
        <w:spacing w:before="120"/>
      </w:pPr>
      <w:r>
        <w:rPr>
          <w:rFonts w:ascii="Arial" w:eastAsia="Arial" w:hAnsi="Arial" w:cs="Arial"/>
          <w:color w:val="666666"/>
          <w:sz w:val="15"/>
          <w:szCs w:val="15"/>
        </w:rPr>
        <w:t xml:space="preserve">Marin Consulting Group  |  Expert change management for AI and technology transformations  |  </w:t>
      </w:r>
      <w:r>
        <w:rPr>
          <w:rFonts w:ascii="Arial" w:eastAsia="Arial" w:hAnsi="Arial" w:cs="Arial"/>
          <w:b/>
          <w:bCs/>
          <w:color w:val="2E6DB4"/>
          <w:sz w:val="15"/>
          <w:szCs w:val="15"/>
        </w:rPr>
        <w:t>www.marincg.com</w:t>
      </w:r>
      <w:r>
        <w:rPr>
          <w:rFonts w:ascii="Arial" w:eastAsia="Arial" w:hAnsi="Arial" w:cs="Arial"/>
          <w:i/>
          <w:iCs/>
          <w:color w:val="666666"/>
          <w:sz w:val="15"/>
          <w:szCs w:val="15"/>
        </w:rPr>
        <w:t xml:space="preserve">  |  88% of projects with excellent change management meet or exceed objectives. 13% without.</w:t>
      </w:r>
    </w:p>
    <w:p w14:paraId="26F593DE" w14:textId="77777777" w:rsidR="00900DB8" w:rsidRDefault="00900DB8">
      <w:pPr>
        <w:sectPr w:rsidR="00900DB8">
          <w:pgSz w:w="15840" w:h="12240"/>
          <w:pgMar w:top="700" w:right="700" w:bottom="700" w:left="700" w:header="708" w:footer="708" w:gutter="0"/>
          <w:cols w:space="720"/>
          <w:docGrid w:linePitch="360"/>
        </w:sectPr>
      </w:pPr>
    </w:p>
    <w:p w14:paraId="363677B4" w14:textId="77777777" w:rsidR="00900DB8" w:rsidRDefault="00000000">
      <w:pPr>
        <w:spacing w:after="60"/>
      </w:pPr>
      <w:r>
        <w:rPr>
          <w:rFonts w:ascii="Arial" w:eastAsia="Arial" w:hAnsi="Arial" w:cs="Arial"/>
          <w:b/>
          <w:bCs/>
          <w:color w:val="1B3A6B"/>
          <w:sz w:val="32"/>
          <w:szCs w:val="32"/>
        </w:rPr>
        <w:lastRenderedPageBreak/>
        <w:t>AI BEHAVIOR CHANGE MEASUREMENT FRAMEWORK</w:t>
      </w:r>
    </w:p>
    <w:p w14:paraId="629AF5E0" w14:textId="77777777" w:rsidR="00900DB8" w:rsidRDefault="00000000">
      <w:pPr>
        <w:pBdr>
          <w:bottom w:val="single" w:sz="8" w:space="1" w:color="2E6DB4"/>
        </w:pBdr>
        <w:spacing w:after="120"/>
      </w:pPr>
      <w:r>
        <w:rPr>
          <w:rFonts w:ascii="Arial" w:eastAsia="Arial" w:hAnsi="Arial" w:cs="Arial"/>
          <w:i/>
          <w:iCs/>
          <w:color w:val="666666"/>
        </w:rPr>
        <w:t xml:space="preserve">Page 2 of 2  —  Output quality, capability spread, and lagging confirmation metrics.  </w:t>
      </w:r>
      <w:r>
        <w:rPr>
          <w:rFonts w:ascii="Arial" w:eastAsia="Arial" w:hAnsi="Arial" w:cs="Arial"/>
          <w:b/>
          <w:bCs/>
          <w:color w:val="2E6DB4"/>
        </w:rPr>
        <w:t>marincg.com</w:t>
      </w:r>
    </w:p>
    <w:p w14:paraId="6DD78922" w14:textId="77777777" w:rsidR="00900DB8" w:rsidRDefault="00000000">
      <w:pPr>
        <w:spacing w:before="160" w:after="80"/>
      </w:pPr>
      <w:r>
        <w:rPr>
          <w:rFonts w:ascii="Arial" w:eastAsia="Arial" w:hAnsi="Arial" w:cs="Arial"/>
          <w:b/>
          <w:bCs/>
          <w:caps/>
          <w:color w:val="2E6DB4"/>
          <w:sz w:val="17"/>
          <w:szCs w:val="17"/>
        </w:rPr>
        <w:t>OUTPUT QUALITY METRICS — measuring the work itself, not the process</w:t>
      </w:r>
    </w:p>
    <w:tbl>
      <w:tblPr>
        <w:tblW w:w="1444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2037"/>
        <w:gridCol w:w="3715"/>
        <w:gridCol w:w="4194"/>
        <w:gridCol w:w="3907"/>
      </w:tblGrid>
      <w:tr w:rsidR="00900DB8" w14:paraId="2EDE836B"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00B4D9BD" w14:textId="77777777" w:rsidR="00900DB8" w:rsidRDefault="00000000">
            <w:r>
              <w:rPr>
                <w:rFonts w:ascii="Arial" w:eastAsia="Arial" w:hAnsi="Arial" w:cs="Arial"/>
                <w:b/>
                <w:bCs/>
                <w:color w:val="FFFFFF"/>
                <w:sz w:val="19"/>
                <w:szCs w:val="19"/>
              </w:rPr>
              <w:t>#</w:t>
            </w:r>
          </w:p>
        </w:tc>
        <w:tc>
          <w:tcPr>
            <w:tcW w:w="17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3511C8DB" w14:textId="77777777" w:rsidR="00900DB8" w:rsidRDefault="00000000">
            <w:r>
              <w:rPr>
                <w:rFonts w:ascii="Arial" w:eastAsia="Arial" w:hAnsi="Arial" w:cs="Arial"/>
                <w:b/>
                <w:bCs/>
                <w:color w:val="FFFFFF"/>
                <w:sz w:val="19"/>
                <w:szCs w:val="19"/>
              </w:rPr>
              <w:t>Metric</w:t>
            </w:r>
          </w:p>
        </w:tc>
        <w:tc>
          <w:tcPr>
            <w:tcW w:w="31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06533EF2" w14:textId="77777777" w:rsidR="00900DB8" w:rsidRDefault="00000000">
            <w:r>
              <w:rPr>
                <w:rFonts w:ascii="Arial" w:eastAsia="Arial" w:hAnsi="Arial" w:cs="Arial"/>
                <w:b/>
                <w:bCs/>
                <w:color w:val="FFFFFF"/>
                <w:sz w:val="19"/>
                <w:szCs w:val="19"/>
              </w:rPr>
              <w:t>What to measure</w:t>
            </w:r>
          </w:p>
        </w:tc>
        <w:tc>
          <w:tcPr>
            <w:tcW w:w="35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42A29089" w14:textId="77777777" w:rsidR="00900DB8" w:rsidRDefault="00000000">
            <w:r>
              <w:rPr>
                <w:rFonts w:ascii="Arial" w:eastAsia="Arial" w:hAnsi="Arial" w:cs="Arial"/>
                <w:b/>
                <w:bCs/>
                <w:color w:val="FFFFFF"/>
                <w:sz w:val="19"/>
                <w:szCs w:val="19"/>
              </w:rPr>
              <w:t>How to find it</w:t>
            </w:r>
          </w:p>
        </w:tc>
        <w:tc>
          <w:tcPr>
            <w:tcW w:w="326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718FA5F4" w14:textId="77777777" w:rsidR="00900DB8" w:rsidRDefault="00000000">
            <w:r>
              <w:rPr>
                <w:rFonts w:ascii="Arial" w:eastAsia="Arial" w:hAnsi="Arial" w:cs="Arial"/>
                <w:b/>
                <w:bCs/>
                <w:color w:val="FFFFFF"/>
                <w:sz w:val="19"/>
                <w:szCs w:val="19"/>
              </w:rPr>
              <w:t>Warning signal</w:t>
            </w:r>
          </w:p>
        </w:tc>
      </w:tr>
      <w:tr w:rsidR="00900DB8" w14:paraId="36F907F8"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29646A6D" w14:textId="77777777" w:rsidR="00900DB8" w:rsidRDefault="00000000">
            <w:pPr>
              <w:jc w:val="center"/>
            </w:pPr>
            <w:r>
              <w:rPr>
                <w:rFonts w:ascii="Arial" w:eastAsia="Arial" w:hAnsi="Arial" w:cs="Arial"/>
                <w:b/>
                <w:bCs/>
                <w:color w:val="FFFFFF"/>
                <w:sz w:val="26"/>
                <w:szCs w:val="26"/>
              </w:rPr>
              <w:t>06</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0C53A72D" w14:textId="77777777" w:rsidR="00900DB8" w:rsidRDefault="00000000">
            <w:pPr>
              <w:spacing w:before="20" w:after="20"/>
            </w:pPr>
            <w:r>
              <w:rPr>
                <w:rFonts w:ascii="Arial" w:eastAsia="Arial" w:hAnsi="Arial" w:cs="Arial"/>
                <w:b/>
                <w:bCs/>
                <w:color w:val="222222"/>
                <w:sz w:val="18"/>
                <w:szCs w:val="18"/>
              </w:rPr>
              <w:t>Blind review scoring</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00411915" w14:textId="77777777" w:rsidR="00900DB8" w:rsidRDefault="00000000">
            <w:pPr>
              <w:spacing w:before="20" w:after="20"/>
            </w:pPr>
            <w:r>
              <w:rPr>
                <w:rFonts w:ascii="Arial" w:eastAsia="Arial" w:hAnsi="Arial" w:cs="Arial"/>
                <w:color w:val="222222"/>
                <w:sz w:val="17"/>
                <w:szCs w:val="17"/>
              </w:rPr>
              <w:t>Sample outputs scored on a fixed rubric, blind to when they were produced. Before vs. 90 days after.</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5C6BE2CA" w14:textId="77777777" w:rsidR="00900DB8" w:rsidRDefault="00000000">
            <w:pPr>
              <w:spacing w:before="20" w:after="20"/>
            </w:pPr>
            <w:r>
              <w:rPr>
                <w:rFonts w:ascii="Arial" w:eastAsia="Arial" w:hAnsi="Arial" w:cs="Arial"/>
                <w:color w:val="222222"/>
                <w:sz w:val="17"/>
                <w:szCs w:val="17"/>
              </w:rPr>
              <w:t>Pull 10–15 outputs pre-launch and 10–15 at 90 days. Score on quality, completeness, accuracy.</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31E84703" w14:textId="77777777" w:rsidR="00900DB8" w:rsidRDefault="00000000">
            <w:pPr>
              <w:spacing w:before="20" w:after="20"/>
            </w:pPr>
            <w:r>
              <w:rPr>
                <w:rFonts w:ascii="Arial" w:eastAsia="Arial" w:hAnsi="Arial" w:cs="Arial"/>
                <w:color w:val="444444"/>
                <w:sz w:val="17"/>
                <w:szCs w:val="17"/>
              </w:rPr>
              <w:t>No improvement blind = AI is speeding up output, not improving it. Revisit how it's being used.</w:t>
            </w:r>
          </w:p>
        </w:tc>
      </w:tr>
      <w:tr w:rsidR="00900DB8" w14:paraId="1BF9DDAA"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0AB392AF" w14:textId="77777777" w:rsidR="00900DB8" w:rsidRDefault="00000000">
            <w:pPr>
              <w:jc w:val="center"/>
            </w:pPr>
            <w:r>
              <w:rPr>
                <w:rFonts w:ascii="Arial" w:eastAsia="Arial" w:hAnsi="Arial" w:cs="Arial"/>
                <w:b/>
                <w:bCs/>
                <w:color w:val="FFFFFF"/>
                <w:sz w:val="26"/>
                <w:szCs w:val="26"/>
              </w:rPr>
              <w:t>07</w:t>
            </w:r>
          </w:p>
        </w:tc>
        <w:tc>
          <w:tcPr>
            <w:tcW w:w="17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vAlign w:val="center"/>
          </w:tcPr>
          <w:p w14:paraId="260EF208" w14:textId="77777777" w:rsidR="00900DB8" w:rsidRDefault="00000000">
            <w:pPr>
              <w:spacing w:before="20" w:after="20"/>
            </w:pPr>
            <w:r>
              <w:rPr>
                <w:rFonts w:ascii="Arial" w:eastAsia="Arial" w:hAnsi="Arial" w:cs="Arial"/>
                <w:b/>
                <w:bCs/>
                <w:color w:val="222222"/>
                <w:sz w:val="18"/>
                <w:szCs w:val="18"/>
              </w:rPr>
              <w:t>Error &amp; exception rates</w:t>
            </w:r>
          </w:p>
        </w:tc>
        <w:tc>
          <w:tcPr>
            <w:tcW w:w="31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2667E810" w14:textId="77777777" w:rsidR="00900DB8" w:rsidRDefault="00000000">
            <w:pPr>
              <w:spacing w:before="20" w:after="20"/>
            </w:pPr>
            <w:r>
              <w:rPr>
                <w:rFonts w:ascii="Arial" w:eastAsia="Arial" w:hAnsi="Arial" w:cs="Arial"/>
                <w:color w:val="222222"/>
                <w:sz w:val="17"/>
                <w:szCs w:val="17"/>
              </w:rPr>
              <w:t>Rate of flagged issues, corrections, or compliance exceptions in trackable functions.</w:t>
            </w:r>
          </w:p>
        </w:tc>
        <w:tc>
          <w:tcPr>
            <w:tcW w:w="35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7B3E6867" w14:textId="77777777" w:rsidR="00900DB8" w:rsidRDefault="00000000">
            <w:pPr>
              <w:spacing w:before="20" w:after="20"/>
            </w:pPr>
            <w:r>
              <w:rPr>
                <w:rFonts w:ascii="Arial" w:eastAsia="Arial" w:hAnsi="Arial" w:cs="Arial"/>
                <w:color w:val="222222"/>
                <w:sz w:val="17"/>
                <w:szCs w:val="17"/>
              </w:rPr>
              <w:t>Finance exceptions, QA flags, compliance logs, customer complaint tickets.</w:t>
            </w:r>
          </w:p>
        </w:tc>
        <w:tc>
          <w:tcPr>
            <w:tcW w:w="326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24383945" w14:textId="77777777" w:rsidR="00900DB8" w:rsidRDefault="00000000">
            <w:pPr>
              <w:spacing w:before="20" w:after="20"/>
            </w:pPr>
            <w:r>
              <w:rPr>
                <w:rFonts w:ascii="Arial" w:eastAsia="Arial" w:hAnsi="Arial" w:cs="Arial"/>
                <w:color w:val="444444"/>
                <w:sz w:val="17"/>
                <w:szCs w:val="17"/>
              </w:rPr>
              <w:t>Flat or rising error rate = AI being used to produce faster, not more carefully.</w:t>
            </w:r>
          </w:p>
        </w:tc>
      </w:tr>
      <w:tr w:rsidR="00900DB8" w14:paraId="3D313EB1"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5BB9952D" w14:textId="77777777" w:rsidR="00900DB8" w:rsidRDefault="00000000">
            <w:pPr>
              <w:jc w:val="center"/>
            </w:pPr>
            <w:r>
              <w:rPr>
                <w:rFonts w:ascii="Arial" w:eastAsia="Arial" w:hAnsi="Arial" w:cs="Arial"/>
                <w:b/>
                <w:bCs/>
                <w:color w:val="FFFFFF"/>
                <w:sz w:val="26"/>
                <w:szCs w:val="26"/>
              </w:rPr>
              <w:t>08</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799CD80E" w14:textId="77777777" w:rsidR="00900DB8" w:rsidRDefault="00000000">
            <w:pPr>
              <w:spacing w:before="20" w:after="20"/>
            </w:pPr>
            <w:r>
              <w:rPr>
                <w:rFonts w:ascii="Arial" w:eastAsia="Arial" w:hAnsi="Arial" w:cs="Arial"/>
                <w:b/>
                <w:bCs/>
                <w:color w:val="222222"/>
                <w:sz w:val="18"/>
                <w:szCs w:val="18"/>
              </w:rPr>
              <w:t>Stakeholder satisfaction</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111982D5" w14:textId="77777777" w:rsidR="00900DB8" w:rsidRDefault="00000000">
            <w:pPr>
              <w:spacing w:before="20" w:after="20"/>
            </w:pPr>
            <w:r>
              <w:rPr>
                <w:rFonts w:ascii="Arial" w:eastAsia="Arial" w:hAnsi="Arial" w:cs="Arial"/>
                <w:color w:val="222222"/>
                <w:sz w:val="17"/>
                <w:szCs w:val="17"/>
              </w:rPr>
              <w:t>Do internal recipients of work say it meets their needs without follow-up clarification?</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1ABCCEAB" w14:textId="77777777" w:rsidR="00900DB8" w:rsidRDefault="00000000">
            <w:pPr>
              <w:spacing w:before="20" w:after="20"/>
            </w:pPr>
            <w:r>
              <w:rPr>
                <w:rFonts w:ascii="Arial" w:eastAsia="Arial" w:hAnsi="Arial" w:cs="Arial"/>
                <w:color w:val="222222"/>
                <w:sz w:val="17"/>
                <w:szCs w:val="17"/>
              </w:rPr>
              <w:t>Quarterly pulse: 'Did this deliverable require follow-up to clarify or correct?' Track over time.</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58512CD1" w14:textId="77777777" w:rsidR="00900DB8" w:rsidRDefault="00000000">
            <w:pPr>
              <w:spacing w:before="20" w:after="20"/>
            </w:pPr>
            <w:r>
              <w:rPr>
                <w:rFonts w:ascii="Arial" w:eastAsia="Arial" w:hAnsi="Arial" w:cs="Arial"/>
                <w:color w:val="444444"/>
                <w:sz w:val="17"/>
                <w:szCs w:val="17"/>
              </w:rPr>
              <w:t>Satisfaction flat while volume rises = more output, same value. Quantity ≠ quality.</w:t>
            </w:r>
          </w:p>
        </w:tc>
      </w:tr>
    </w:tbl>
    <w:p w14:paraId="253EF44E" w14:textId="77777777" w:rsidR="00900DB8" w:rsidRDefault="00000000">
      <w:pPr>
        <w:spacing w:before="160" w:after="80"/>
      </w:pPr>
      <w:r>
        <w:rPr>
          <w:rFonts w:ascii="Arial" w:eastAsia="Arial" w:hAnsi="Arial" w:cs="Arial"/>
          <w:b/>
          <w:bCs/>
          <w:caps/>
          <w:color w:val="2E6DB4"/>
          <w:sz w:val="17"/>
          <w:szCs w:val="17"/>
        </w:rPr>
        <w:t>CAPABILITY SPREAD METRICS — is change distributed or concentrated?</w:t>
      </w:r>
    </w:p>
    <w:tbl>
      <w:tblPr>
        <w:tblW w:w="1444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2037"/>
        <w:gridCol w:w="3715"/>
        <w:gridCol w:w="4194"/>
        <w:gridCol w:w="3907"/>
      </w:tblGrid>
      <w:tr w:rsidR="00900DB8" w14:paraId="0F93565E"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7B2F0C4E" w14:textId="77777777" w:rsidR="00900DB8" w:rsidRDefault="00000000">
            <w:r>
              <w:rPr>
                <w:rFonts w:ascii="Arial" w:eastAsia="Arial" w:hAnsi="Arial" w:cs="Arial"/>
                <w:b/>
                <w:bCs/>
                <w:color w:val="FFFFFF"/>
                <w:sz w:val="19"/>
                <w:szCs w:val="19"/>
              </w:rPr>
              <w:t>#</w:t>
            </w:r>
          </w:p>
        </w:tc>
        <w:tc>
          <w:tcPr>
            <w:tcW w:w="17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56F80079" w14:textId="77777777" w:rsidR="00900DB8" w:rsidRDefault="00000000">
            <w:r>
              <w:rPr>
                <w:rFonts w:ascii="Arial" w:eastAsia="Arial" w:hAnsi="Arial" w:cs="Arial"/>
                <w:b/>
                <w:bCs/>
                <w:color w:val="FFFFFF"/>
                <w:sz w:val="19"/>
                <w:szCs w:val="19"/>
              </w:rPr>
              <w:t>Metric</w:t>
            </w:r>
          </w:p>
        </w:tc>
        <w:tc>
          <w:tcPr>
            <w:tcW w:w="31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033710C8" w14:textId="77777777" w:rsidR="00900DB8" w:rsidRDefault="00000000">
            <w:r>
              <w:rPr>
                <w:rFonts w:ascii="Arial" w:eastAsia="Arial" w:hAnsi="Arial" w:cs="Arial"/>
                <w:b/>
                <w:bCs/>
                <w:color w:val="FFFFFF"/>
                <w:sz w:val="19"/>
                <w:szCs w:val="19"/>
              </w:rPr>
              <w:t>What to measure</w:t>
            </w:r>
          </w:p>
        </w:tc>
        <w:tc>
          <w:tcPr>
            <w:tcW w:w="350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728B6E91" w14:textId="77777777" w:rsidR="00900DB8" w:rsidRDefault="00000000">
            <w:r>
              <w:rPr>
                <w:rFonts w:ascii="Arial" w:eastAsia="Arial" w:hAnsi="Arial" w:cs="Arial"/>
                <w:b/>
                <w:bCs/>
                <w:color w:val="FFFFFF"/>
                <w:sz w:val="19"/>
                <w:szCs w:val="19"/>
              </w:rPr>
              <w:t>How to find it</w:t>
            </w:r>
          </w:p>
        </w:tc>
        <w:tc>
          <w:tcPr>
            <w:tcW w:w="3260" w:type="dxa"/>
            <w:tcBorders>
              <w:top w:val="none" w:sz="0" w:space="0" w:color="FFFFFF"/>
              <w:left w:val="none" w:sz="0" w:space="0" w:color="FFFFFF"/>
              <w:bottom w:val="none" w:sz="0" w:space="0" w:color="FFFFFF"/>
              <w:right w:val="none" w:sz="0" w:space="0" w:color="FFFFFF"/>
            </w:tcBorders>
            <w:shd w:val="clear" w:color="auto" w:fill="1B3A6B"/>
            <w:tcMar>
              <w:top w:w="100" w:type="dxa"/>
              <w:left w:w="140" w:type="dxa"/>
              <w:bottom w:w="100" w:type="dxa"/>
              <w:right w:w="140" w:type="dxa"/>
            </w:tcMar>
            <w:vAlign w:val="center"/>
          </w:tcPr>
          <w:p w14:paraId="6A1DAD6E" w14:textId="77777777" w:rsidR="00900DB8" w:rsidRDefault="00000000">
            <w:r>
              <w:rPr>
                <w:rFonts w:ascii="Arial" w:eastAsia="Arial" w:hAnsi="Arial" w:cs="Arial"/>
                <w:b/>
                <w:bCs/>
                <w:color w:val="FFFFFF"/>
                <w:sz w:val="19"/>
                <w:szCs w:val="19"/>
              </w:rPr>
              <w:t>Warning signal</w:t>
            </w:r>
          </w:p>
        </w:tc>
      </w:tr>
      <w:tr w:rsidR="00900DB8" w14:paraId="4E867BD1"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2264FBDD" w14:textId="77777777" w:rsidR="00900DB8" w:rsidRDefault="00000000">
            <w:pPr>
              <w:jc w:val="center"/>
            </w:pPr>
            <w:r>
              <w:rPr>
                <w:rFonts w:ascii="Arial" w:eastAsia="Arial" w:hAnsi="Arial" w:cs="Arial"/>
                <w:b/>
                <w:bCs/>
                <w:color w:val="FFFFFF"/>
                <w:sz w:val="26"/>
                <w:szCs w:val="26"/>
              </w:rPr>
              <w:t>09</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171F0B1B" w14:textId="77777777" w:rsidR="00900DB8" w:rsidRDefault="00000000">
            <w:pPr>
              <w:spacing w:before="20" w:after="20"/>
            </w:pPr>
            <w:r>
              <w:rPr>
                <w:rFonts w:ascii="Arial" w:eastAsia="Arial" w:hAnsi="Arial" w:cs="Arial"/>
                <w:b/>
                <w:bCs/>
                <w:color w:val="222222"/>
                <w:sz w:val="18"/>
                <w:szCs w:val="18"/>
              </w:rPr>
              <w:t>Variance across performers</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1CF9B8AB" w14:textId="77777777" w:rsidR="00900DB8" w:rsidRDefault="00000000">
            <w:pPr>
              <w:spacing w:before="20" w:after="20"/>
            </w:pPr>
            <w:r>
              <w:rPr>
                <w:rFonts w:ascii="Arial" w:eastAsia="Arial" w:hAnsi="Arial" w:cs="Arial"/>
                <w:color w:val="222222"/>
                <w:sz w:val="17"/>
                <w:szCs w:val="17"/>
              </w:rPr>
              <w:t>Gap between top and median performers on complex tasks. Should narrow as AI raises the floor.</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332E31E4" w14:textId="77777777" w:rsidR="00900DB8" w:rsidRDefault="00000000">
            <w:pPr>
              <w:spacing w:before="20" w:after="20"/>
            </w:pPr>
            <w:r>
              <w:rPr>
                <w:rFonts w:ascii="Arial" w:eastAsia="Arial" w:hAnsi="Arial" w:cs="Arial"/>
                <w:color w:val="222222"/>
                <w:sz w:val="17"/>
                <w:szCs w:val="17"/>
              </w:rPr>
              <w:t>Compare output quality or task speed scores across your team sample at baseline and 90 days.</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0E3CD365" w14:textId="77777777" w:rsidR="00900DB8" w:rsidRDefault="00000000">
            <w:pPr>
              <w:spacing w:before="20" w:after="20"/>
            </w:pPr>
            <w:r>
              <w:rPr>
                <w:rFonts w:ascii="Arial" w:eastAsia="Arial" w:hAnsi="Arial" w:cs="Arial"/>
                <w:color w:val="444444"/>
                <w:sz w:val="17"/>
                <w:szCs w:val="17"/>
              </w:rPr>
              <w:t>Widening gap = AI amplifying strong performers only. The floor hasn't moved.</w:t>
            </w:r>
          </w:p>
        </w:tc>
      </w:tr>
      <w:tr w:rsidR="00900DB8" w14:paraId="4089AEAA"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1848EEA0" w14:textId="77777777" w:rsidR="00900DB8" w:rsidRDefault="00000000">
            <w:pPr>
              <w:jc w:val="center"/>
            </w:pPr>
            <w:r>
              <w:rPr>
                <w:rFonts w:ascii="Arial" w:eastAsia="Arial" w:hAnsi="Arial" w:cs="Arial"/>
                <w:b/>
                <w:bCs/>
                <w:color w:val="FFFFFF"/>
                <w:sz w:val="26"/>
                <w:szCs w:val="26"/>
              </w:rPr>
              <w:t>10</w:t>
            </w:r>
          </w:p>
        </w:tc>
        <w:tc>
          <w:tcPr>
            <w:tcW w:w="17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vAlign w:val="center"/>
          </w:tcPr>
          <w:p w14:paraId="40F7209B" w14:textId="77777777" w:rsidR="00900DB8" w:rsidRDefault="00000000">
            <w:pPr>
              <w:spacing w:before="20" w:after="20"/>
            </w:pPr>
            <w:r>
              <w:rPr>
                <w:rFonts w:ascii="Arial" w:eastAsia="Arial" w:hAnsi="Arial" w:cs="Arial"/>
                <w:b/>
                <w:bCs/>
                <w:color w:val="222222"/>
                <w:sz w:val="18"/>
                <w:szCs w:val="18"/>
              </w:rPr>
              <w:t>New task attempt rate</w:t>
            </w:r>
          </w:p>
        </w:tc>
        <w:tc>
          <w:tcPr>
            <w:tcW w:w="31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63AAA1CA" w14:textId="77777777" w:rsidR="00900DB8" w:rsidRDefault="00000000">
            <w:pPr>
              <w:spacing w:before="20" w:after="20"/>
            </w:pPr>
            <w:r>
              <w:rPr>
                <w:rFonts w:ascii="Arial" w:eastAsia="Arial" w:hAnsi="Arial" w:cs="Arial"/>
                <w:color w:val="222222"/>
                <w:sz w:val="17"/>
                <w:szCs w:val="17"/>
              </w:rPr>
              <w:t>Are people taking on work they previously avoided or escalated? Track volunteer rates on stretch tasks.</w:t>
            </w:r>
          </w:p>
        </w:tc>
        <w:tc>
          <w:tcPr>
            <w:tcW w:w="350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240DA72A" w14:textId="77777777" w:rsidR="00900DB8" w:rsidRDefault="00000000">
            <w:pPr>
              <w:spacing w:before="20" w:after="20"/>
            </w:pPr>
            <w:r>
              <w:rPr>
                <w:rFonts w:ascii="Arial" w:eastAsia="Arial" w:hAnsi="Arial" w:cs="Arial"/>
                <w:color w:val="222222"/>
                <w:sz w:val="17"/>
                <w:szCs w:val="17"/>
              </w:rPr>
              <w:t>Project assignments, self-initiated work, types of questions people stop asking managers.</w:t>
            </w:r>
          </w:p>
        </w:tc>
        <w:tc>
          <w:tcPr>
            <w:tcW w:w="3260" w:type="dxa"/>
            <w:tcBorders>
              <w:top w:val="none" w:sz="0" w:space="0" w:color="FFFFFF"/>
              <w:left w:val="none" w:sz="0" w:space="0" w:color="FFFFFF"/>
              <w:bottom w:val="single" w:sz="2" w:space="0" w:color="FFFFFF"/>
              <w:right w:val="none" w:sz="0" w:space="0" w:color="FFFFFF"/>
            </w:tcBorders>
            <w:shd w:val="clear" w:color="auto" w:fill="EDF2FA"/>
            <w:tcMar>
              <w:top w:w="110" w:type="dxa"/>
              <w:left w:w="130" w:type="dxa"/>
              <w:bottom w:w="110" w:type="dxa"/>
              <w:right w:w="130" w:type="dxa"/>
            </w:tcMar>
          </w:tcPr>
          <w:p w14:paraId="3AD2B57F" w14:textId="77777777" w:rsidR="00900DB8" w:rsidRDefault="00000000">
            <w:pPr>
              <w:spacing w:before="20" w:after="20"/>
            </w:pPr>
            <w:r>
              <w:rPr>
                <w:rFonts w:ascii="Arial" w:eastAsia="Arial" w:hAnsi="Arial" w:cs="Arial"/>
                <w:color w:val="444444"/>
                <w:sz w:val="17"/>
                <w:szCs w:val="17"/>
              </w:rPr>
              <w:t>No change in task range = AI being used to do old work faster, not to expand capability.</w:t>
            </w:r>
          </w:p>
        </w:tc>
      </w:tr>
      <w:tr w:rsidR="00900DB8" w14:paraId="35827AF5" w14:textId="77777777">
        <w:tblPrEx>
          <w:tblCellMar>
            <w:top w:w="0" w:type="dxa"/>
            <w:bottom w:w="0" w:type="dxa"/>
          </w:tblCellMar>
        </w:tblPrEx>
        <w:tc>
          <w:tcPr>
            <w:tcW w:w="440" w:type="dxa"/>
            <w:tcBorders>
              <w:top w:val="none" w:sz="0" w:space="0" w:color="FFFFFF"/>
              <w:left w:val="none" w:sz="0" w:space="0" w:color="FFFFFF"/>
              <w:bottom w:val="single" w:sz="2" w:space="0" w:color="FFFFFF"/>
              <w:right w:val="none" w:sz="0" w:space="0" w:color="FFFFFF"/>
            </w:tcBorders>
            <w:shd w:val="clear" w:color="auto" w:fill="1B3A6B"/>
            <w:tcMar>
              <w:top w:w="110" w:type="dxa"/>
              <w:left w:w="100" w:type="dxa"/>
              <w:bottom w:w="110" w:type="dxa"/>
              <w:right w:w="100" w:type="dxa"/>
            </w:tcMar>
            <w:vAlign w:val="center"/>
          </w:tcPr>
          <w:p w14:paraId="7CFE8E50" w14:textId="77777777" w:rsidR="00900DB8" w:rsidRDefault="00000000">
            <w:pPr>
              <w:jc w:val="center"/>
            </w:pPr>
            <w:r>
              <w:rPr>
                <w:rFonts w:ascii="Arial" w:eastAsia="Arial" w:hAnsi="Arial" w:cs="Arial"/>
                <w:b/>
                <w:bCs/>
                <w:color w:val="FFFFFF"/>
                <w:sz w:val="26"/>
                <w:szCs w:val="26"/>
              </w:rPr>
              <w:t>11</w:t>
            </w:r>
          </w:p>
        </w:tc>
        <w:tc>
          <w:tcPr>
            <w:tcW w:w="17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vAlign w:val="center"/>
          </w:tcPr>
          <w:p w14:paraId="4CA69C1B" w14:textId="77777777" w:rsidR="00900DB8" w:rsidRDefault="00000000">
            <w:pPr>
              <w:spacing w:before="20" w:after="20"/>
            </w:pPr>
            <w:r>
              <w:rPr>
                <w:rFonts w:ascii="Arial" w:eastAsia="Arial" w:hAnsi="Arial" w:cs="Arial"/>
                <w:b/>
                <w:bCs/>
                <w:color w:val="222222"/>
                <w:sz w:val="18"/>
                <w:szCs w:val="18"/>
              </w:rPr>
              <w:t>Cycle time on workflows</w:t>
            </w:r>
          </w:p>
        </w:tc>
        <w:tc>
          <w:tcPr>
            <w:tcW w:w="31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2EBF9A31" w14:textId="77777777" w:rsidR="00900DB8" w:rsidRDefault="00000000">
            <w:pPr>
              <w:spacing w:before="20" w:after="20"/>
            </w:pPr>
            <w:r>
              <w:rPr>
                <w:rFonts w:ascii="Arial" w:eastAsia="Arial" w:hAnsi="Arial" w:cs="Arial"/>
                <w:color w:val="222222"/>
                <w:sz w:val="17"/>
                <w:szCs w:val="17"/>
              </w:rPr>
              <w:t>End-to-end time on defined processes: contract review, ticket resolution, budget variance analysis.</w:t>
            </w:r>
          </w:p>
        </w:tc>
        <w:tc>
          <w:tcPr>
            <w:tcW w:w="350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078B103D" w14:textId="77777777" w:rsidR="00900DB8" w:rsidRDefault="00000000">
            <w:pPr>
              <w:spacing w:before="20" w:after="20"/>
            </w:pPr>
            <w:r>
              <w:rPr>
                <w:rFonts w:ascii="Arial" w:eastAsia="Arial" w:hAnsi="Arial" w:cs="Arial"/>
                <w:color w:val="222222"/>
                <w:sz w:val="17"/>
                <w:szCs w:val="17"/>
              </w:rPr>
              <w:t>Ticketing system or workflow timestamps. Pick processes that run frequently enough to sample.</w:t>
            </w:r>
          </w:p>
        </w:tc>
        <w:tc>
          <w:tcPr>
            <w:tcW w:w="3260" w:type="dxa"/>
            <w:tcBorders>
              <w:top w:val="none" w:sz="0" w:space="0" w:color="FFFFFF"/>
              <w:left w:val="none" w:sz="0" w:space="0" w:color="FFFFFF"/>
              <w:bottom w:val="single" w:sz="2" w:space="0" w:color="FFFFFF"/>
              <w:right w:val="none" w:sz="0" w:space="0" w:color="FFFFFF"/>
            </w:tcBorders>
            <w:shd w:val="clear" w:color="auto" w:fill="F4F4F4"/>
            <w:tcMar>
              <w:top w:w="110" w:type="dxa"/>
              <w:left w:w="130" w:type="dxa"/>
              <w:bottom w:w="110" w:type="dxa"/>
              <w:right w:w="130" w:type="dxa"/>
            </w:tcMar>
          </w:tcPr>
          <w:p w14:paraId="7CFA9DBE" w14:textId="77777777" w:rsidR="00900DB8" w:rsidRDefault="00000000">
            <w:pPr>
              <w:spacing w:before="20" w:after="20"/>
            </w:pPr>
            <w:r>
              <w:rPr>
                <w:rFonts w:ascii="Arial" w:eastAsia="Arial" w:hAnsi="Arial" w:cs="Arial"/>
                <w:color w:val="444444"/>
                <w:sz w:val="17"/>
                <w:szCs w:val="17"/>
              </w:rPr>
              <w:t>Cycle time flat = AI inserted as optional layer. Process itself hasn't changed.</w:t>
            </w:r>
          </w:p>
        </w:tc>
      </w:tr>
    </w:tbl>
    <w:p w14:paraId="69B3E96F" w14:textId="77777777" w:rsidR="00900DB8" w:rsidRDefault="00000000">
      <w:pPr>
        <w:spacing w:before="160" w:after="80"/>
      </w:pPr>
      <w:r>
        <w:rPr>
          <w:rFonts w:ascii="Arial" w:eastAsia="Arial" w:hAnsi="Arial" w:cs="Arial"/>
          <w:b/>
          <w:bCs/>
          <w:caps/>
          <w:color w:val="2E6DB4"/>
          <w:sz w:val="17"/>
          <w:szCs w:val="17"/>
        </w:rPr>
        <w:t>LAGGING INDICATORS — confirmation that change has stuck (6–12 months)</w:t>
      </w:r>
    </w:p>
    <w:tbl>
      <w:tblPr>
        <w:tblW w:w="1444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00"/>
        <w:gridCol w:w="3600"/>
        <w:gridCol w:w="200"/>
        <w:gridCol w:w="6840"/>
      </w:tblGrid>
      <w:tr w:rsidR="00900DB8" w14:paraId="595FC822"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tcPr>
          <w:p w14:paraId="360F3EC3" w14:textId="77777777" w:rsidR="00900DB8" w:rsidRDefault="00000000">
            <w:pPr>
              <w:spacing w:after="60"/>
            </w:pPr>
            <w:r>
              <w:rPr>
                <w:rFonts w:ascii="Arial" w:eastAsia="Arial" w:hAnsi="Arial" w:cs="Arial"/>
                <w:b/>
                <w:bCs/>
                <w:color w:val="FFFFFF"/>
                <w:sz w:val="19"/>
                <w:szCs w:val="19"/>
              </w:rPr>
              <w:t>Output per employee</w:t>
            </w:r>
          </w:p>
          <w:p w14:paraId="01E786DA" w14:textId="77777777" w:rsidR="00900DB8" w:rsidRDefault="00000000">
            <w:r>
              <w:rPr>
                <w:rFonts w:ascii="Arial" w:eastAsia="Arial" w:hAnsi="Arial" w:cs="Arial"/>
                <w:color w:val="C8D8F0"/>
                <w:sz w:val="16"/>
                <w:szCs w:val="16"/>
              </w:rPr>
              <w:t>Revenue or deliverable volume per headcount in AI-assisted roles. The most direct ROI signal available — and the hardest to argue with.</w:t>
            </w:r>
          </w:p>
        </w:tc>
        <w:tc>
          <w:tcPr>
            <w:tcW w:w="200" w:type="dxa"/>
            <w:tcBorders>
              <w:top w:val="none" w:sz="0" w:space="0" w:color="FFFFFF"/>
              <w:left w:val="none" w:sz="0" w:space="0" w:color="FFFFFF"/>
              <w:bottom w:val="none" w:sz="0" w:space="0" w:color="FFFFFF"/>
              <w:right w:val="none" w:sz="0" w:space="0" w:color="FFFFFF"/>
            </w:tcBorders>
          </w:tcPr>
          <w:p w14:paraId="2A2CFBAA" w14:textId="77777777" w:rsidR="00900DB8" w:rsidRDefault="00900DB8"/>
        </w:tc>
        <w:tc>
          <w:tcPr>
            <w:tcW w:w="360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tcPr>
          <w:p w14:paraId="1ABF7185" w14:textId="77777777" w:rsidR="00900DB8" w:rsidRDefault="00000000">
            <w:pPr>
              <w:spacing w:after="60"/>
            </w:pPr>
            <w:r>
              <w:rPr>
                <w:rFonts w:ascii="Arial" w:eastAsia="Arial" w:hAnsi="Arial" w:cs="Arial"/>
                <w:b/>
                <w:bCs/>
                <w:color w:val="FFFFFF"/>
                <w:sz w:val="19"/>
                <w:szCs w:val="19"/>
              </w:rPr>
              <w:t>Error-driven cost</w:t>
            </w:r>
          </w:p>
          <w:p w14:paraId="3D72ADBE" w14:textId="77777777" w:rsidR="00900DB8" w:rsidRDefault="00000000">
            <w:r>
              <w:rPr>
                <w:rFonts w:ascii="Arial" w:eastAsia="Arial" w:hAnsi="Arial" w:cs="Arial"/>
                <w:color w:val="C8D8F0"/>
                <w:sz w:val="16"/>
                <w:szCs w:val="16"/>
              </w:rPr>
              <w:t>Rework cost, customer recovery, compliance penalties. Declining spend here confirms output quality has genuinely improved — not just volume.</w:t>
            </w:r>
          </w:p>
        </w:tc>
        <w:tc>
          <w:tcPr>
            <w:tcW w:w="200" w:type="dxa"/>
            <w:tcBorders>
              <w:top w:val="none" w:sz="0" w:space="0" w:color="FFFFFF"/>
              <w:left w:val="none" w:sz="0" w:space="0" w:color="FFFFFF"/>
              <w:bottom w:val="none" w:sz="0" w:space="0" w:color="FFFFFF"/>
              <w:right w:val="none" w:sz="0" w:space="0" w:color="FFFFFF"/>
            </w:tcBorders>
          </w:tcPr>
          <w:p w14:paraId="7380353A" w14:textId="77777777" w:rsidR="00900DB8" w:rsidRDefault="00900DB8"/>
        </w:tc>
        <w:tc>
          <w:tcPr>
            <w:tcW w:w="6840" w:type="dxa"/>
            <w:tcBorders>
              <w:top w:val="none" w:sz="0" w:space="0" w:color="FFFFFF"/>
              <w:left w:val="none" w:sz="0" w:space="0" w:color="FFFFFF"/>
              <w:bottom w:val="none" w:sz="0" w:space="0" w:color="FFFFFF"/>
              <w:right w:val="none" w:sz="0" w:space="0" w:color="FFFFFF"/>
            </w:tcBorders>
            <w:shd w:val="clear" w:color="auto" w:fill="1B3A6B"/>
            <w:tcMar>
              <w:top w:w="120" w:type="dxa"/>
              <w:left w:w="160" w:type="dxa"/>
              <w:bottom w:w="120" w:type="dxa"/>
              <w:right w:w="160" w:type="dxa"/>
            </w:tcMar>
          </w:tcPr>
          <w:p w14:paraId="1886DECB" w14:textId="77777777" w:rsidR="00900DB8" w:rsidRDefault="00000000">
            <w:pPr>
              <w:spacing w:after="60"/>
            </w:pPr>
            <w:r>
              <w:rPr>
                <w:rFonts w:ascii="Arial" w:eastAsia="Arial" w:hAnsi="Arial" w:cs="Arial"/>
                <w:b/>
                <w:bCs/>
                <w:color w:val="FFFFFF"/>
                <w:sz w:val="19"/>
                <w:szCs w:val="19"/>
              </w:rPr>
              <w:t>Onboarding time-to-competency  |  Manager time on delegatable work  |  Voluntary attrition in affected roles</w:t>
            </w:r>
          </w:p>
          <w:p w14:paraId="091DDACE" w14:textId="77777777" w:rsidR="00900DB8" w:rsidRDefault="00000000">
            <w:r>
              <w:rPr>
                <w:rFonts w:ascii="Arial" w:eastAsia="Arial" w:hAnsi="Arial" w:cs="Arial"/>
                <w:color w:val="C8D8F0"/>
                <w:sz w:val="16"/>
                <w:szCs w:val="16"/>
              </w:rPr>
              <w:t>How fast new hires reach experienced-employee quality (compression = AI embedded in how the org works). How often managers are pulled into work they should have been able to delegate (declining = real capability transfer). Attrition trends signal whether the change felt like enablement or replacement.</w:t>
            </w:r>
          </w:p>
        </w:tc>
      </w:tr>
    </w:tbl>
    <w:p w14:paraId="4A8D9C23" w14:textId="77777777" w:rsidR="00900DB8" w:rsidRDefault="00900DB8">
      <w:pPr>
        <w:spacing w:before="180"/>
      </w:pPr>
    </w:p>
    <w:p w14:paraId="35ABD81C" w14:textId="77777777" w:rsidR="00900DB8" w:rsidRDefault="00000000">
      <w:pPr>
        <w:pBdr>
          <w:top w:val="single" w:sz="6" w:space="1" w:color="2E6DB4"/>
        </w:pBdr>
        <w:spacing w:before="120"/>
      </w:pPr>
      <w:r>
        <w:rPr>
          <w:rFonts w:ascii="Arial" w:eastAsia="Arial" w:hAnsi="Arial" w:cs="Arial"/>
          <w:color w:val="666666"/>
          <w:sz w:val="15"/>
          <w:szCs w:val="15"/>
        </w:rPr>
        <w:t xml:space="preserve">Marin Consulting Group  |  Expert change management for AI and technology transformations  |  </w:t>
      </w:r>
      <w:r>
        <w:rPr>
          <w:rFonts w:ascii="Arial" w:eastAsia="Arial" w:hAnsi="Arial" w:cs="Arial"/>
          <w:b/>
          <w:bCs/>
          <w:color w:val="2E6DB4"/>
          <w:sz w:val="15"/>
          <w:szCs w:val="15"/>
        </w:rPr>
        <w:t>www.marincg.com</w:t>
      </w:r>
      <w:r>
        <w:rPr>
          <w:rFonts w:ascii="Arial" w:eastAsia="Arial" w:hAnsi="Arial" w:cs="Arial"/>
          <w:i/>
          <w:iCs/>
          <w:color w:val="666666"/>
          <w:sz w:val="15"/>
          <w:szCs w:val="15"/>
        </w:rPr>
        <w:t xml:space="preserve">  |  88% of projects with excellent change management meet or exceed objectives. 13% without.</w:t>
      </w:r>
    </w:p>
    <w:sectPr w:rsidR="00900DB8">
      <w:pgSz w:w="15840" w:h="12240"/>
      <w:pgMar w:top="700" w:right="700" w:bottom="700" w:left="7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8058D"/>
    <w:multiLevelType w:val="hybridMultilevel"/>
    <w:tmpl w:val="5A226264"/>
    <w:lvl w:ilvl="0" w:tplc="122695BE">
      <w:start w:val="1"/>
      <w:numFmt w:val="bullet"/>
      <w:lvlText w:val="●"/>
      <w:lvlJc w:val="left"/>
      <w:pPr>
        <w:ind w:left="720" w:hanging="360"/>
      </w:pPr>
    </w:lvl>
    <w:lvl w:ilvl="1" w:tplc="284EA71A">
      <w:start w:val="1"/>
      <w:numFmt w:val="bullet"/>
      <w:lvlText w:val="○"/>
      <w:lvlJc w:val="left"/>
      <w:pPr>
        <w:ind w:left="1440" w:hanging="360"/>
      </w:pPr>
    </w:lvl>
    <w:lvl w:ilvl="2" w:tplc="0BE6CC02">
      <w:start w:val="1"/>
      <w:numFmt w:val="bullet"/>
      <w:lvlText w:val="■"/>
      <w:lvlJc w:val="left"/>
      <w:pPr>
        <w:ind w:left="2160" w:hanging="360"/>
      </w:pPr>
    </w:lvl>
    <w:lvl w:ilvl="3" w:tplc="E1BA410A">
      <w:start w:val="1"/>
      <w:numFmt w:val="bullet"/>
      <w:lvlText w:val="●"/>
      <w:lvlJc w:val="left"/>
      <w:pPr>
        <w:ind w:left="2880" w:hanging="360"/>
      </w:pPr>
    </w:lvl>
    <w:lvl w:ilvl="4" w:tplc="90A8DFF4">
      <w:start w:val="1"/>
      <w:numFmt w:val="bullet"/>
      <w:lvlText w:val="○"/>
      <w:lvlJc w:val="left"/>
      <w:pPr>
        <w:ind w:left="3600" w:hanging="360"/>
      </w:pPr>
    </w:lvl>
    <w:lvl w:ilvl="5" w:tplc="32821C3A">
      <w:start w:val="1"/>
      <w:numFmt w:val="bullet"/>
      <w:lvlText w:val="■"/>
      <w:lvlJc w:val="left"/>
      <w:pPr>
        <w:ind w:left="4320" w:hanging="360"/>
      </w:pPr>
    </w:lvl>
    <w:lvl w:ilvl="6" w:tplc="2AA67E1E">
      <w:start w:val="1"/>
      <w:numFmt w:val="bullet"/>
      <w:lvlText w:val="●"/>
      <w:lvlJc w:val="left"/>
      <w:pPr>
        <w:ind w:left="5040" w:hanging="360"/>
      </w:pPr>
    </w:lvl>
    <w:lvl w:ilvl="7" w:tplc="C984739C">
      <w:start w:val="1"/>
      <w:numFmt w:val="bullet"/>
      <w:lvlText w:val="●"/>
      <w:lvlJc w:val="left"/>
      <w:pPr>
        <w:ind w:left="5760" w:hanging="360"/>
      </w:pPr>
    </w:lvl>
    <w:lvl w:ilvl="8" w:tplc="8084D78E">
      <w:start w:val="1"/>
      <w:numFmt w:val="bullet"/>
      <w:lvlText w:val="●"/>
      <w:lvlJc w:val="left"/>
      <w:pPr>
        <w:ind w:left="6480" w:hanging="360"/>
      </w:pPr>
    </w:lvl>
  </w:abstractNum>
  <w:num w:numId="1" w16cid:durableId="9699452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B8"/>
    <w:rsid w:val="00535116"/>
    <w:rsid w:val="00743401"/>
    <w:rsid w:val="0090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607BEF"/>
  <w15:docId w15:val="{33BE2A9B-7F57-C348-B9D4-0449ABCA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4845</Characters>
  <Application>Microsoft Office Word</Application>
  <DocSecurity>0</DocSecurity>
  <Lines>161</Lines>
  <Paragraphs>89</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Vanessa Frederes</cp:lastModifiedBy>
  <cp:revision>2</cp:revision>
  <dcterms:created xsi:type="dcterms:W3CDTF">2026-03-23T20:43:00Z</dcterms:created>
  <dcterms:modified xsi:type="dcterms:W3CDTF">2026-03-23T20:43:00Z</dcterms:modified>
</cp:coreProperties>
</file>