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F7EB" w14:textId="3112737B" w:rsidR="00785356" w:rsidRPr="0029010E" w:rsidRDefault="00785356">
      <w:pPr>
        <w:rPr>
          <w:rFonts w:asciiTheme="majorHAnsi" w:hAnsiTheme="majorHAnsi" w:cstheme="majorHAnsi"/>
          <w:b/>
          <w:bCs/>
          <w:sz w:val="28"/>
          <w:szCs w:val="28"/>
        </w:rPr>
      </w:pPr>
      <w:r w:rsidRPr="0029010E">
        <w:rPr>
          <w:rFonts w:asciiTheme="majorHAnsi" w:hAnsiTheme="majorHAnsi" w:cstheme="majorHAnsi"/>
          <w:b/>
          <w:bCs/>
          <w:sz w:val="28"/>
          <w:szCs w:val="28"/>
        </w:rPr>
        <w:t>EMDR Basic</w:t>
      </w:r>
      <w:r w:rsidR="00A541A5" w:rsidRPr="0029010E">
        <w:rPr>
          <w:rFonts w:asciiTheme="majorHAnsi" w:hAnsiTheme="majorHAnsi" w:cstheme="majorHAnsi"/>
          <w:b/>
          <w:bCs/>
          <w:sz w:val="28"/>
          <w:szCs w:val="28"/>
        </w:rPr>
        <w:t xml:space="preserve"> Training</w:t>
      </w:r>
      <w:r w:rsidRPr="0029010E">
        <w:rPr>
          <w:rFonts w:asciiTheme="majorHAnsi" w:hAnsiTheme="majorHAnsi" w:cstheme="majorHAnsi"/>
          <w:b/>
          <w:bCs/>
          <w:sz w:val="28"/>
          <w:szCs w:val="28"/>
        </w:rPr>
        <w:t xml:space="preserve"> Info:</w:t>
      </w:r>
    </w:p>
    <w:p w14:paraId="61E08ECA" w14:textId="7ED2C5DA" w:rsidR="00785356" w:rsidRPr="0029010E" w:rsidRDefault="00785356">
      <w:pPr>
        <w:rPr>
          <w:rFonts w:asciiTheme="majorHAnsi" w:hAnsiTheme="majorHAnsi" w:cstheme="majorHAnsi"/>
          <w:sz w:val="28"/>
          <w:szCs w:val="28"/>
        </w:rPr>
      </w:pPr>
    </w:p>
    <w:p w14:paraId="389E6D1F" w14:textId="6F8E6670" w:rsidR="008B7716" w:rsidRPr="0029010E" w:rsidRDefault="00DC3E07" w:rsidP="008B7716">
      <w:pPr>
        <w:rPr>
          <w:rFonts w:asciiTheme="majorHAnsi" w:eastAsia="Times New Roman" w:hAnsiTheme="majorHAnsi" w:cstheme="majorHAnsi"/>
          <w:sz w:val="28"/>
          <w:szCs w:val="28"/>
        </w:rPr>
      </w:pPr>
      <w:r>
        <w:rPr>
          <w:rFonts w:asciiTheme="majorHAnsi" w:eastAsia="Times New Roman" w:hAnsiTheme="majorHAnsi" w:cstheme="majorHAnsi"/>
          <w:sz w:val="28"/>
          <w:szCs w:val="28"/>
        </w:rPr>
        <w:t>The EMDR Basic T</w:t>
      </w:r>
      <w:r w:rsidR="00990F1F" w:rsidRPr="0029010E">
        <w:rPr>
          <w:rFonts w:asciiTheme="majorHAnsi" w:eastAsia="Times New Roman" w:hAnsiTheme="majorHAnsi" w:cstheme="majorHAnsi"/>
          <w:sz w:val="28"/>
          <w:szCs w:val="28"/>
        </w:rPr>
        <w:t xml:space="preserve">raining </w:t>
      </w:r>
      <w:r>
        <w:rPr>
          <w:rFonts w:asciiTheme="majorHAnsi" w:eastAsia="Times New Roman" w:hAnsiTheme="majorHAnsi" w:cstheme="majorHAnsi"/>
          <w:sz w:val="28"/>
          <w:szCs w:val="28"/>
        </w:rPr>
        <w:t>is</w:t>
      </w:r>
      <w:r w:rsidR="001C3A12">
        <w:rPr>
          <w:rFonts w:asciiTheme="majorHAnsi" w:eastAsia="Times New Roman" w:hAnsiTheme="majorHAnsi" w:cstheme="majorHAnsi"/>
          <w:sz w:val="28"/>
          <w:szCs w:val="28"/>
        </w:rPr>
        <w:t xml:space="preserve"> a 50-hour training divided into two parts (20 hours of didactic and 20 of practice) a</w:t>
      </w:r>
      <w:r w:rsidR="008B7716">
        <w:rPr>
          <w:rFonts w:asciiTheme="majorHAnsi" w:eastAsia="Times New Roman" w:hAnsiTheme="majorHAnsi" w:cstheme="majorHAnsi"/>
          <w:sz w:val="28"/>
          <w:szCs w:val="28"/>
        </w:rPr>
        <w:t>nd</w:t>
      </w:r>
      <w:r w:rsidR="001C3A12">
        <w:rPr>
          <w:rFonts w:asciiTheme="majorHAnsi" w:eastAsia="Times New Roman" w:hAnsiTheme="majorHAnsi" w:cstheme="majorHAnsi"/>
          <w:sz w:val="28"/>
          <w:szCs w:val="28"/>
        </w:rPr>
        <w:t xml:space="preserve"> </w:t>
      </w:r>
      <w:r w:rsidR="00D022BA">
        <w:rPr>
          <w:rFonts w:asciiTheme="majorHAnsi" w:eastAsia="Times New Roman" w:hAnsiTheme="majorHAnsi" w:cstheme="majorHAnsi"/>
          <w:sz w:val="28"/>
          <w:szCs w:val="28"/>
        </w:rPr>
        <w:t>10 hours of</w:t>
      </w:r>
      <w:r w:rsidR="001C3A12">
        <w:rPr>
          <w:rFonts w:asciiTheme="majorHAnsi" w:eastAsia="Times New Roman" w:hAnsiTheme="majorHAnsi" w:cstheme="majorHAnsi"/>
          <w:sz w:val="28"/>
          <w:szCs w:val="28"/>
        </w:rPr>
        <w:t xml:space="preserve"> consultations.</w:t>
      </w:r>
      <w:r>
        <w:rPr>
          <w:rFonts w:asciiTheme="majorHAnsi" w:eastAsia="Times New Roman" w:hAnsiTheme="majorHAnsi" w:cstheme="majorHAnsi"/>
          <w:sz w:val="28"/>
          <w:szCs w:val="28"/>
        </w:rPr>
        <w:t xml:space="preserve"> </w:t>
      </w:r>
      <w:r w:rsidR="008B7716">
        <w:rPr>
          <w:rFonts w:asciiTheme="majorHAnsi" w:eastAsia="Times New Roman" w:hAnsiTheme="majorHAnsi" w:cstheme="majorHAnsi"/>
          <w:sz w:val="28"/>
          <w:szCs w:val="28"/>
        </w:rPr>
        <w:t xml:space="preserve">Each training week is scheduled from 9:00 am to </w:t>
      </w:r>
      <w:r w:rsidR="00CF3F5F">
        <w:rPr>
          <w:rFonts w:asciiTheme="majorHAnsi" w:eastAsia="Times New Roman" w:hAnsiTheme="majorHAnsi" w:cstheme="majorHAnsi"/>
          <w:sz w:val="28"/>
          <w:szCs w:val="28"/>
        </w:rPr>
        <w:t>1</w:t>
      </w:r>
      <w:r w:rsidR="008B7716">
        <w:rPr>
          <w:rFonts w:asciiTheme="majorHAnsi" w:eastAsia="Times New Roman" w:hAnsiTheme="majorHAnsi" w:cstheme="majorHAnsi"/>
          <w:sz w:val="28"/>
          <w:szCs w:val="28"/>
        </w:rPr>
        <w:t>:</w:t>
      </w:r>
      <w:r w:rsidR="006D33BD">
        <w:rPr>
          <w:rFonts w:asciiTheme="majorHAnsi" w:eastAsia="Times New Roman" w:hAnsiTheme="majorHAnsi" w:cstheme="majorHAnsi"/>
          <w:sz w:val="28"/>
          <w:szCs w:val="28"/>
        </w:rPr>
        <w:t>3</w:t>
      </w:r>
      <w:r w:rsidR="008B7716">
        <w:rPr>
          <w:rFonts w:asciiTheme="majorHAnsi" w:eastAsia="Times New Roman" w:hAnsiTheme="majorHAnsi" w:cstheme="majorHAnsi"/>
          <w:sz w:val="28"/>
          <w:szCs w:val="28"/>
        </w:rPr>
        <w:t xml:space="preserve">0 pm </w:t>
      </w:r>
      <w:r w:rsidR="00CF3F5F">
        <w:rPr>
          <w:rFonts w:asciiTheme="majorHAnsi" w:eastAsia="Times New Roman" w:hAnsiTheme="majorHAnsi" w:cstheme="majorHAnsi"/>
          <w:sz w:val="28"/>
          <w:szCs w:val="28"/>
        </w:rPr>
        <w:t xml:space="preserve">each day </w:t>
      </w:r>
      <w:r w:rsidR="008B7716">
        <w:rPr>
          <w:rFonts w:asciiTheme="majorHAnsi" w:eastAsia="Times New Roman" w:hAnsiTheme="majorHAnsi" w:cstheme="majorHAnsi"/>
          <w:sz w:val="28"/>
          <w:szCs w:val="28"/>
        </w:rPr>
        <w:t>for five days.</w:t>
      </w:r>
      <w:r w:rsidR="008B7716" w:rsidRPr="008B7716">
        <w:rPr>
          <w:rFonts w:asciiTheme="majorHAnsi" w:eastAsia="Times New Roman" w:hAnsiTheme="majorHAnsi" w:cstheme="majorHAnsi"/>
          <w:sz w:val="28"/>
          <w:szCs w:val="28"/>
        </w:rPr>
        <w:t xml:space="preserve"> </w:t>
      </w:r>
      <w:r w:rsidR="008B7716" w:rsidRPr="0029010E">
        <w:rPr>
          <w:rFonts w:asciiTheme="majorHAnsi" w:eastAsia="Times New Roman" w:hAnsiTheme="majorHAnsi" w:cstheme="majorHAnsi"/>
          <w:sz w:val="28"/>
          <w:szCs w:val="28"/>
        </w:rPr>
        <w:t>The</w:t>
      </w:r>
      <w:r w:rsidR="008B7716">
        <w:rPr>
          <w:rFonts w:asciiTheme="majorHAnsi" w:eastAsia="Times New Roman" w:hAnsiTheme="majorHAnsi" w:cstheme="majorHAnsi"/>
          <w:sz w:val="28"/>
          <w:szCs w:val="28"/>
        </w:rPr>
        <w:t xml:space="preserve"> consultations calls</w:t>
      </w:r>
      <w:r w:rsidR="008B7716" w:rsidRPr="0029010E">
        <w:rPr>
          <w:rFonts w:asciiTheme="majorHAnsi" w:eastAsia="Times New Roman" w:hAnsiTheme="majorHAnsi" w:cstheme="majorHAnsi"/>
          <w:sz w:val="28"/>
          <w:szCs w:val="28"/>
        </w:rPr>
        <w:t xml:space="preserve"> </w:t>
      </w:r>
      <w:r w:rsidR="00CF3F5F">
        <w:rPr>
          <w:rFonts w:asciiTheme="majorHAnsi" w:eastAsia="Times New Roman" w:hAnsiTheme="majorHAnsi" w:cstheme="majorHAnsi"/>
          <w:sz w:val="28"/>
          <w:szCs w:val="28"/>
        </w:rPr>
        <w:t xml:space="preserve">schedule </w:t>
      </w:r>
      <w:r w:rsidR="008B7716" w:rsidRPr="0029010E">
        <w:rPr>
          <w:rFonts w:asciiTheme="majorHAnsi" w:eastAsia="Times New Roman" w:hAnsiTheme="majorHAnsi" w:cstheme="majorHAnsi"/>
          <w:sz w:val="28"/>
          <w:szCs w:val="28"/>
        </w:rPr>
        <w:t xml:space="preserve">will be </w:t>
      </w:r>
      <w:r w:rsidR="00CF3F5F">
        <w:rPr>
          <w:rFonts w:asciiTheme="majorHAnsi" w:eastAsia="Times New Roman" w:hAnsiTheme="majorHAnsi" w:cstheme="majorHAnsi"/>
          <w:sz w:val="28"/>
          <w:szCs w:val="28"/>
        </w:rPr>
        <w:t xml:space="preserve">shared after </w:t>
      </w:r>
      <w:r w:rsidR="008B7716">
        <w:rPr>
          <w:rFonts w:asciiTheme="majorHAnsi" w:eastAsia="Times New Roman" w:hAnsiTheme="majorHAnsi" w:cstheme="majorHAnsi"/>
          <w:sz w:val="28"/>
          <w:szCs w:val="28"/>
        </w:rPr>
        <w:t>each training week</w:t>
      </w:r>
      <w:r w:rsidR="008B7716" w:rsidRPr="0029010E">
        <w:rPr>
          <w:rFonts w:asciiTheme="majorHAnsi" w:eastAsia="Times New Roman" w:hAnsiTheme="majorHAnsi" w:cstheme="majorHAnsi"/>
          <w:sz w:val="28"/>
          <w:szCs w:val="28"/>
        </w:rPr>
        <w:t xml:space="preserve">.  </w:t>
      </w:r>
    </w:p>
    <w:p w14:paraId="01F3C916" w14:textId="77777777" w:rsidR="00D022BA" w:rsidRDefault="00D022BA" w:rsidP="00785356">
      <w:pPr>
        <w:rPr>
          <w:rFonts w:asciiTheme="majorHAnsi" w:eastAsia="Times New Roman" w:hAnsiTheme="majorHAnsi" w:cstheme="majorHAnsi"/>
          <w:sz w:val="28"/>
          <w:szCs w:val="28"/>
        </w:rPr>
      </w:pPr>
    </w:p>
    <w:p w14:paraId="0696DF92" w14:textId="33E67B5E" w:rsidR="00785356" w:rsidRPr="0029010E" w:rsidRDefault="00785356" w:rsidP="00785356">
      <w:pPr>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 xml:space="preserve">Our </w:t>
      </w:r>
      <w:r w:rsidRPr="00F36275">
        <w:rPr>
          <w:rFonts w:asciiTheme="majorHAnsi" w:eastAsia="Times New Roman" w:hAnsiTheme="majorHAnsi" w:cstheme="majorHAnsi"/>
          <w:sz w:val="28"/>
          <w:szCs w:val="28"/>
        </w:rPr>
        <w:t>cost i</w:t>
      </w:r>
      <w:r w:rsidRPr="0029010E">
        <w:rPr>
          <w:rFonts w:asciiTheme="majorHAnsi" w:eastAsia="Times New Roman" w:hAnsiTheme="majorHAnsi" w:cstheme="majorHAnsi"/>
          <w:sz w:val="28"/>
          <w:szCs w:val="28"/>
        </w:rPr>
        <w:t>s $1</w:t>
      </w:r>
      <w:r w:rsidR="004E269E">
        <w:rPr>
          <w:rFonts w:asciiTheme="majorHAnsi" w:eastAsia="Times New Roman" w:hAnsiTheme="majorHAnsi" w:cstheme="majorHAnsi"/>
          <w:sz w:val="28"/>
          <w:szCs w:val="28"/>
        </w:rPr>
        <w:t>2</w:t>
      </w:r>
      <w:r w:rsidRPr="0029010E">
        <w:rPr>
          <w:rFonts w:asciiTheme="majorHAnsi" w:eastAsia="Times New Roman" w:hAnsiTheme="majorHAnsi" w:cstheme="majorHAnsi"/>
          <w:sz w:val="28"/>
          <w:szCs w:val="28"/>
        </w:rPr>
        <w:t>00 per person</w:t>
      </w:r>
      <w:r w:rsidR="004E269E">
        <w:rPr>
          <w:rFonts w:asciiTheme="majorHAnsi" w:eastAsia="Times New Roman" w:hAnsiTheme="majorHAnsi" w:cstheme="majorHAnsi"/>
          <w:sz w:val="28"/>
          <w:szCs w:val="28"/>
        </w:rPr>
        <w:t xml:space="preserve">. </w:t>
      </w:r>
      <w:r w:rsidR="00DB04FD" w:rsidRPr="0029010E">
        <w:rPr>
          <w:rFonts w:asciiTheme="majorHAnsi" w:eastAsia="Times New Roman" w:hAnsiTheme="majorHAnsi" w:cstheme="majorHAnsi"/>
          <w:sz w:val="28"/>
          <w:szCs w:val="28"/>
        </w:rPr>
        <w:t xml:space="preserve">This cost includes </w:t>
      </w:r>
      <w:r w:rsidR="00D022BA">
        <w:rPr>
          <w:rFonts w:asciiTheme="majorHAnsi" w:eastAsia="Times New Roman" w:hAnsiTheme="majorHAnsi" w:cstheme="majorHAnsi"/>
          <w:sz w:val="28"/>
          <w:szCs w:val="28"/>
        </w:rPr>
        <w:t xml:space="preserve">the two-part training and the </w:t>
      </w:r>
      <w:r w:rsidR="00DB04FD" w:rsidRPr="0029010E">
        <w:rPr>
          <w:rFonts w:asciiTheme="majorHAnsi" w:eastAsia="Times New Roman" w:hAnsiTheme="majorHAnsi" w:cstheme="majorHAnsi"/>
          <w:sz w:val="28"/>
          <w:szCs w:val="28"/>
        </w:rPr>
        <w:t xml:space="preserve">10 hours </w:t>
      </w:r>
      <w:r w:rsidR="008B7716">
        <w:rPr>
          <w:rFonts w:asciiTheme="majorHAnsi" w:eastAsia="Times New Roman" w:hAnsiTheme="majorHAnsi" w:cstheme="majorHAnsi"/>
          <w:sz w:val="28"/>
          <w:szCs w:val="28"/>
        </w:rPr>
        <w:t xml:space="preserve">of </w:t>
      </w:r>
      <w:r w:rsidR="00D022BA">
        <w:rPr>
          <w:rFonts w:asciiTheme="majorHAnsi" w:eastAsia="Times New Roman" w:hAnsiTheme="majorHAnsi" w:cstheme="majorHAnsi"/>
          <w:sz w:val="28"/>
          <w:szCs w:val="28"/>
        </w:rPr>
        <w:t>c</w:t>
      </w:r>
      <w:r w:rsidR="00DB04FD" w:rsidRPr="0029010E">
        <w:rPr>
          <w:rFonts w:asciiTheme="majorHAnsi" w:eastAsia="Times New Roman" w:hAnsiTheme="majorHAnsi" w:cstheme="majorHAnsi"/>
          <w:sz w:val="28"/>
          <w:szCs w:val="28"/>
        </w:rPr>
        <w:t xml:space="preserve">onsultation calls.  </w:t>
      </w:r>
    </w:p>
    <w:p w14:paraId="57780DAD" w14:textId="33B17C17" w:rsidR="00DB04FD" w:rsidRDefault="00DB04FD" w:rsidP="00785356">
      <w:pPr>
        <w:rPr>
          <w:rFonts w:asciiTheme="majorHAnsi" w:eastAsia="Times New Roman" w:hAnsiTheme="majorHAnsi" w:cstheme="majorHAnsi"/>
          <w:sz w:val="28"/>
          <w:szCs w:val="28"/>
        </w:rPr>
      </w:pPr>
    </w:p>
    <w:p w14:paraId="7D1DA9FF" w14:textId="77777777" w:rsidR="00D022BA" w:rsidRDefault="00D022BA" w:rsidP="00D022BA">
      <w:pPr>
        <w:rPr>
          <w:rFonts w:asciiTheme="majorHAnsi" w:eastAsia="Times New Roman" w:hAnsiTheme="majorHAnsi" w:cstheme="majorHAnsi"/>
          <w:sz w:val="28"/>
          <w:szCs w:val="28"/>
          <w:u w:val="single"/>
        </w:rPr>
      </w:pPr>
      <w:r>
        <w:rPr>
          <w:rFonts w:asciiTheme="majorHAnsi" w:eastAsia="Times New Roman" w:hAnsiTheme="majorHAnsi" w:cstheme="majorHAnsi"/>
          <w:sz w:val="28"/>
          <w:szCs w:val="28"/>
          <w:u w:val="single"/>
        </w:rPr>
        <w:t>Cancellation policy:</w:t>
      </w:r>
    </w:p>
    <w:p w14:paraId="162881B7" w14:textId="77777777" w:rsidR="00D022BA" w:rsidRPr="0029010E" w:rsidRDefault="00D022BA" w:rsidP="00785356">
      <w:pPr>
        <w:rPr>
          <w:rFonts w:asciiTheme="majorHAnsi" w:eastAsia="Times New Roman" w:hAnsiTheme="majorHAnsi" w:cstheme="majorHAnsi"/>
          <w:sz w:val="28"/>
          <w:szCs w:val="28"/>
        </w:rPr>
      </w:pPr>
    </w:p>
    <w:p w14:paraId="3AF25AD1" w14:textId="3EFEBCDE" w:rsidR="00DB04FD" w:rsidRPr="0029010E" w:rsidRDefault="001C3A12" w:rsidP="00785356">
      <w:pPr>
        <w:rPr>
          <w:rFonts w:asciiTheme="majorHAnsi" w:eastAsia="Times New Roman" w:hAnsiTheme="majorHAnsi" w:cstheme="majorHAnsi"/>
          <w:sz w:val="28"/>
          <w:szCs w:val="28"/>
        </w:rPr>
      </w:pPr>
      <w:r>
        <w:rPr>
          <w:rFonts w:asciiTheme="majorHAnsi" w:eastAsia="Times New Roman" w:hAnsiTheme="majorHAnsi" w:cstheme="majorHAnsi"/>
          <w:sz w:val="28"/>
          <w:szCs w:val="28"/>
        </w:rPr>
        <w:t>We</w:t>
      </w:r>
      <w:r w:rsidR="00DB04FD" w:rsidRPr="0029010E">
        <w:rPr>
          <w:rFonts w:asciiTheme="majorHAnsi" w:eastAsia="Times New Roman" w:hAnsiTheme="majorHAnsi" w:cstheme="majorHAnsi"/>
          <w:sz w:val="28"/>
          <w:szCs w:val="28"/>
        </w:rPr>
        <w:t xml:space="preserve"> require </w:t>
      </w:r>
      <w:r w:rsidR="004E269E">
        <w:rPr>
          <w:rFonts w:asciiTheme="majorHAnsi" w:eastAsia="Times New Roman" w:hAnsiTheme="majorHAnsi" w:cstheme="majorHAnsi"/>
          <w:sz w:val="28"/>
          <w:szCs w:val="28"/>
        </w:rPr>
        <w:t xml:space="preserve">a </w:t>
      </w:r>
      <w:r w:rsidR="00047B5A">
        <w:rPr>
          <w:rFonts w:asciiTheme="majorHAnsi" w:eastAsia="Times New Roman" w:hAnsiTheme="majorHAnsi" w:cstheme="majorHAnsi"/>
          <w:sz w:val="28"/>
          <w:szCs w:val="28"/>
        </w:rPr>
        <w:t>month</w:t>
      </w:r>
      <w:r>
        <w:rPr>
          <w:rFonts w:asciiTheme="majorHAnsi" w:eastAsia="Times New Roman" w:hAnsiTheme="majorHAnsi" w:cstheme="majorHAnsi"/>
          <w:sz w:val="28"/>
          <w:szCs w:val="28"/>
        </w:rPr>
        <w:t xml:space="preserve"> </w:t>
      </w:r>
      <w:r w:rsidR="00DB04FD" w:rsidRPr="0029010E">
        <w:rPr>
          <w:rFonts w:asciiTheme="majorHAnsi" w:eastAsia="Times New Roman" w:hAnsiTheme="majorHAnsi" w:cstheme="majorHAnsi"/>
          <w:sz w:val="28"/>
          <w:szCs w:val="28"/>
        </w:rPr>
        <w:t>cancellation</w:t>
      </w:r>
      <w:r w:rsidR="00D022BA">
        <w:rPr>
          <w:rFonts w:asciiTheme="majorHAnsi" w:eastAsia="Times New Roman" w:hAnsiTheme="majorHAnsi" w:cstheme="majorHAnsi"/>
          <w:sz w:val="28"/>
          <w:szCs w:val="28"/>
        </w:rPr>
        <w:t xml:space="preserve"> notice</w:t>
      </w:r>
      <w:r w:rsidR="00DB04FD" w:rsidRPr="0029010E">
        <w:rPr>
          <w:rFonts w:asciiTheme="majorHAnsi" w:eastAsia="Times New Roman" w:hAnsiTheme="majorHAnsi" w:cstheme="majorHAnsi"/>
          <w:sz w:val="28"/>
          <w:szCs w:val="28"/>
        </w:rPr>
        <w:t xml:space="preserve"> </w:t>
      </w:r>
      <w:r w:rsidR="004E269E">
        <w:rPr>
          <w:rFonts w:asciiTheme="majorHAnsi" w:eastAsia="Times New Roman" w:hAnsiTheme="majorHAnsi" w:cstheme="majorHAnsi"/>
          <w:sz w:val="28"/>
          <w:szCs w:val="28"/>
        </w:rPr>
        <w:t xml:space="preserve">(prior to </w:t>
      </w:r>
      <w:r w:rsidR="00047B5A">
        <w:rPr>
          <w:rFonts w:asciiTheme="majorHAnsi" w:eastAsia="Times New Roman" w:hAnsiTheme="majorHAnsi" w:cstheme="majorHAnsi"/>
          <w:sz w:val="28"/>
          <w:szCs w:val="28"/>
        </w:rPr>
        <w:t xml:space="preserve">first day </w:t>
      </w:r>
      <w:r w:rsidR="004E269E">
        <w:rPr>
          <w:rFonts w:asciiTheme="majorHAnsi" w:eastAsia="Times New Roman" w:hAnsiTheme="majorHAnsi" w:cstheme="majorHAnsi"/>
          <w:sz w:val="28"/>
          <w:szCs w:val="28"/>
        </w:rPr>
        <w:t xml:space="preserve">of training week) </w:t>
      </w:r>
      <w:r>
        <w:rPr>
          <w:rFonts w:asciiTheme="majorHAnsi" w:eastAsia="Times New Roman" w:hAnsiTheme="majorHAnsi" w:cstheme="majorHAnsi"/>
          <w:sz w:val="28"/>
          <w:szCs w:val="28"/>
        </w:rPr>
        <w:t xml:space="preserve">for a 100% refund. After </w:t>
      </w:r>
      <w:r w:rsidR="00047B5A">
        <w:rPr>
          <w:rFonts w:asciiTheme="majorHAnsi" w:eastAsia="Times New Roman" w:hAnsiTheme="majorHAnsi" w:cstheme="majorHAnsi"/>
          <w:sz w:val="28"/>
          <w:szCs w:val="28"/>
        </w:rPr>
        <w:t>a month</w:t>
      </w:r>
      <w:r w:rsidR="00D022BA">
        <w:rPr>
          <w:rFonts w:asciiTheme="majorHAnsi" w:eastAsia="Times New Roman" w:hAnsiTheme="majorHAnsi" w:cstheme="majorHAnsi"/>
          <w:sz w:val="28"/>
          <w:szCs w:val="28"/>
        </w:rPr>
        <w:t>, there will be a 25% administrative charge</w:t>
      </w:r>
      <w:r w:rsidR="008B7716">
        <w:rPr>
          <w:rFonts w:asciiTheme="majorHAnsi" w:eastAsia="Times New Roman" w:hAnsiTheme="majorHAnsi" w:cstheme="majorHAnsi"/>
          <w:sz w:val="28"/>
          <w:szCs w:val="28"/>
        </w:rPr>
        <w:t xml:space="preserve"> per week until the training date</w:t>
      </w:r>
      <w:r w:rsidR="00D022BA">
        <w:rPr>
          <w:rFonts w:asciiTheme="majorHAnsi" w:eastAsia="Times New Roman" w:hAnsiTheme="majorHAnsi" w:cstheme="majorHAnsi"/>
          <w:sz w:val="28"/>
          <w:szCs w:val="28"/>
        </w:rPr>
        <w:t xml:space="preserve">. </w:t>
      </w:r>
      <w:r w:rsidR="00DB04FD" w:rsidRPr="0029010E">
        <w:rPr>
          <w:rFonts w:asciiTheme="majorHAnsi" w:eastAsia="Times New Roman" w:hAnsiTheme="majorHAnsi" w:cstheme="majorHAnsi"/>
          <w:sz w:val="28"/>
          <w:szCs w:val="28"/>
        </w:rPr>
        <w:t xml:space="preserve">  </w:t>
      </w:r>
    </w:p>
    <w:p w14:paraId="2B53AF36" w14:textId="77777777" w:rsidR="00D022BA" w:rsidRPr="0029010E" w:rsidRDefault="00D022BA" w:rsidP="00785356">
      <w:pPr>
        <w:rPr>
          <w:rFonts w:asciiTheme="majorHAnsi" w:eastAsia="Times New Roman" w:hAnsiTheme="majorHAnsi" w:cstheme="majorHAnsi"/>
          <w:sz w:val="28"/>
          <w:szCs w:val="28"/>
          <w:u w:val="single"/>
        </w:rPr>
      </w:pPr>
    </w:p>
    <w:p w14:paraId="1CBCE618" w14:textId="358A09CC" w:rsidR="00603C5F" w:rsidRPr="0029010E" w:rsidRDefault="00603C5F" w:rsidP="00603C5F">
      <w:pPr>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 xml:space="preserve">The </w:t>
      </w:r>
      <w:r w:rsidRPr="00F36275">
        <w:rPr>
          <w:rFonts w:asciiTheme="majorHAnsi" w:eastAsia="Times New Roman" w:hAnsiTheme="majorHAnsi" w:cstheme="majorHAnsi"/>
          <w:sz w:val="28"/>
          <w:szCs w:val="28"/>
        </w:rPr>
        <w:t xml:space="preserve">required </w:t>
      </w:r>
      <w:r w:rsidR="00DB04FD" w:rsidRPr="00F36275">
        <w:rPr>
          <w:rFonts w:asciiTheme="majorHAnsi" w:eastAsia="Times New Roman" w:hAnsiTheme="majorHAnsi" w:cstheme="majorHAnsi"/>
          <w:sz w:val="28"/>
          <w:szCs w:val="28"/>
        </w:rPr>
        <w:t>reading</w:t>
      </w:r>
      <w:r w:rsidRPr="0029010E">
        <w:rPr>
          <w:rFonts w:asciiTheme="majorHAnsi" w:eastAsia="Times New Roman" w:hAnsiTheme="majorHAnsi" w:cstheme="majorHAnsi"/>
          <w:sz w:val="28"/>
          <w:szCs w:val="28"/>
        </w:rPr>
        <w:t xml:space="preserve"> </w:t>
      </w:r>
      <w:r w:rsidR="00D022BA">
        <w:rPr>
          <w:rFonts w:asciiTheme="majorHAnsi" w:eastAsia="Times New Roman" w:hAnsiTheme="majorHAnsi" w:cstheme="majorHAnsi"/>
          <w:sz w:val="28"/>
          <w:szCs w:val="28"/>
        </w:rPr>
        <w:t xml:space="preserve">prior to training </w:t>
      </w:r>
      <w:r w:rsidR="00990F1F" w:rsidRPr="0029010E">
        <w:rPr>
          <w:rFonts w:asciiTheme="majorHAnsi" w:eastAsia="Times New Roman" w:hAnsiTheme="majorHAnsi" w:cstheme="majorHAnsi"/>
          <w:sz w:val="28"/>
          <w:szCs w:val="28"/>
        </w:rPr>
        <w:t>is as follows</w:t>
      </w:r>
      <w:r w:rsidRPr="0029010E">
        <w:rPr>
          <w:rFonts w:asciiTheme="majorHAnsi" w:eastAsia="Times New Roman" w:hAnsiTheme="majorHAnsi" w:cstheme="majorHAnsi"/>
          <w:sz w:val="28"/>
          <w:szCs w:val="28"/>
        </w:rPr>
        <w:t>:</w:t>
      </w:r>
    </w:p>
    <w:p w14:paraId="159AE44B" w14:textId="77777777" w:rsidR="00DB04FD" w:rsidRPr="0029010E" w:rsidRDefault="00DB04FD" w:rsidP="00DB04FD">
      <w:pPr>
        <w:numPr>
          <w:ilvl w:val="0"/>
          <w:numId w:val="4"/>
        </w:numPr>
        <w:spacing w:before="100" w:beforeAutospacing="1" w:after="90"/>
        <w:ind w:left="1020"/>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Shapiro, Francine. (2018). </w:t>
      </w:r>
      <w:r w:rsidRPr="0029010E">
        <w:rPr>
          <w:rFonts w:asciiTheme="majorHAnsi" w:eastAsia="Times New Roman" w:hAnsiTheme="majorHAnsi" w:cstheme="majorHAnsi"/>
          <w:i/>
          <w:iCs/>
          <w:sz w:val="28"/>
          <w:szCs w:val="28"/>
        </w:rPr>
        <w:t>Eye Movement Desensitization and Reprocessing (EMDR) Therapy, Third Edition: Basic Principles, Protocols, and Procedures</w:t>
      </w:r>
      <w:r w:rsidRPr="0029010E">
        <w:rPr>
          <w:rFonts w:asciiTheme="majorHAnsi" w:eastAsia="Times New Roman" w:hAnsiTheme="majorHAnsi" w:cstheme="majorHAnsi"/>
          <w:sz w:val="28"/>
          <w:szCs w:val="28"/>
        </w:rPr>
        <w:t>. New York: Guildford Press</w:t>
      </w:r>
    </w:p>
    <w:p w14:paraId="7234C5EB" w14:textId="77777777" w:rsidR="00DB04FD" w:rsidRPr="00F36275" w:rsidRDefault="00000000" w:rsidP="00DB04FD">
      <w:pPr>
        <w:numPr>
          <w:ilvl w:val="0"/>
          <w:numId w:val="4"/>
        </w:numPr>
        <w:spacing w:before="100" w:beforeAutospacing="1" w:after="90"/>
        <w:ind w:left="1020"/>
        <w:rPr>
          <w:rFonts w:asciiTheme="majorHAnsi" w:eastAsia="Times New Roman" w:hAnsiTheme="majorHAnsi" w:cstheme="majorHAnsi"/>
          <w:sz w:val="28"/>
          <w:szCs w:val="28"/>
        </w:rPr>
      </w:pPr>
      <w:hyperlink r:id="rId5" w:history="1">
        <w:r w:rsidR="00DB04FD" w:rsidRPr="00F36275">
          <w:rPr>
            <w:rFonts w:asciiTheme="majorHAnsi" w:eastAsia="Times New Roman" w:hAnsiTheme="majorHAnsi" w:cstheme="majorHAnsi"/>
            <w:sz w:val="28"/>
            <w:szCs w:val="28"/>
            <w:u w:val="single"/>
          </w:rPr>
          <w:t>Go With That Magazine Fall 2020, Volume 25, Issue 3 [EMDR &amp; Racial Trauma]</w:t>
        </w:r>
      </w:hyperlink>
    </w:p>
    <w:p w14:paraId="6D99BCCF" w14:textId="77777777" w:rsidR="00DB04FD" w:rsidRPr="00F36275" w:rsidRDefault="00000000" w:rsidP="00DB04FD">
      <w:pPr>
        <w:numPr>
          <w:ilvl w:val="0"/>
          <w:numId w:val="4"/>
        </w:numPr>
        <w:spacing w:before="100" w:beforeAutospacing="1" w:after="90"/>
        <w:ind w:left="1020"/>
        <w:rPr>
          <w:rFonts w:asciiTheme="majorHAnsi" w:eastAsia="Times New Roman" w:hAnsiTheme="majorHAnsi" w:cstheme="majorHAnsi"/>
          <w:sz w:val="28"/>
          <w:szCs w:val="28"/>
        </w:rPr>
      </w:pPr>
      <w:hyperlink r:id="rId6" w:history="1">
        <w:r w:rsidR="00DB04FD" w:rsidRPr="00F36275">
          <w:rPr>
            <w:rFonts w:asciiTheme="majorHAnsi" w:eastAsia="Times New Roman" w:hAnsiTheme="majorHAnsi" w:cstheme="majorHAnsi"/>
            <w:sz w:val="28"/>
            <w:szCs w:val="28"/>
            <w:u w:val="single"/>
          </w:rPr>
          <w:t>Guidelines for Virtual EMDR Therapy (Spring 2020)</w:t>
        </w:r>
      </w:hyperlink>
    </w:p>
    <w:p w14:paraId="541D00B2" w14:textId="30029F4C" w:rsidR="0029010E" w:rsidRPr="0029010E" w:rsidRDefault="0029010E" w:rsidP="0029010E">
      <w:pPr>
        <w:spacing w:before="100" w:beforeAutospacing="1" w:after="90"/>
        <w:rPr>
          <w:rFonts w:asciiTheme="majorHAnsi" w:hAnsiTheme="majorHAnsi" w:cstheme="majorHAnsi"/>
          <w:sz w:val="28"/>
          <w:szCs w:val="28"/>
        </w:rPr>
      </w:pPr>
      <w:r w:rsidRPr="0029010E">
        <w:rPr>
          <w:rFonts w:asciiTheme="majorHAnsi" w:hAnsiTheme="majorHAnsi" w:cstheme="majorHAnsi"/>
          <w:sz w:val="28"/>
          <w:szCs w:val="28"/>
        </w:rPr>
        <w:t>Required Supplemental Material:</w:t>
      </w:r>
    </w:p>
    <w:p w14:paraId="288A8B1D" w14:textId="41AE3B12" w:rsidR="0029010E" w:rsidRPr="0029010E" w:rsidRDefault="0029010E" w:rsidP="0029010E">
      <w:pPr>
        <w:pStyle w:val="ListParagraph"/>
        <w:numPr>
          <w:ilvl w:val="0"/>
          <w:numId w:val="6"/>
        </w:numPr>
        <w:spacing w:before="100" w:beforeAutospacing="1" w:after="90"/>
        <w:rPr>
          <w:rFonts w:asciiTheme="majorHAnsi" w:hAnsiTheme="majorHAnsi" w:cstheme="majorHAnsi"/>
          <w:sz w:val="28"/>
          <w:szCs w:val="28"/>
        </w:rPr>
      </w:pPr>
      <w:r w:rsidRPr="0029010E">
        <w:rPr>
          <w:rFonts w:asciiTheme="majorHAnsi" w:hAnsiTheme="majorHAnsi" w:cstheme="majorHAnsi"/>
          <w:sz w:val="28"/>
          <w:szCs w:val="28"/>
        </w:rPr>
        <w:t xml:space="preserve">EMDR Basic Training Curriculum Requirements https://www.emdria.org/wp-content/uploads/2020/04/EMDRIADefinitionofEMDR.pdf </w:t>
      </w:r>
    </w:p>
    <w:p w14:paraId="4BE552D2" w14:textId="2238D0CC" w:rsidR="0029010E" w:rsidRPr="0029010E" w:rsidRDefault="0029010E" w:rsidP="0029010E">
      <w:pPr>
        <w:pStyle w:val="ListParagraph"/>
        <w:numPr>
          <w:ilvl w:val="0"/>
          <w:numId w:val="6"/>
        </w:numPr>
        <w:spacing w:before="100" w:beforeAutospacing="1" w:after="90"/>
        <w:rPr>
          <w:rFonts w:asciiTheme="majorHAnsi" w:hAnsiTheme="majorHAnsi" w:cstheme="majorHAnsi"/>
          <w:sz w:val="28"/>
          <w:szCs w:val="28"/>
        </w:rPr>
      </w:pPr>
      <w:r w:rsidRPr="0029010E">
        <w:rPr>
          <w:rFonts w:asciiTheme="majorHAnsi" w:hAnsiTheme="majorHAnsi" w:cstheme="majorHAnsi"/>
          <w:sz w:val="28"/>
          <w:szCs w:val="28"/>
        </w:rPr>
        <w:t xml:space="preserve">Access to a current list of EMDR related research citations can be found online at </w:t>
      </w:r>
      <w:hyperlink r:id="rId7" w:history="1">
        <w:r w:rsidRPr="0029010E">
          <w:rPr>
            <w:rStyle w:val="Hyperlink"/>
            <w:rFonts w:asciiTheme="majorHAnsi" w:hAnsiTheme="majorHAnsi" w:cstheme="majorHAnsi"/>
            <w:color w:val="auto"/>
            <w:sz w:val="28"/>
            <w:szCs w:val="28"/>
          </w:rPr>
          <w:t>https://emdrfoundation.org/emdr-info/research-lists/</w:t>
        </w:r>
      </w:hyperlink>
      <w:r w:rsidRPr="0029010E">
        <w:rPr>
          <w:rFonts w:asciiTheme="majorHAnsi" w:hAnsiTheme="majorHAnsi" w:cstheme="majorHAnsi"/>
          <w:sz w:val="28"/>
          <w:szCs w:val="28"/>
        </w:rPr>
        <w:t xml:space="preserve"> </w:t>
      </w:r>
    </w:p>
    <w:p w14:paraId="57F14558" w14:textId="44AECF08" w:rsidR="0029010E" w:rsidRPr="0029010E" w:rsidRDefault="0029010E" w:rsidP="0029010E">
      <w:pPr>
        <w:pStyle w:val="ListParagraph"/>
        <w:numPr>
          <w:ilvl w:val="0"/>
          <w:numId w:val="6"/>
        </w:numPr>
        <w:spacing w:before="100" w:beforeAutospacing="1" w:after="90"/>
        <w:rPr>
          <w:rFonts w:asciiTheme="majorHAnsi" w:hAnsiTheme="majorHAnsi" w:cstheme="majorHAnsi"/>
          <w:sz w:val="28"/>
          <w:szCs w:val="28"/>
        </w:rPr>
      </w:pPr>
      <w:r w:rsidRPr="0029010E">
        <w:rPr>
          <w:rFonts w:asciiTheme="majorHAnsi" w:hAnsiTheme="majorHAnsi" w:cstheme="majorHAnsi"/>
          <w:sz w:val="28"/>
          <w:szCs w:val="28"/>
        </w:rPr>
        <w:t xml:space="preserve">Access to the Journal of EMDR Research Practice and Research Volume 13 Issue 4 </w:t>
      </w:r>
      <w:hyperlink r:id="rId8" w:history="1">
        <w:r w:rsidRPr="0029010E">
          <w:rPr>
            <w:rStyle w:val="Hyperlink"/>
            <w:rFonts w:asciiTheme="majorHAnsi" w:hAnsiTheme="majorHAnsi" w:cstheme="majorHAnsi"/>
            <w:color w:val="auto"/>
            <w:sz w:val="28"/>
            <w:szCs w:val="28"/>
          </w:rPr>
          <w:t>https://connect.springerpub.com/content/sgremdr/13/4</w:t>
        </w:r>
      </w:hyperlink>
      <w:r w:rsidRPr="0029010E">
        <w:rPr>
          <w:rFonts w:asciiTheme="majorHAnsi" w:hAnsiTheme="majorHAnsi" w:cstheme="majorHAnsi"/>
          <w:sz w:val="28"/>
          <w:szCs w:val="28"/>
        </w:rPr>
        <w:t xml:space="preserve"> </w:t>
      </w:r>
    </w:p>
    <w:p w14:paraId="2465AD40" w14:textId="769E384C" w:rsidR="0029010E" w:rsidRPr="0029010E" w:rsidRDefault="0029010E" w:rsidP="0029010E">
      <w:pPr>
        <w:pStyle w:val="ListParagraph"/>
        <w:numPr>
          <w:ilvl w:val="0"/>
          <w:numId w:val="6"/>
        </w:numPr>
        <w:spacing w:before="100" w:beforeAutospacing="1" w:after="90"/>
        <w:rPr>
          <w:rFonts w:asciiTheme="majorHAnsi" w:hAnsiTheme="majorHAnsi" w:cstheme="majorHAnsi"/>
          <w:sz w:val="28"/>
          <w:szCs w:val="28"/>
        </w:rPr>
      </w:pPr>
      <w:r w:rsidRPr="0029010E">
        <w:rPr>
          <w:rFonts w:asciiTheme="majorHAnsi" w:hAnsiTheme="majorHAnsi" w:cstheme="majorHAnsi"/>
          <w:sz w:val="28"/>
          <w:szCs w:val="28"/>
        </w:rPr>
        <w:t xml:space="preserve">Information regarding membership and programming of EMDRIA https://www.emdria.org/about-emdria/emdria-membership/ and Becoming an EMDR Therapist video https://youtu.be/W3hDfWVtz18 VII. </w:t>
      </w:r>
    </w:p>
    <w:p w14:paraId="7DBE4D4C" w14:textId="77777777" w:rsidR="00DB04FD" w:rsidRPr="0029010E" w:rsidRDefault="00DB04FD">
      <w:pPr>
        <w:rPr>
          <w:rFonts w:asciiTheme="majorHAnsi" w:eastAsia="Times New Roman" w:hAnsiTheme="majorHAnsi" w:cstheme="majorHAnsi"/>
          <w:sz w:val="28"/>
          <w:szCs w:val="28"/>
        </w:rPr>
      </w:pPr>
    </w:p>
    <w:p w14:paraId="727A1ACD" w14:textId="002099F0" w:rsidR="00603C5F" w:rsidRPr="0029010E" w:rsidRDefault="009C1D18">
      <w:pPr>
        <w:rPr>
          <w:rFonts w:asciiTheme="majorHAnsi" w:hAnsiTheme="majorHAnsi" w:cstheme="majorHAnsi"/>
          <w:sz w:val="28"/>
          <w:szCs w:val="28"/>
        </w:rPr>
      </w:pPr>
      <w:r w:rsidRPr="0029010E">
        <w:rPr>
          <w:rFonts w:asciiTheme="majorHAnsi" w:hAnsiTheme="majorHAnsi" w:cstheme="majorHAnsi"/>
          <w:sz w:val="28"/>
          <w:szCs w:val="28"/>
        </w:rPr>
        <w:t xml:space="preserve">This training is dependent on all participants fully participating in the practicums that are a part of this training.  If a participant is unable or unwilling to participate, they will not receive their Certificate of Completion.  </w:t>
      </w:r>
    </w:p>
    <w:p w14:paraId="41408B33" w14:textId="13BACEC1" w:rsidR="0029010E" w:rsidRPr="0029010E" w:rsidRDefault="0029010E" w:rsidP="0029010E">
      <w:pPr>
        <w:spacing w:before="100" w:beforeAutospacing="1" w:after="90"/>
        <w:rPr>
          <w:rFonts w:asciiTheme="majorHAnsi" w:eastAsia="Times New Roman" w:hAnsiTheme="majorHAnsi" w:cstheme="majorHAnsi"/>
          <w:sz w:val="28"/>
          <w:szCs w:val="28"/>
        </w:rPr>
      </w:pPr>
      <w:r w:rsidRPr="0029010E">
        <w:rPr>
          <w:rFonts w:asciiTheme="majorHAnsi" w:hAnsiTheme="majorHAnsi" w:cstheme="majorHAnsi"/>
          <w:sz w:val="28"/>
          <w:szCs w:val="28"/>
        </w:rPr>
        <w:t>Trainees must complete all instructional, practicum and consultation hours within 12 months of starting the training to receive a certificate of completion.</w:t>
      </w:r>
    </w:p>
    <w:p w14:paraId="6BBE8DE2" w14:textId="085607F3" w:rsidR="00DB04FD" w:rsidRPr="0029010E" w:rsidRDefault="00DB04FD">
      <w:pPr>
        <w:rPr>
          <w:rFonts w:asciiTheme="majorHAnsi" w:hAnsiTheme="majorHAnsi" w:cstheme="majorHAnsi"/>
          <w:sz w:val="28"/>
          <w:szCs w:val="28"/>
        </w:rPr>
      </w:pPr>
    </w:p>
    <w:p w14:paraId="47629A3F" w14:textId="77777777" w:rsidR="00DB04FD" w:rsidRPr="0029010E" w:rsidRDefault="00DB04FD" w:rsidP="00DB04FD">
      <w:pPr>
        <w:spacing w:after="150"/>
        <w:outlineLvl w:val="3"/>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These requirements outline the minimum eligibility requirements to take an EMDRIA Approved EMDR Basic Training. Please follow up directly with the </w:t>
      </w:r>
      <w:hyperlink r:id="rId9" w:history="1">
        <w:r w:rsidRPr="0029010E">
          <w:rPr>
            <w:rFonts w:asciiTheme="majorHAnsi" w:eastAsia="Times New Roman" w:hAnsiTheme="majorHAnsi" w:cstheme="majorHAnsi"/>
            <w:b/>
            <w:bCs/>
            <w:sz w:val="28"/>
            <w:szCs w:val="28"/>
          </w:rPr>
          <w:t>EMDRIA Approved Training Provider</w:t>
        </w:r>
      </w:hyperlink>
      <w:r w:rsidRPr="0029010E">
        <w:rPr>
          <w:rFonts w:asciiTheme="majorHAnsi" w:eastAsia="Times New Roman" w:hAnsiTheme="majorHAnsi" w:cstheme="majorHAnsi"/>
          <w:sz w:val="28"/>
          <w:szCs w:val="28"/>
        </w:rPr>
        <w:t> to inquire about additional eligibility criteria that they may require.</w:t>
      </w:r>
    </w:p>
    <w:p w14:paraId="2CC42CFE" w14:textId="77777777" w:rsidR="00DB04FD" w:rsidRPr="0029010E" w:rsidRDefault="00DB04FD" w:rsidP="00DB04FD">
      <w:pPr>
        <w:spacing w:before="300" w:after="150"/>
        <w:outlineLvl w:val="1"/>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Licensed Mental Health Professionals</w:t>
      </w:r>
    </w:p>
    <w:p w14:paraId="7CFED866" w14:textId="77777777" w:rsidR="00DB04FD" w:rsidRPr="0029010E" w:rsidRDefault="00DB04FD" w:rsidP="00DB04FD">
      <w:pPr>
        <w:numPr>
          <w:ilvl w:val="0"/>
          <w:numId w:val="1"/>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Qualifying medical doctors must be licensed to practice in their state or province.</w:t>
      </w:r>
    </w:p>
    <w:p w14:paraId="57C0AFDF" w14:textId="77777777" w:rsidR="00DB04FD" w:rsidRPr="0029010E" w:rsidRDefault="00DB04FD" w:rsidP="00DB04FD">
      <w:pPr>
        <w:numPr>
          <w:ilvl w:val="0"/>
          <w:numId w:val="1"/>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Qualifying advanced practice registered nurses must have a Master of Science in Nursing (or higher) with a specialization in psychiatric mental health nursing and must be licensed to practice through their state board or province.</w:t>
      </w:r>
    </w:p>
    <w:p w14:paraId="1627F0BB" w14:textId="77777777" w:rsidR="00DB04FD" w:rsidRPr="0029010E" w:rsidRDefault="00DB04FD" w:rsidP="00DB04FD">
      <w:pPr>
        <w:numPr>
          <w:ilvl w:val="0"/>
          <w:numId w:val="1"/>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Qualifying Mental Health Clinicians must have a master’s degree in the mental health field (Counseling, Marriage Family Therapy, Psychology, Psychotherapy, Psychiatry, Social Work) or related mental health discipline and be licensed to practice through their state board or province.</w:t>
      </w:r>
    </w:p>
    <w:p w14:paraId="154AECEF" w14:textId="77777777" w:rsidR="00DB04FD" w:rsidRPr="0029010E" w:rsidRDefault="00DB04FD" w:rsidP="00DB04FD">
      <w:pPr>
        <w:numPr>
          <w:ilvl w:val="0"/>
          <w:numId w:val="1"/>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b/>
          <w:bCs/>
          <w:sz w:val="28"/>
          <w:szCs w:val="28"/>
        </w:rPr>
        <w:t>Individuals who only hold a chemical dependency or substance abuse license are not eligible as these licenses generally do not allow for a mental health scope of practice. </w:t>
      </w:r>
    </w:p>
    <w:p w14:paraId="76704CBC" w14:textId="77777777" w:rsidR="00DB04FD" w:rsidRPr="0029010E" w:rsidRDefault="00DB04FD" w:rsidP="00DB04FD">
      <w:pPr>
        <w:spacing w:before="300" w:after="150"/>
        <w:outlineLvl w:val="1"/>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Pre-Licensed Mental Health Professionals</w:t>
      </w:r>
    </w:p>
    <w:p w14:paraId="4D3CC62D" w14:textId="77777777" w:rsidR="00DB04FD" w:rsidRPr="0029010E" w:rsidRDefault="00DB04FD" w:rsidP="00DB04FD">
      <w:pPr>
        <w:numPr>
          <w:ilvl w:val="0"/>
          <w:numId w:val="2"/>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These are clinicians who are actively pursuing a mental health license through their state board (or province) while working under a licensed supervisor. Some of these license types include associate, intern, limited, provisional, temporary and pre-license.</w:t>
      </w:r>
    </w:p>
    <w:p w14:paraId="2F8B8C2F" w14:textId="77777777" w:rsidR="00DB04FD" w:rsidRPr="0029010E" w:rsidRDefault="00DB04FD" w:rsidP="00DB04FD">
      <w:pPr>
        <w:numPr>
          <w:ilvl w:val="0"/>
          <w:numId w:val="2"/>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 xml:space="preserve">Qualifying pre-licensed mental health clinicians must have a master's degree in the mental health field (Counseling, Marriage Family Therapy, </w:t>
      </w:r>
      <w:r w:rsidRPr="0029010E">
        <w:rPr>
          <w:rFonts w:asciiTheme="majorHAnsi" w:eastAsia="Times New Roman" w:hAnsiTheme="majorHAnsi" w:cstheme="majorHAnsi"/>
          <w:sz w:val="28"/>
          <w:szCs w:val="28"/>
        </w:rPr>
        <w:lastRenderedPageBreak/>
        <w:t>Psychology, Psychotherapy, Psychiatry, Social Work) or related mental health discipline and must be actively pursuing a full license through their state board (or province) while working under a licensed supervisor.</w:t>
      </w:r>
    </w:p>
    <w:p w14:paraId="178DA6C4" w14:textId="77777777" w:rsidR="00DB04FD" w:rsidRPr="0029010E" w:rsidRDefault="00DB04FD" w:rsidP="00DB04FD">
      <w:pPr>
        <w:numPr>
          <w:ilvl w:val="0"/>
          <w:numId w:val="2"/>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b/>
          <w:bCs/>
          <w:sz w:val="28"/>
          <w:szCs w:val="28"/>
        </w:rPr>
        <w:t>Individuals who only hold a chemical dependency or substance abuse license are not eligible as these licenses generally do not allow for a mental health scope of practice. </w:t>
      </w:r>
    </w:p>
    <w:p w14:paraId="30436FD1" w14:textId="77777777" w:rsidR="00DB04FD" w:rsidRPr="0029010E" w:rsidRDefault="00DB04FD" w:rsidP="00DB04FD">
      <w:pPr>
        <w:spacing w:before="300" w:after="150"/>
        <w:outlineLvl w:val="1"/>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Graduate Students</w:t>
      </w:r>
    </w:p>
    <w:p w14:paraId="26256AC3" w14:textId="77777777" w:rsidR="00DB04FD" w:rsidRPr="0029010E" w:rsidRDefault="00DB04FD" w:rsidP="00DB04FD">
      <w:pPr>
        <w:numPr>
          <w:ilvl w:val="0"/>
          <w:numId w:val="3"/>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Qualifying graduate students must be enrolled in a master’s or doctoral program in the mental health field (Counseling, Marriage Family Therapy, Psychology, Psychotherapy, Psychiatry, Psychiatric Nursing, Social Work) or related mental health discipline. Students must have completed their core graduate academic coursework and must be in the practicum/internship portion of their graduate program. </w:t>
      </w:r>
      <w:r w:rsidRPr="0029010E">
        <w:rPr>
          <w:rFonts w:asciiTheme="majorHAnsi" w:eastAsia="Times New Roman" w:hAnsiTheme="majorHAnsi" w:cstheme="majorHAnsi"/>
          <w:b/>
          <w:bCs/>
          <w:sz w:val="28"/>
          <w:szCs w:val="28"/>
        </w:rPr>
        <w:t>First year graduate students are not eligible.</w:t>
      </w:r>
      <w:r w:rsidRPr="0029010E">
        <w:rPr>
          <w:rFonts w:asciiTheme="majorHAnsi" w:eastAsia="Times New Roman" w:hAnsiTheme="majorHAnsi" w:cstheme="majorHAnsi"/>
          <w:sz w:val="28"/>
          <w:szCs w:val="28"/>
        </w:rPr>
        <w:t> Graduate students must be on a licensing track and working under the supervision of a fully licensed mental health clinician.</w:t>
      </w:r>
    </w:p>
    <w:p w14:paraId="047D7969" w14:textId="66DD83D2" w:rsidR="00DB04FD" w:rsidRPr="0029010E" w:rsidRDefault="00DB04FD" w:rsidP="00DB04FD">
      <w:pPr>
        <w:numPr>
          <w:ilvl w:val="0"/>
          <w:numId w:val="3"/>
        </w:numPr>
        <w:spacing w:before="100" w:beforeAutospacing="1" w:after="100" w:afterAutospacing="1"/>
        <w:ind w:left="1020"/>
        <w:rPr>
          <w:rFonts w:asciiTheme="majorHAnsi" w:eastAsia="Times New Roman" w:hAnsiTheme="majorHAnsi" w:cstheme="majorHAnsi"/>
          <w:sz w:val="28"/>
          <w:szCs w:val="28"/>
        </w:rPr>
      </w:pPr>
      <w:r w:rsidRPr="0029010E">
        <w:rPr>
          <w:rFonts w:asciiTheme="majorHAnsi" w:eastAsia="Times New Roman" w:hAnsiTheme="majorHAnsi" w:cstheme="majorHAnsi"/>
          <w:sz w:val="28"/>
          <w:szCs w:val="28"/>
        </w:rPr>
        <w:t xml:space="preserve">Graduate students who would like to take an EMDR Training will need to submit certain documentation (graduate transcript, practicum or internship details, and a letter from their supervisor which includes the supervisor's license information and number) </w:t>
      </w:r>
      <w:r w:rsidR="00F36275" w:rsidRPr="0029010E">
        <w:rPr>
          <w:rFonts w:asciiTheme="majorHAnsi" w:eastAsia="Times New Roman" w:hAnsiTheme="majorHAnsi" w:cstheme="majorHAnsi"/>
          <w:sz w:val="28"/>
          <w:szCs w:val="28"/>
        </w:rPr>
        <w:t>to</w:t>
      </w:r>
      <w:r w:rsidRPr="0029010E">
        <w:rPr>
          <w:rFonts w:asciiTheme="majorHAnsi" w:eastAsia="Times New Roman" w:hAnsiTheme="majorHAnsi" w:cstheme="majorHAnsi"/>
          <w:sz w:val="28"/>
          <w:szCs w:val="28"/>
        </w:rPr>
        <w:t xml:space="preserve"> verify their eligibility. </w:t>
      </w:r>
      <w:r w:rsidRPr="0029010E">
        <w:rPr>
          <w:rFonts w:asciiTheme="majorHAnsi" w:eastAsia="Times New Roman" w:hAnsiTheme="majorHAnsi" w:cstheme="majorHAnsi"/>
          <w:b/>
          <w:bCs/>
          <w:sz w:val="28"/>
          <w:szCs w:val="28"/>
        </w:rPr>
        <w:t>Students do not need to provide EMDRIA with any documentation unless specifically asked to do so by EMDRIA staff.</w:t>
      </w:r>
      <w:r w:rsidRPr="0029010E">
        <w:rPr>
          <w:rFonts w:asciiTheme="majorHAnsi" w:eastAsia="Times New Roman" w:hAnsiTheme="majorHAnsi" w:cstheme="majorHAnsi"/>
          <w:sz w:val="28"/>
          <w:szCs w:val="28"/>
        </w:rPr>
        <w:t> Any documentation that needs to be submitted would go directly to the training provider either prior to or during the training registration process.</w:t>
      </w:r>
    </w:p>
    <w:p w14:paraId="5CA757F5" w14:textId="77777777" w:rsidR="00DB04FD" w:rsidRPr="00DB04FD" w:rsidRDefault="00DB04FD" w:rsidP="00DB04FD">
      <w:pPr>
        <w:rPr>
          <w:rFonts w:asciiTheme="majorHAnsi" w:eastAsia="Times New Roman" w:hAnsiTheme="majorHAnsi" w:cstheme="majorHAnsi"/>
          <w:sz w:val="28"/>
          <w:szCs w:val="28"/>
        </w:rPr>
      </w:pPr>
    </w:p>
    <w:p w14:paraId="677B97AB" w14:textId="77777777" w:rsidR="00DB04FD" w:rsidRPr="00DB04FD" w:rsidRDefault="00DB04FD">
      <w:pPr>
        <w:rPr>
          <w:rFonts w:asciiTheme="majorHAnsi" w:hAnsiTheme="majorHAnsi" w:cstheme="majorHAnsi"/>
          <w:sz w:val="28"/>
          <w:szCs w:val="28"/>
        </w:rPr>
      </w:pPr>
    </w:p>
    <w:sectPr w:rsidR="00DB04FD" w:rsidRPr="00DB0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D640C"/>
    <w:multiLevelType w:val="multilevel"/>
    <w:tmpl w:val="CBB0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85923"/>
    <w:multiLevelType w:val="hybridMultilevel"/>
    <w:tmpl w:val="C5F2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755F4"/>
    <w:multiLevelType w:val="multilevel"/>
    <w:tmpl w:val="625A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779AB"/>
    <w:multiLevelType w:val="multilevel"/>
    <w:tmpl w:val="BD7017AA"/>
    <w:lvl w:ilvl="0">
      <w:start w:val="1"/>
      <w:numFmt w:val="decimal"/>
      <w:lvlText w:val="%1."/>
      <w:lvlJc w:val="left"/>
      <w:pPr>
        <w:tabs>
          <w:tab w:val="num" w:pos="6390"/>
        </w:tabs>
        <w:ind w:left="6390" w:hanging="360"/>
      </w:pPr>
    </w:lvl>
    <w:lvl w:ilvl="1" w:tentative="1">
      <w:start w:val="1"/>
      <w:numFmt w:val="decimal"/>
      <w:lvlText w:val="%2."/>
      <w:lvlJc w:val="left"/>
      <w:pPr>
        <w:tabs>
          <w:tab w:val="num" w:pos="7110"/>
        </w:tabs>
        <w:ind w:left="7110" w:hanging="360"/>
      </w:pPr>
    </w:lvl>
    <w:lvl w:ilvl="2" w:tentative="1">
      <w:start w:val="1"/>
      <w:numFmt w:val="decimal"/>
      <w:lvlText w:val="%3."/>
      <w:lvlJc w:val="left"/>
      <w:pPr>
        <w:tabs>
          <w:tab w:val="num" w:pos="7830"/>
        </w:tabs>
        <w:ind w:left="7830" w:hanging="360"/>
      </w:pPr>
    </w:lvl>
    <w:lvl w:ilvl="3" w:tentative="1">
      <w:start w:val="1"/>
      <w:numFmt w:val="decimal"/>
      <w:lvlText w:val="%4."/>
      <w:lvlJc w:val="left"/>
      <w:pPr>
        <w:tabs>
          <w:tab w:val="num" w:pos="8550"/>
        </w:tabs>
        <w:ind w:left="8550" w:hanging="360"/>
      </w:pPr>
    </w:lvl>
    <w:lvl w:ilvl="4" w:tentative="1">
      <w:start w:val="1"/>
      <w:numFmt w:val="decimal"/>
      <w:lvlText w:val="%5."/>
      <w:lvlJc w:val="left"/>
      <w:pPr>
        <w:tabs>
          <w:tab w:val="num" w:pos="9270"/>
        </w:tabs>
        <w:ind w:left="9270" w:hanging="360"/>
      </w:pPr>
    </w:lvl>
    <w:lvl w:ilvl="5" w:tentative="1">
      <w:start w:val="1"/>
      <w:numFmt w:val="decimal"/>
      <w:lvlText w:val="%6."/>
      <w:lvlJc w:val="left"/>
      <w:pPr>
        <w:tabs>
          <w:tab w:val="num" w:pos="9990"/>
        </w:tabs>
        <w:ind w:left="9990" w:hanging="360"/>
      </w:pPr>
    </w:lvl>
    <w:lvl w:ilvl="6" w:tentative="1">
      <w:start w:val="1"/>
      <w:numFmt w:val="decimal"/>
      <w:lvlText w:val="%7."/>
      <w:lvlJc w:val="left"/>
      <w:pPr>
        <w:tabs>
          <w:tab w:val="num" w:pos="10710"/>
        </w:tabs>
        <w:ind w:left="10710" w:hanging="360"/>
      </w:pPr>
    </w:lvl>
    <w:lvl w:ilvl="7" w:tentative="1">
      <w:start w:val="1"/>
      <w:numFmt w:val="decimal"/>
      <w:lvlText w:val="%8."/>
      <w:lvlJc w:val="left"/>
      <w:pPr>
        <w:tabs>
          <w:tab w:val="num" w:pos="11430"/>
        </w:tabs>
        <w:ind w:left="11430" w:hanging="360"/>
      </w:pPr>
    </w:lvl>
    <w:lvl w:ilvl="8" w:tentative="1">
      <w:start w:val="1"/>
      <w:numFmt w:val="decimal"/>
      <w:lvlText w:val="%9."/>
      <w:lvlJc w:val="left"/>
      <w:pPr>
        <w:tabs>
          <w:tab w:val="num" w:pos="12150"/>
        </w:tabs>
        <w:ind w:left="12150" w:hanging="360"/>
      </w:pPr>
    </w:lvl>
  </w:abstractNum>
  <w:abstractNum w:abstractNumId="4" w15:restartNumberingAfterBreak="0">
    <w:nsid w:val="459B1DAC"/>
    <w:multiLevelType w:val="hybridMultilevel"/>
    <w:tmpl w:val="1BDE58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FA6F69"/>
    <w:multiLevelType w:val="multilevel"/>
    <w:tmpl w:val="B8EC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218352">
    <w:abstractNumId w:val="5"/>
  </w:num>
  <w:num w:numId="2" w16cid:durableId="565840299">
    <w:abstractNumId w:val="2"/>
  </w:num>
  <w:num w:numId="3" w16cid:durableId="164131796">
    <w:abstractNumId w:val="0"/>
  </w:num>
  <w:num w:numId="4" w16cid:durableId="2130078361">
    <w:abstractNumId w:val="3"/>
  </w:num>
  <w:num w:numId="5" w16cid:durableId="1005401418">
    <w:abstractNumId w:val="1"/>
  </w:num>
  <w:num w:numId="6" w16cid:durableId="52168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56"/>
    <w:rsid w:val="00047B5A"/>
    <w:rsid w:val="001C3A12"/>
    <w:rsid w:val="0029010E"/>
    <w:rsid w:val="002F58D3"/>
    <w:rsid w:val="00370600"/>
    <w:rsid w:val="0040604B"/>
    <w:rsid w:val="004E269E"/>
    <w:rsid w:val="00511E37"/>
    <w:rsid w:val="005A7954"/>
    <w:rsid w:val="00603C5F"/>
    <w:rsid w:val="0063192D"/>
    <w:rsid w:val="006B234A"/>
    <w:rsid w:val="006C7BA9"/>
    <w:rsid w:val="006D33BD"/>
    <w:rsid w:val="00785356"/>
    <w:rsid w:val="00787523"/>
    <w:rsid w:val="00791753"/>
    <w:rsid w:val="007E06ED"/>
    <w:rsid w:val="007F53A7"/>
    <w:rsid w:val="00810782"/>
    <w:rsid w:val="008B7716"/>
    <w:rsid w:val="009646E9"/>
    <w:rsid w:val="00990F1F"/>
    <w:rsid w:val="009C1D18"/>
    <w:rsid w:val="00A541A5"/>
    <w:rsid w:val="00CF3F5F"/>
    <w:rsid w:val="00D022BA"/>
    <w:rsid w:val="00D407E5"/>
    <w:rsid w:val="00DB04FD"/>
    <w:rsid w:val="00DC3E07"/>
    <w:rsid w:val="00EF6D71"/>
    <w:rsid w:val="00F00540"/>
    <w:rsid w:val="00F3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3576"/>
  <w15:chartTrackingRefBased/>
  <w15:docId w15:val="{85BD0953-AC95-9946-AC51-F0751F77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04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B04F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04F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B04FD"/>
    <w:rPr>
      <w:rFonts w:ascii="Times New Roman" w:eastAsia="Times New Roman" w:hAnsi="Times New Roman" w:cs="Times New Roman"/>
      <w:b/>
      <w:bCs/>
    </w:rPr>
  </w:style>
  <w:style w:type="character" w:customStyle="1" w:styleId="apple-converted-space">
    <w:name w:val="apple-converted-space"/>
    <w:basedOn w:val="DefaultParagraphFont"/>
    <w:rsid w:val="00DB04FD"/>
  </w:style>
  <w:style w:type="character" w:styleId="Hyperlink">
    <w:name w:val="Hyperlink"/>
    <w:basedOn w:val="DefaultParagraphFont"/>
    <w:uiPriority w:val="99"/>
    <w:unhideWhenUsed/>
    <w:rsid w:val="00DB04FD"/>
    <w:rPr>
      <w:color w:val="0000FF"/>
      <w:u w:val="single"/>
    </w:rPr>
  </w:style>
  <w:style w:type="character" w:styleId="Strong">
    <w:name w:val="Strong"/>
    <w:basedOn w:val="DefaultParagraphFont"/>
    <w:uiPriority w:val="22"/>
    <w:qFormat/>
    <w:rsid w:val="00DB04FD"/>
    <w:rPr>
      <w:b/>
      <w:bCs/>
    </w:rPr>
  </w:style>
  <w:style w:type="character" w:styleId="Emphasis">
    <w:name w:val="Emphasis"/>
    <w:basedOn w:val="DefaultParagraphFont"/>
    <w:uiPriority w:val="20"/>
    <w:qFormat/>
    <w:rsid w:val="00DB04FD"/>
    <w:rPr>
      <w:i/>
      <w:iCs/>
    </w:rPr>
  </w:style>
  <w:style w:type="character" w:styleId="UnresolvedMention">
    <w:name w:val="Unresolved Mention"/>
    <w:basedOn w:val="DefaultParagraphFont"/>
    <w:uiPriority w:val="99"/>
    <w:semiHidden/>
    <w:unhideWhenUsed/>
    <w:rsid w:val="0029010E"/>
    <w:rPr>
      <w:color w:val="605E5C"/>
      <w:shd w:val="clear" w:color="auto" w:fill="E1DFDD"/>
    </w:rPr>
  </w:style>
  <w:style w:type="paragraph" w:styleId="ListParagraph">
    <w:name w:val="List Paragraph"/>
    <w:basedOn w:val="Normal"/>
    <w:uiPriority w:val="34"/>
    <w:qFormat/>
    <w:rsid w:val="0029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7916">
      <w:bodyDiv w:val="1"/>
      <w:marLeft w:val="0"/>
      <w:marRight w:val="0"/>
      <w:marTop w:val="0"/>
      <w:marBottom w:val="0"/>
      <w:divBdr>
        <w:top w:val="none" w:sz="0" w:space="0" w:color="auto"/>
        <w:left w:val="none" w:sz="0" w:space="0" w:color="auto"/>
        <w:bottom w:val="none" w:sz="0" w:space="0" w:color="auto"/>
        <w:right w:val="none" w:sz="0" w:space="0" w:color="auto"/>
      </w:divBdr>
      <w:divsChild>
        <w:div w:id="1873883279">
          <w:marLeft w:val="0"/>
          <w:marRight w:val="0"/>
          <w:marTop w:val="0"/>
          <w:marBottom w:val="0"/>
          <w:divBdr>
            <w:top w:val="none" w:sz="0" w:space="0" w:color="auto"/>
            <w:left w:val="none" w:sz="0" w:space="0" w:color="auto"/>
            <w:bottom w:val="none" w:sz="0" w:space="0" w:color="auto"/>
            <w:right w:val="none" w:sz="0" w:space="0" w:color="auto"/>
          </w:divBdr>
          <w:divsChild>
            <w:div w:id="870193613">
              <w:marLeft w:val="300"/>
              <w:marRight w:val="300"/>
              <w:marTop w:val="300"/>
              <w:marBottom w:val="0"/>
              <w:divBdr>
                <w:top w:val="none" w:sz="0" w:space="0" w:color="auto"/>
                <w:left w:val="none" w:sz="0" w:space="0" w:color="auto"/>
                <w:bottom w:val="none" w:sz="0" w:space="0" w:color="auto"/>
                <w:right w:val="none" w:sz="0" w:space="0" w:color="auto"/>
              </w:divBdr>
              <w:divsChild>
                <w:div w:id="7136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426">
          <w:marLeft w:val="0"/>
          <w:marRight w:val="0"/>
          <w:marTop w:val="0"/>
          <w:marBottom w:val="0"/>
          <w:divBdr>
            <w:top w:val="none" w:sz="0" w:space="0" w:color="auto"/>
            <w:left w:val="none" w:sz="0" w:space="0" w:color="auto"/>
            <w:bottom w:val="none" w:sz="0" w:space="0" w:color="auto"/>
            <w:right w:val="none" w:sz="0" w:space="0" w:color="auto"/>
          </w:divBdr>
          <w:divsChild>
            <w:div w:id="1574194955">
              <w:marLeft w:val="300"/>
              <w:marRight w:val="300"/>
              <w:marTop w:val="0"/>
              <w:marBottom w:val="300"/>
              <w:divBdr>
                <w:top w:val="none" w:sz="0" w:space="0" w:color="auto"/>
                <w:left w:val="none" w:sz="0" w:space="0" w:color="auto"/>
                <w:bottom w:val="none" w:sz="0" w:space="0" w:color="auto"/>
                <w:right w:val="none" w:sz="0" w:space="0" w:color="auto"/>
              </w:divBdr>
              <w:divsChild>
                <w:div w:id="13719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4656">
      <w:bodyDiv w:val="1"/>
      <w:marLeft w:val="0"/>
      <w:marRight w:val="0"/>
      <w:marTop w:val="0"/>
      <w:marBottom w:val="0"/>
      <w:divBdr>
        <w:top w:val="none" w:sz="0" w:space="0" w:color="auto"/>
        <w:left w:val="none" w:sz="0" w:space="0" w:color="auto"/>
        <w:bottom w:val="none" w:sz="0" w:space="0" w:color="auto"/>
        <w:right w:val="none" w:sz="0" w:space="0" w:color="auto"/>
      </w:divBdr>
      <w:divsChild>
        <w:div w:id="1281450041">
          <w:marLeft w:val="0"/>
          <w:marRight w:val="0"/>
          <w:marTop w:val="0"/>
          <w:marBottom w:val="0"/>
          <w:divBdr>
            <w:top w:val="none" w:sz="0" w:space="0" w:color="auto"/>
            <w:left w:val="none" w:sz="0" w:space="0" w:color="auto"/>
            <w:bottom w:val="none" w:sz="0" w:space="0" w:color="auto"/>
            <w:right w:val="none" w:sz="0" w:space="0" w:color="auto"/>
          </w:divBdr>
        </w:div>
        <w:div w:id="30615083">
          <w:marLeft w:val="0"/>
          <w:marRight w:val="0"/>
          <w:marTop w:val="0"/>
          <w:marBottom w:val="0"/>
          <w:divBdr>
            <w:top w:val="none" w:sz="0" w:space="0" w:color="auto"/>
            <w:left w:val="none" w:sz="0" w:space="0" w:color="auto"/>
            <w:bottom w:val="none" w:sz="0" w:space="0" w:color="auto"/>
            <w:right w:val="none" w:sz="0" w:space="0" w:color="auto"/>
          </w:divBdr>
        </w:div>
        <w:div w:id="1356691428">
          <w:marLeft w:val="0"/>
          <w:marRight w:val="0"/>
          <w:marTop w:val="0"/>
          <w:marBottom w:val="0"/>
          <w:divBdr>
            <w:top w:val="none" w:sz="0" w:space="0" w:color="auto"/>
            <w:left w:val="none" w:sz="0" w:space="0" w:color="auto"/>
            <w:bottom w:val="none" w:sz="0" w:space="0" w:color="auto"/>
            <w:right w:val="none" w:sz="0" w:space="0" w:color="auto"/>
          </w:divBdr>
        </w:div>
        <w:div w:id="67775922">
          <w:marLeft w:val="0"/>
          <w:marRight w:val="0"/>
          <w:marTop w:val="0"/>
          <w:marBottom w:val="0"/>
          <w:divBdr>
            <w:top w:val="none" w:sz="0" w:space="0" w:color="auto"/>
            <w:left w:val="none" w:sz="0" w:space="0" w:color="auto"/>
            <w:bottom w:val="none" w:sz="0" w:space="0" w:color="auto"/>
            <w:right w:val="none" w:sz="0" w:space="0" w:color="auto"/>
          </w:divBdr>
        </w:div>
        <w:div w:id="717706512">
          <w:marLeft w:val="0"/>
          <w:marRight w:val="0"/>
          <w:marTop w:val="0"/>
          <w:marBottom w:val="0"/>
          <w:divBdr>
            <w:top w:val="none" w:sz="0" w:space="0" w:color="auto"/>
            <w:left w:val="none" w:sz="0" w:space="0" w:color="auto"/>
            <w:bottom w:val="none" w:sz="0" w:space="0" w:color="auto"/>
            <w:right w:val="none" w:sz="0" w:space="0" w:color="auto"/>
          </w:divBdr>
        </w:div>
        <w:div w:id="1562667594">
          <w:marLeft w:val="0"/>
          <w:marRight w:val="0"/>
          <w:marTop w:val="0"/>
          <w:marBottom w:val="0"/>
          <w:divBdr>
            <w:top w:val="none" w:sz="0" w:space="0" w:color="auto"/>
            <w:left w:val="none" w:sz="0" w:space="0" w:color="auto"/>
            <w:bottom w:val="none" w:sz="0" w:space="0" w:color="auto"/>
            <w:right w:val="none" w:sz="0" w:space="0" w:color="auto"/>
          </w:divBdr>
        </w:div>
        <w:div w:id="1337346417">
          <w:marLeft w:val="0"/>
          <w:marRight w:val="0"/>
          <w:marTop w:val="0"/>
          <w:marBottom w:val="0"/>
          <w:divBdr>
            <w:top w:val="none" w:sz="0" w:space="0" w:color="auto"/>
            <w:left w:val="none" w:sz="0" w:space="0" w:color="auto"/>
            <w:bottom w:val="none" w:sz="0" w:space="0" w:color="auto"/>
            <w:right w:val="none" w:sz="0" w:space="0" w:color="auto"/>
          </w:divBdr>
        </w:div>
      </w:divsChild>
    </w:div>
    <w:div w:id="563638849">
      <w:bodyDiv w:val="1"/>
      <w:marLeft w:val="0"/>
      <w:marRight w:val="0"/>
      <w:marTop w:val="0"/>
      <w:marBottom w:val="0"/>
      <w:divBdr>
        <w:top w:val="none" w:sz="0" w:space="0" w:color="auto"/>
        <w:left w:val="none" w:sz="0" w:space="0" w:color="auto"/>
        <w:bottom w:val="none" w:sz="0" w:space="0" w:color="auto"/>
        <w:right w:val="none" w:sz="0" w:space="0" w:color="auto"/>
      </w:divBdr>
    </w:div>
    <w:div w:id="1078671233">
      <w:bodyDiv w:val="1"/>
      <w:marLeft w:val="0"/>
      <w:marRight w:val="0"/>
      <w:marTop w:val="0"/>
      <w:marBottom w:val="0"/>
      <w:divBdr>
        <w:top w:val="none" w:sz="0" w:space="0" w:color="auto"/>
        <w:left w:val="none" w:sz="0" w:space="0" w:color="auto"/>
        <w:bottom w:val="none" w:sz="0" w:space="0" w:color="auto"/>
        <w:right w:val="none" w:sz="0" w:space="0" w:color="auto"/>
      </w:divBdr>
      <w:divsChild>
        <w:div w:id="1686323817">
          <w:marLeft w:val="0"/>
          <w:marRight w:val="0"/>
          <w:marTop w:val="0"/>
          <w:marBottom w:val="0"/>
          <w:divBdr>
            <w:top w:val="none" w:sz="0" w:space="0" w:color="auto"/>
            <w:left w:val="none" w:sz="0" w:space="0" w:color="auto"/>
            <w:bottom w:val="none" w:sz="0" w:space="0" w:color="auto"/>
            <w:right w:val="none" w:sz="0" w:space="0" w:color="auto"/>
          </w:divBdr>
        </w:div>
        <w:div w:id="1322927355">
          <w:marLeft w:val="0"/>
          <w:marRight w:val="0"/>
          <w:marTop w:val="0"/>
          <w:marBottom w:val="0"/>
          <w:divBdr>
            <w:top w:val="none" w:sz="0" w:space="0" w:color="auto"/>
            <w:left w:val="none" w:sz="0" w:space="0" w:color="auto"/>
            <w:bottom w:val="none" w:sz="0" w:space="0" w:color="auto"/>
            <w:right w:val="none" w:sz="0" w:space="0" w:color="auto"/>
          </w:divBdr>
        </w:div>
        <w:div w:id="1978220587">
          <w:marLeft w:val="0"/>
          <w:marRight w:val="0"/>
          <w:marTop w:val="0"/>
          <w:marBottom w:val="0"/>
          <w:divBdr>
            <w:top w:val="none" w:sz="0" w:space="0" w:color="auto"/>
            <w:left w:val="none" w:sz="0" w:space="0" w:color="auto"/>
            <w:bottom w:val="none" w:sz="0" w:space="0" w:color="auto"/>
            <w:right w:val="none" w:sz="0" w:space="0" w:color="auto"/>
          </w:divBdr>
        </w:div>
        <w:div w:id="1519079021">
          <w:marLeft w:val="0"/>
          <w:marRight w:val="0"/>
          <w:marTop w:val="0"/>
          <w:marBottom w:val="0"/>
          <w:divBdr>
            <w:top w:val="none" w:sz="0" w:space="0" w:color="auto"/>
            <w:left w:val="none" w:sz="0" w:space="0" w:color="auto"/>
            <w:bottom w:val="none" w:sz="0" w:space="0" w:color="auto"/>
            <w:right w:val="none" w:sz="0" w:space="0" w:color="auto"/>
          </w:divBdr>
        </w:div>
      </w:divsChild>
    </w:div>
    <w:div w:id="1147941650">
      <w:bodyDiv w:val="1"/>
      <w:marLeft w:val="0"/>
      <w:marRight w:val="0"/>
      <w:marTop w:val="0"/>
      <w:marBottom w:val="0"/>
      <w:divBdr>
        <w:top w:val="none" w:sz="0" w:space="0" w:color="auto"/>
        <w:left w:val="none" w:sz="0" w:space="0" w:color="auto"/>
        <w:bottom w:val="none" w:sz="0" w:space="0" w:color="auto"/>
        <w:right w:val="none" w:sz="0" w:space="0" w:color="auto"/>
      </w:divBdr>
      <w:divsChild>
        <w:div w:id="134641365">
          <w:marLeft w:val="0"/>
          <w:marRight w:val="0"/>
          <w:marTop w:val="0"/>
          <w:marBottom w:val="0"/>
          <w:divBdr>
            <w:top w:val="none" w:sz="0" w:space="0" w:color="auto"/>
            <w:left w:val="none" w:sz="0" w:space="0" w:color="auto"/>
            <w:bottom w:val="none" w:sz="0" w:space="0" w:color="auto"/>
            <w:right w:val="none" w:sz="0" w:space="0" w:color="auto"/>
          </w:divBdr>
          <w:divsChild>
            <w:div w:id="1363894185">
              <w:marLeft w:val="300"/>
              <w:marRight w:val="300"/>
              <w:marTop w:val="0"/>
              <w:marBottom w:val="0"/>
              <w:divBdr>
                <w:top w:val="none" w:sz="0" w:space="0" w:color="auto"/>
                <w:left w:val="none" w:sz="0" w:space="0" w:color="auto"/>
                <w:bottom w:val="none" w:sz="0" w:space="0" w:color="auto"/>
                <w:right w:val="none" w:sz="0" w:space="0" w:color="auto"/>
              </w:divBdr>
              <w:divsChild>
                <w:div w:id="6985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springerpub.com/content/sgremdr/13/4" TargetMode="External"/><Relationship Id="rId3" Type="http://schemas.openxmlformats.org/officeDocument/2006/relationships/settings" Target="settings.xml"/><Relationship Id="rId7" Type="http://schemas.openxmlformats.org/officeDocument/2006/relationships/hyperlink" Target="https://emdrfoundation.org/emdr-info/research-l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dria.org/wp-content/uploads/2020/04/virtual_tg_report_for_member.pdf" TargetMode="External"/><Relationship Id="rId11" Type="http://schemas.openxmlformats.org/officeDocument/2006/relationships/theme" Target="theme/theme1.xml"/><Relationship Id="rId5" Type="http://schemas.openxmlformats.org/officeDocument/2006/relationships/hyperlink" Target="https://www.emdria.org/wp-content/uploads/2021/05/GWT.2020.Vol_.25.Issue_.3.RacialTrauma.ALL_.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dria.org/emdr-training/emdr-training-old/find-an-emdr-training/find-an-emdr-training-prov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kelly@thehavenwellnesscenter.com</dc:creator>
  <cp:keywords/>
  <dc:description/>
  <cp:lastModifiedBy>Suzanne Anderson</cp:lastModifiedBy>
  <cp:revision>2</cp:revision>
  <dcterms:created xsi:type="dcterms:W3CDTF">2024-09-05T16:31:00Z</dcterms:created>
  <dcterms:modified xsi:type="dcterms:W3CDTF">2024-09-05T16:31:00Z</dcterms:modified>
</cp:coreProperties>
</file>