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560"/>
        <w:gridCol w:w="2340"/>
        <w:tblGridChange w:id="0">
          <w:tblGrid>
            <w:gridCol w:w="7560"/>
            <w:gridCol w:w="2340"/>
          </w:tblGrid>
        </w:tblGridChange>
      </w:tblGrid>
      <w:tr>
        <w:trPr>
          <w:cantSplit w:val="0"/>
          <w:trHeight w:val="1350" w:hRule="atLeast"/>
          <w:tblHeader w:val="0"/>
        </w:trPr>
        <w:tc>
          <w:tcPr/>
          <w:p w:rsidR="00000000" w:rsidDel="00000000" w:rsidP="00000000" w:rsidRDefault="00000000" w:rsidRPr="00000000" w14:paraId="00000002">
            <w:pPr>
              <w:pStyle w:val="Title"/>
              <w:jc w:val="center"/>
              <w:rPr>
                <w:rFonts w:ascii="Libre Baskerville" w:cs="Libre Baskerville" w:eastAsia="Libre Baskerville" w:hAnsi="Libre Baskerville"/>
                <w:b w:val="1"/>
                <w:i w:val="1"/>
                <w:sz w:val="40"/>
                <w:szCs w:val="40"/>
              </w:rPr>
            </w:pPr>
            <w:r w:rsidDel="00000000" w:rsidR="00000000" w:rsidRPr="00000000">
              <w:rPr>
                <w:rFonts w:ascii="Libre Baskerville" w:cs="Libre Baskerville" w:eastAsia="Libre Baskerville" w:hAnsi="Libre Baskerville"/>
                <w:b w:val="1"/>
                <w:i w:val="1"/>
                <w:sz w:val="40"/>
                <w:szCs w:val="40"/>
                <w:rtl w:val="0"/>
              </w:rPr>
              <w:t xml:space="preserve">SHARING FORWARD </w:t>
            </w:r>
          </w:p>
          <w:p w:rsidR="00000000" w:rsidDel="00000000" w:rsidP="00000000" w:rsidRDefault="00000000" w:rsidRPr="00000000" w14:paraId="00000003">
            <w:pPr>
              <w:pStyle w:val="Title"/>
              <w:jc w:val="center"/>
              <w:rPr>
                <w:rFonts w:ascii="Libre Baskerville" w:cs="Libre Baskerville" w:eastAsia="Libre Baskerville" w:hAnsi="Libre Baskerville"/>
                <w:b w:val="1"/>
                <w:i w:val="1"/>
                <w:sz w:val="40"/>
                <w:szCs w:val="40"/>
              </w:rPr>
            </w:pPr>
            <w:r w:rsidDel="00000000" w:rsidR="00000000" w:rsidRPr="00000000">
              <w:rPr>
                <w:rFonts w:ascii="Libre Baskerville" w:cs="Libre Baskerville" w:eastAsia="Libre Baskerville" w:hAnsi="Libre Baskerville"/>
                <w:b w:val="1"/>
                <w:i w:val="1"/>
                <w:sz w:val="40"/>
                <w:szCs w:val="40"/>
                <w:rtl w:val="0"/>
              </w:rPr>
              <w:t xml:space="preserve">REALTY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Baskerville" w:cs="Libre Baskerville" w:eastAsia="Libre Baskerville" w:hAnsi="Libre Baskerville"/>
                <w:b w:val="1"/>
                <w:i w:val="0"/>
                <w:smallCaps w:val="0"/>
                <w:strike w:val="0"/>
                <w:color w:val="000000"/>
                <w:sz w:val="28"/>
                <w:szCs w:val="28"/>
                <w:u w:val="none"/>
                <w:shd w:fill="auto" w:val="clear"/>
                <w:vertAlign w:val="baseline"/>
              </w:rPr>
            </w:pPr>
            <w:r w:rsidDel="00000000" w:rsidR="00000000" w:rsidRPr="00000000">
              <w:rPr>
                <w:rFonts w:ascii="Libre Baskerville" w:cs="Libre Baskerville" w:eastAsia="Libre Baskerville" w:hAnsi="Libre Baskerville"/>
                <w:b w:val="1"/>
                <w:i w:val="1"/>
                <w:smallCaps w:val="0"/>
                <w:strike w:val="0"/>
                <w:color w:val="000000"/>
                <w:sz w:val="36"/>
                <w:szCs w:val="36"/>
                <w:u w:val="none"/>
                <w:shd w:fill="auto" w:val="clear"/>
                <w:vertAlign w:val="baseline"/>
                <w:rtl w:val="0"/>
              </w:rPr>
              <w:t xml:space="preserve">A Unique Approach to Your Home</w:t>
            </w:r>
            <w:r w:rsidDel="00000000" w:rsidR="00000000" w:rsidRPr="00000000">
              <w:rPr>
                <w:rtl w:val="0"/>
              </w:rPr>
            </w:r>
          </w:p>
          <w:p w:rsidR="00000000" w:rsidDel="00000000" w:rsidP="00000000" w:rsidRDefault="00000000" w:rsidRPr="00000000" w14:paraId="00000005">
            <w:pPr>
              <w:pStyle w:val="Title"/>
              <w:jc w:val="center"/>
              <w:rPr>
                <w:b w:val="1"/>
                <w:i w:val="1"/>
                <w:sz w:val="16"/>
                <w:szCs w:val="16"/>
              </w:rPr>
            </w:pPr>
            <w:r w:rsidDel="00000000" w:rsidR="00000000" w:rsidRPr="00000000">
              <w:rPr>
                <w:rtl w:val="0"/>
              </w:rPr>
            </w:r>
          </w:p>
        </w:tc>
        <w:tc>
          <w:tcPr/>
          <w:p w:rsidR="00000000" w:rsidDel="00000000" w:rsidP="00000000" w:rsidRDefault="00000000" w:rsidRPr="00000000" w14:paraId="00000006">
            <w:pPr>
              <w:pStyle w:val="Title"/>
              <w:jc w:val="center"/>
              <w:rPr>
                <w:b w:val="1"/>
                <w:i w:val="1"/>
              </w:rPr>
            </w:pPr>
            <w:r w:rsidDel="00000000" w:rsidR="00000000" w:rsidRPr="00000000">
              <w:rPr>
                <w:b w:val="1"/>
                <w:sz w:val="28"/>
                <w:szCs w:val="28"/>
              </w:rPr>
              <w:drawing>
                <wp:inline distB="0" distT="0" distL="0" distR="0">
                  <wp:extent cx="902335" cy="92202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02335" cy="9220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pStyle w:val="Heading1"/>
        <w:rPr>
          <w:color w:val="000000"/>
          <w:sz w:val="28"/>
          <w:szCs w:val="28"/>
        </w:rPr>
      </w:pPr>
      <w:r w:rsidDel="00000000" w:rsidR="00000000" w:rsidRPr="00000000">
        <w:rPr>
          <w:color w:val="000000"/>
          <w:sz w:val="28"/>
          <w:szCs w:val="28"/>
          <w:rtl w:val="0"/>
        </w:rPr>
        <w:t xml:space="preserve">How does it work to sell my hoMe?</w:t>
      </w:r>
    </w:p>
    <w:p w:rsidR="00000000" w:rsidDel="00000000" w:rsidP="00000000" w:rsidRDefault="00000000" w:rsidRPr="00000000" w14:paraId="00000008">
      <w:pP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2148205</wp:posOffset>
            </wp:positionH>
            <wp:positionV relativeFrom="paragraph">
              <wp:posOffset>215265</wp:posOffset>
            </wp:positionV>
            <wp:extent cx="274955" cy="343535"/>
            <wp:effectExtent b="0" l="0" r="0" t="0"/>
            <wp:wrapNone/>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4955" cy="343535"/>
                    </a:xfrm>
                    <a:prstGeom prst="rect"/>
                    <a:ln/>
                  </pic:spPr>
                </pic:pic>
              </a:graphicData>
            </a:graphic>
          </wp:anchor>
        </w:drawing>
      </w:r>
    </w:p>
    <w:p w:rsidR="00000000" w:rsidDel="00000000" w:rsidP="00000000" w:rsidRDefault="00000000" w:rsidRPr="00000000" w14:paraId="00000009">
      <w:pPr>
        <w:rPr>
          <w:sz w:val="28"/>
          <w:szCs w:val="28"/>
        </w:rPr>
      </w:pPr>
      <w:r w:rsidDel="00000000" w:rsidR="00000000" w:rsidRPr="00000000">
        <w:rPr>
          <w:sz w:val="28"/>
          <w:szCs w:val="28"/>
          <w:rtl w:val="0"/>
        </w:rPr>
        <w:t xml:space="preserve">1.   Pick a good realtor!!  </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sz w:val="28"/>
          <w:szCs w:val="28"/>
          <w:rtl w:val="0"/>
        </w:rPr>
        <w:t xml:space="preserve">2.  Agency agreement - Gives me permission to work on your behalf.</w:t>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3.  You fill out: </w:t>
      </w:r>
    </w:p>
    <w:p w:rsidR="00000000" w:rsidDel="00000000" w:rsidP="00000000" w:rsidRDefault="00000000" w:rsidRPr="00000000" w14:paraId="0000000E">
      <w:pPr>
        <w:ind w:firstLine="720"/>
        <w:rPr>
          <w:sz w:val="28"/>
          <w:szCs w:val="28"/>
        </w:rPr>
      </w:pPr>
      <w:r w:rsidDel="00000000" w:rsidR="00000000" w:rsidRPr="00000000">
        <w:rPr>
          <w:sz w:val="28"/>
          <w:szCs w:val="28"/>
          <w:rtl w:val="0"/>
        </w:rPr>
        <w:t xml:space="preserve">A.  Residential Disclosure – you tell a potential buyer the things you know about your house.</w:t>
      </w:r>
    </w:p>
    <w:p w:rsidR="00000000" w:rsidDel="00000000" w:rsidP="00000000" w:rsidRDefault="00000000" w:rsidRPr="00000000" w14:paraId="0000000F">
      <w:pPr>
        <w:ind w:firstLine="720"/>
        <w:rPr>
          <w:sz w:val="28"/>
          <w:szCs w:val="28"/>
        </w:rPr>
      </w:pPr>
      <w:r w:rsidDel="00000000" w:rsidR="00000000" w:rsidRPr="00000000">
        <w:rPr>
          <w:sz w:val="28"/>
          <w:szCs w:val="28"/>
          <w:rtl w:val="0"/>
        </w:rPr>
        <w:t xml:space="preserve">B. Lead Base Paint -  If your house built prior to 1974 there may be lead base paint.   </w:t>
      </w:r>
    </w:p>
    <w:p w:rsidR="00000000" w:rsidDel="00000000" w:rsidP="00000000" w:rsidRDefault="00000000" w:rsidRPr="00000000" w14:paraId="00000010">
      <w:pPr>
        <w:rPr>
          <w:sz w:val="16"/>
          <w:szCs w:val="16"/>
        </w:rPr>
      </w:pP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sz w:val="28"/>
          <w:szCs w:val="28"/>
          <w:rtl w:val="0"/>
        </w:rPr>
        <w:t xml:space="preserve">4.  Listing agreement – agreement between you and my company defining how you want to sell your house.  It includes:</w:t>
      </w:r>
    </w:p>
    <w:p w:rsidR="00000000" w:rsidDel="00000000" w:rsidP="00000000" w:rsidRDefault="00000000" w:rsidRPr="00000000" w14:paraId="00000012">
      <w:pPr>
        <w:rPr>
          <w:sz w:val="28"/>
          <w:szCs w:val="28"/>
        </w:rPr>
      </w:pPr>
      <w:r w:rsidDel="00000000" w:rsidR="00000000" w:rsidRPr="00000000">
        <w:rPr>
          <w:sz w:val="28"/>
          <w:szCs w:val="28"/>
          <w:rtl w:val="0"/>
        </w:rPr>
        <w:tab/>
        <w:t xml:space="preserve">A. Selling price?</w:t>
      </w:r>
    </w:p>
    <w:p w:rsidR="00000000" w:rsidDel="00000000" w:rsidP="00000000" w:rsidRDefault="00000000" w:rsidRPr="00000000" w14:paraId="00000013">
      <w:pPr>
        <w:rPr>
          <w:sz w:val="28"/>
          <w:szCs w:val="28"/>
        </w:rPr>
      </w:pPr>
      <w:r w:rsidDel="00000000" w:rsidR="00000000" w:rsidRPr="00000000">
        <w:rPr>
          <w:sz w:val="28"/>
          <w:szCs w:val="28"/>
          <w:rtl w:val="0"/>
        </w:rPr>
        <w:tab/>
        <w:t xml:space="preserve">B.  Do you want lockbox on your house for realtor to access?</w:t>
      </w:r>
    </w:p>
    <w:p w:rsidR="00000000" w:rsidDel="00000000" w:rsidP="00000000" w:rsidRDefault="00000000" w:rsidRPr="00000000" w14:paraId="00000014">
      <w:pPr>
        <w:rPr>
          <w:sz w:val="28"/>
          <w:szCs w:val="28"/>
        </w:rPr>
      </w:pPr>
      <w:r w:rsidDel="00000000" w:rsidR="00000000" w:rsidRPr="00000000">
        <w:rPr>
          <w:sz w:val="28"/>
          <w:szCs w:val="28"/>
          <w:rtl w:val="0"/>
        </w:rPr>
        <w:tab/>
        <w:t xml:space="preserve">C.  Do you want to confirm appointments directly or do you want me to take the calls, find out if the time is acceptable from you, and confirm or deny appointment?</w:t>
      </w:r>
    </w:p>
    <w:p w:rsidR="00000000" w:rsidDel="00000000" w:rsidP="00000000" w:rsidRDefault="00000000" w:rsidRPr="00000000" w14:paraId="00000015">
      <w:pPr>
        <w:rPr>
          <w:sz w:val="28"/>
          <w:szCs w:val="28"/>
        </w:rPr>
      </w:pPr>
      <w:r w:rsidDel="00000000" w:rsidR="00000000" w:rsidRPr="00000000">
        <w:rPr>
          <w:sz w:val="28"/>
          <w:szCs w:val="28"/>
          <w:rtl w:val="0"/>
        </w:rPr>
        <w:tab/>
        <w:t xml:space="preserve">D.  Tell realtors about current offers?  (Can tell only if there is another offer but not details of the offer)</w:t>
      </w:r>
    </w:p>
    <w:p w:rsidR="00000000" w:rsidDel="00000000" w:rsidP="00000000" w:rsidRDefault="00000000" w:rsidRPr="00000000" w14:paraId="00000016">
      <w:pPr>
        <w:rPr>
          <w:sz w:val="28"/>
          <w:szCs w:val="28"/>
        </w:rPr>
      </w:pPr>
      <w:r w:rsidDel="00000000" w:rsidR="00000000" w:rsidRPr="00000000">
        <w:rPr>
          <w:sz w:val="28"/>
          <w:szCs w:val="28"/>
          <w:rtl w:val="0"/>
        </w:rPr>
        <w:tab/>
        <w:t xml:space="preserve">E.  Do you want to give possession to the new buyer at closing, or 30 after closing or……</w:t>
      </w:r>
    </w:p>
    <w:p w:rsidR="00000000" w:rsidDel="00000000" w:rsidP="00000000" w:rsidRDefault="00000000" w:rsidRPr="00000000" w14:paraId="00000017">
      <w:pPr>
        <w:rPr>
          <w:sz w:val="28"/>
          <w:szCs w:val="28"/>
        </w:rPr>
      </w:pPr>
      <w:r w:rsidDel="00000000" w:rsidR="00000000" w:rsidRPr="00000000">
        <w:rPr>
          <w:sz w:val="28"/>
          <w:szCs w:val="28"/>
          <w:rtl w:val="0"/>
        </w:rPr>
        <w:tab/>
        <w:t xml:space="preserve">F.  Realtor fees- 3% of selling price for me, 3 % for buyer’s agent.  </w:t>
      </w:r>
    </w:p>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rPr>
          <w:sz w:val="28"/>
          <w:szCs w:val="28"/>
        </w:rPr>
      </w:pPr>
      <w:r w:rsidDel="00000000" w:rsidR="00000000" w:rsidRPr="00000000">
        <w:rPr>
          <w:sz w:val="28"/>
          <w:szCs w:val="28"/>
          <w:rtl w:val="0"/>
        </w:rPr>
        <w:t xml:space="preserve">5. I take pictures and get details of your home, i.e. room measurements, and your thoughts as to why your home is special. </w:t>
      </w:r>
    </w:p>
    <w:p w:rsidR="00000000" w:rsidDel="00000000" w:rsidP="00000000" w:rsidRDefault="00000000" w:rsidRPr="00000000" w14:paraId="0000001A">
      <w:pPr>
        <w:rPr>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sz w:val="28"/>
          <w:szCs w:val="28"/>
          <w:rtl w:val="0"/>
        </w:rPr>
        <w:t xml:space="preserve">6.  Sign in yard and listing in Realtor.com, Zillow, Trulia, just to name a few. </w:t>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pStyle w:val="Heading1"/>
        <w:rPr>
          <w:color w:val="000000"/>
          <w:sz w:val="28"/>
          <w:szCs w:val="28"/>
        </w:rPr>
      </w:pPr>
      <w:r w:rsidDel="00000000" w:rsidR="00000000" w:rsidRPr="00000000">
        <w:rPr>
          <w:color w:val="000000"/>
          <w:sz w:val="28"/>
          <w:szCs w:val="28"/>
          <w:rtl w:val="0"/>
        </w:rPr>
        <w:t xml:space="preserve">WE HAVE AN OFFER!!!!  Now what?</w:t>
      </w:r>
    </w:p>
    <w:p w:rsidR="00000000" w:rsidDel="00000000" w:rsidP="00000000" w:rsidRDefault="00000000" w:rsidRPr="00000000" w14:paraId="0000001E">
      <w:pPr>
        <w:rPr>
          <w:sz w:val="28"/>
          <w:szCs w:val="28"/>
        </w:rPr>
      </w:pPr>
      <w:r w:rsidDel="00000000" w:rsidR="00000000" w:rsidRPr="00000000">
        <w:rPr>
          <w:sz w:val="28"/>
          <w:szCs w:val="28"/>
          <w:rtl w:val="0"/>
        </w:rPr>
        <w:t xml:space="preserve">1.  Written offers come to me in writing.  Offer includes: </w:t>
      </w:r>
    </w:p>
    <w:p w:rsidR="00000000" w:rsidDel="00000000" w:rsidP="00000000" w:rsidRDefault="00000000" w:rsidRPr="00000000" w14:paraId="0000001F">
      <w:pPr>
        <w:ind w:firstLine="720"/>
        <w:rPr>
          <w:sz w:val="28"/>
          <w:szCs w:val="28"/>
        </w:rPr>
      </w:pPr>
      <w:r w:rsidDel="00000000" w:rsidR="00000000" w:rsidRPr="00000000">
        <w:rPr>
          <w:sz w:val="28"/>
          <w:szCs w:val="28"/>
          <w:rtl w:val="0"/>
        </w:rPr>
        <w:t xml:space="preserve">A. What price is buyer offering? </w:t>
      </w:r>
    </w:p>
    <w:p w:rsidR="00000000" w:rsidDel="00000000" w:rsidP="00000000" w:rsidRDefault="00000000" w:rsidRPr="00000000" w14:paraId="00000020">
      <w:pPr>
        <w:ind w:left="720" w:firstLine="0"/>
        <w:rPr>
          <w:sz w:val="28"/>
          <w:szCs w:val="28"/>
        </w:rPr>
      </w:pPr>
      <w:r w:rsidDel="00000000" w:rsidR="00000000" w:rsidRPr="00000000">
        <w:rPr>
          <w:sz w:val="28"/>
          <w:szCs w:val="28"/>
          <w:rtl w:val="0"/>
        </w:rPr>
        <w:t xml:space="preserve">B. What are the terms of financing?  Some loans have fewer hoops to jump thru for seller. </w:t>
      </w:r>
    </w:p>
    <w:p w:rsidR="00000000" w:rsidDel="00000000" w:rsidP="00000000" w:rsidRDefault="00000000" w:rsidRPr="00000000" w14:paraId="00000021">
      <w:pPr>
        <w:ind w:left="720" w:firstLine="0"/>
        <w:rPr>
          <w:sz w:val="28"/>
          <w:szCs w:val="28"/>
        </w:rPr>
      </w:pPr>
      <w:r w:rsidDel="00000000" w:rsidR="00000000" w:rsidRPr="00000000">
        <w:rPr>
          <w:sz w:val="28"/>
          <w:szCs w:val="28"/>
          <w:rtl w:val="0"/>
        </w:rPr>
        <w:t xml:space="preserve">C. Does buyer want home inspection?  No inspection is easier for seller. </w:t>
      </w:r>
    </w:p>
    <w:p w:rsidR="00000000" w:rsidDel="00000000" w:rsidP="00000000" w:rsidRDefault="00000000" w:rsidRPr="00000000" w14:paraId="00000022">
      <w:pPr>
        <w:ind w:left="720" w:firstLine="0"/>
        <w:rPr>
          <w:sz w:val="28"/>
          <w:szCs w:val="28"/>
        </w:rPr>
      </w:pPr>
      <w:r w:rsidDel="00000000" w:rsidR="00000000" w:rsidRPr="00000000">
        <w:rPr>
          <w:sz w:val="28"/>
          <w:szCs w:val="28"/>
          <w:rtl w:val="0"/>
        </w:rPr>
        <w:t xml:space="preserve">D. Does buyer need help with closing costs?</w:t>
      </w:r>
    </w:p>
    <w:p w:rsidR="00000000" w:rsidDel="00000000" w:rsidP="00000000" w:rsidRDefault="00000000" w:rsidRPr="00000000" w14:paraId="00000023">
      <w:pPr>
        <w:ind w:left="720" w:firstLine="0"/>
        <w:rPr>
          <w:sz w:val="28"/>
          <w:szCs w:val="28"/>
        </w:rPr>
      </w:pPr>
      <w:r w:rsidDel="00000000" w:rsidR="00000000" w:rsidRPr="00000000">
        <w:rPr>
          <w:sz w:val="28"/>
          <w:szCs w:val="28"/>
          <w:rtl w:val="0"/>
        </w:rPr>
        <w:t xml:space="preserve">E.  How much earnest money is proposed buyer willing to put down?</w:t>
      </w:r>
    </w:p>
    <w:p w:rsidR="00000000" w:rsidDel="00000000" w:rsidP="00000000" w:rsidRDefault="00000000" w:rsidRPr="00000000" w14:paraId="00000024">
      <w:pPr>
        <w:ind w:left="720" w:firstLine="0"/>
        <w:rPr>
          <w:sz w:val="28"/>
          <w:szCs w:val="28"/>
        </w:rPr>
      </w:pPr>
      <w:r w:rsidDel="00000000" w:rsidR="00000000" w:rsidRPr="00000000">
        <w:rPr>
          <w:sz w:val="28"/>
          <w:szCs w:val="28"/>
          <w:rtl w:val="0"/>
        </w:rPr>
        <w:t xml:space="preserve">F.  Does the buyer have a house to sell before buying your house?</w:t>
      </w:r>
    </w:p>
    <w:p w:rsidR="00000000" w:rsidDel="00000000" w:rsidP="00000000" w:rsidRDefault="00000000" w:rsidRPr="00000000" w14:paraId="00000025">
      <w:pPr>
        <w:ind w:left="720" w:firstLine="0"/>
        <w:rPr>
          <w:sz w:val="28"/>
          <w:szCs w:val="28"/>
        </w:rPr>
      </w:pPr>
      <w:r w:rsidDel="00000000" w:rsidR="00000000" w:rsidRPr="00000000">
        <w:rPr>
          <w:sz w:val="28"/>
          <w:szCs w:val="28"/>
          <w:rtl w:val="0"/>
        </w:rPr>
        <w:t xml:space="preserve">G. Expiration date/time for the offer.  Usually 24-48 hours.</w:t>
      </w:r>
    </w:p>
    <w:p w:rsidR="00000000" w:rsidDel="00000000" w:rsidP="00000000" w:rsidRDefault="00000000" w:rsidRPr="00000000" w14:paraId="00000026">
      <w:pPr>
        <w:ind w:left="720" w:firstLine="0"/>
        <w:rPr>
          <w:sz w:val="28"/>
          <w:szCs w:val="28"/>
        </w:rPr>
      </w:pPr>
      <w:r w:rsidDel="00000000" w:rsidR="00000000" w:rsidRPr="00000000">
        <w:rPr>
          <w:sz w:val="28"/>
          <w:szCs w:val="28"/>
          <w:rtl w:val="0"/>
        </w:rPr>
        <w:t xml:space="preserve">H.  What title company will be taking care of the transaction.</w:t>
      </w:r>
    </w:p>
    <w:p w:rsidR="00000000" w:rsidDel="00000000" w:rsidP="00000000" w:rsidRDefault="00000000" w:rsidRPr="00000000" w14:paraId="00000027">
      <w:pPr>
        <w:ind w:left="720" w:firstLine="0"/>
        <w:rPr>
          <w:sz w:val="28"/>
          <w:szCs w:val="28"/>
        </w:rPr>
      </w:pPr>
      <w:r w:rsidDel="00000000" w:rsidR="00000000" w:rsidRPr="00000000">
        <w:rPr>
          <w:sz w:val="28"/>
          <w:szCs w:val="28"/>
          <w:rtl w:val="0"/>
        </w:rPr>
        <w:t xml:space="preserve">I.  Taxes are usually prorated.  You pay for taxes for the time you live in the house.   This is done by giving buyer credit at closing.  See example on attached settlement statement. </w:t>
      </w:r>
    </w:p>
    <w:p w:rsidR="00000000" w:rsidDel="00000000" w:rsidP="00000000" w:rsidRDefault="00000000" w:rsidRPr="00000000" w14:paraId="00000028">
      <w:pPr>
        <w:ind w:left="720" w:firstLine="0"/>
        <w:rPr>
          <w:sz w:val="16"/>
          <w:szCs w:val="16"/>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sz w:val="28"/>
          <w:szCs w:val="28"/>
          <w:rtl w:val="0"/>
        </w:rPr>
        <w:t xml:space="preserve">2.  Now we have 2 offers – evaluate them based on the things above. Which offer is best for you. It may or may not be the highest bid.  </w:t>
      </w:r>
    </w:p>
    <w:p w:rsidR="00000000" w:rsidDel="00000000" w:rsidP="00000000" w:rsidRDefault="00000000" w:rsidRPr="00000000" w14:paraId="0000002A">
      <w:pPr>
        <w:rPr>
          <w:strike w:val="1"/>
          <w:sz w:val="16"/>
          <w:szCs w:val="16"/>
        </w:rPr>
      </w:pPr>
      <w:r w:rsidDel="00000000" w:rsidR="00000000" w:rsidRPr="00000000">
        <w:rPr>
          <w:rtl w:val="0"/>
        </w:rPr>
      </w:r>
    </w:p>
    <w:p w:rsidR="00000000" w:rsidDel="00000000" w:rsidP="00000000" w:rsidRDefault="00000000" w:rsidRPr="00000000" w14:paraId="0000002B">
      <w:pPr>
        <w:rPr>
          <w:sz w:val="28"/>
          <w:szCs w:val="28"/>
        </w:rPr>
      </w:pPr>
      <w:r w:rsidDel="00000000" w:rsidR="00000000" w:rsidRPr="00000000">
        <w:rPr>
          <w:sz w:val="28"/>
          <w:szCs w:val="28"/>
          <w:rtl w:val="0"/>
        </w:rPr>
        <w:t xml:space="preserve">3.  If offer is ok but not great price, you may propose a counter offer, i.e. tell potential buyer we need a higher selling price or more earnest money or less closing costs or……</w:t>
      </w:r>
    </w:p>
    <w:p w:rsidR="00000000" w:rsidDel="00000000" w:rsidP="00000000" w:rsidRDefault="00000000" w:rsidRPr="00000000" w14:paraId="0000002C">
      <w:pPr>
        <w:rPr>
          <w:sz w:val="16"/>
          <w:szCs w:val="16"/>
        </w:rPr>
      </w:pPr>
      <w:r w:rsidDel="00000000" w:rsidR="00000000" w:rsidRPr="00000000">
        <w:rPr>
          <w:rtl w:val="0"/>
        </w:rPr>
      </w:r>
    </w:p>
    <w:p w:rsidR="00000000" w:rsidDel="00000000" w:rsidP="00000000" w:rsidRDefault="00000000" w:rsidRPr="00000000" w14:paraId="0000002D">
      <w:pPr>
        <w:pStyle w:val="Heading1"/>
        <w:rPr>
          <w:color w:val="000000"/>
          <w:sz w:val="28"/>
          <w:szCs w:val="28"/>
        </w:rPr>
      </w:pPr>
      <w:r w:rsidDel="00000000" w:rsidR="00000000" w:rsidRPr="00000000">
        <w:rPr>
          <w:color w:val="000000"/>
          <w:sz w:val="28"/>
          <w:szCs w:val="28"/>
          <w:rtl w:val="0"/>
        </w:rPr>
        <w:t xml:space="preserve">WE HAVE AN OFFER THAT WE LIKE!!!!  Now what?</w:t>
      </w:r>
    </w:p>
    <w:p w:rsidR="00000000" w:rsidDel="00000000" w:rsidP="00000000" w:rsidRDefault="00000000" w:rsidRPr="00000000" w14:paraId="0000002E">
      <w:pPr>
        <w:rPr>
          <w:sz w:val="28"/>
          <w:szCs w:val="28"/>
        </w:rPr>
      </w:pPr>
      <w:r w:rsidDel="00000000" w:rsidR="00000000" w:rsidRPr="00000000">
        <w:rPr>
          <w:sz w:val="28"/>
          <w:szCs w:val="28"/>
          <w:rtl w:val="0"/>
        </w:rPr>
        <w:t xml:space="preserve">1.  Buyer gives earnest money check to my company.  It is deposited into an account especially and only for earnest money.</w:t>
      </w:r>
    </w:p>
    <w:p w:rsidR="00000000" w:rsidDel="00000000" w:rsidP="00000000" w:rsidRDefault="00000000" w:rsidRPr="00000000" w14:paraId="0000002F">
      <w:pPr>
        <w:rPr>
          <w:sz w:val="16"/>
          <w:szCs w:val="16"/>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sz w:val="28"/>
          <w:szCs w:val="28"/>
          <w:rtl w:val="0"/>
        </w:rPr>
        <w:t xml:space="preserve">2.  If inspection is ordered, buyer schedules inspection.   </w:t>
      </w:r>
    </w:p>
    <w:p w:rsidR="00000000" w:rsidDel="00000000" w:rsidP="00000000" w:rsidRDefault="00000000" w:rsidRPr="00000000" w14:paraId="00000031">
      <w:pPr>
        <w:ind w:firstLine="720"/>
        <w:rPr>
          <w:sz w:val="28"/>
          <w:szCs w:val="28"/>
        </w:rPr>
      </w:pPr>
      <w:r w:rsidDel="00000000" w:rsidR="00000000" w:rsidRPr="00000000">
        <w:rPr>
          <w:sz w:val="28"/>
          <w:szCs w:val="28"/>
          <w:rtl w:val="0"/>
        </w:rPr>
        <w:t xml:space="preserve">He/she has only a certain number of days to give you the results of the inspection.  </w:t>
      </w:r>
    </w:p>
    <w:p w:rsidR="00000000" w:rsidDel="00000000" w:rsidP="00000000" w:rsidRDefault="00000000" w:rsidRPr="00000000" w14:paraId="00000032">
      <w:pPr>
        <w:ind w:firstLine="720"/>
        <w:rPr>
          <w:sz w:val="28"/>
          <w:szCs w:val="28"/>
        </w:rPr>
      </w:pPr>
      <w:r w:rsidDel="00000000" w:rsidR="00000000" w:rsidRPr="00000000">
        <w:rPr>
          <w:sz w:val="28"/>
          <w:szCs w:val="28"/>
          <w:rtl w:val="0"/>
        </w:rPr>
        <w:t xml:space="preserve">He/she may ask you to make some repairs, usually based on safety concerns, i.e. bare wires, broken concrete on porches.   </w:t>
      </w:r>
    </w:p>
    <w:p w:rsidR="00000000" w:rsidDel="00000000" w:rsidP="00000000" w:rsidRDefault="00000000" w:rsidRPr="00000000" w14:paraId="00000033">
      <w:pPr>
        <w:ind w:firstLine="720"/>
        <w:rPr>
          <w:sz w:val="28"/>
          <w:szCs w:val="28"/>
        </w:rPr>
      </w:pPr>
      <w:r w:rsidDel="00000000" w:rsidR="00000000" w:rsidRPr="00000000">
        <w:rPr>
          <w:sz w:val="28"/>
          <w:szCs w:val="28"/>
          <w:rtl w:val="0"/>
        </w:rPr>
        <w:t xml:space="preserve">You can choose not to make repairs and back out of the contract. If you back out, earnest money returned to potential buyer.  </w:t>
      </w:r>
    </w:p>
    <w:p w:rsidR="00000000" w:rsidDel="00000000" w:rsidP="00000000" w:rsidRDefault="00000000" w:rsidRPr="00000000" w14:paraId="00000034">
      <w:pPr>
        <w:ind w:firstLine="720"/>
        <w:rPr>
          <w:sz w:val="28"/>
          <w:szCs w:val="28"/>
        </w:rPr>
      </w:pPr>
      <w:r w:rsidDel="00000000" w:rsidR="00000000" w:rsidRPr="00000000">
        <w:rPr>
          <w:sz w:val="28"/>
          <w:szCs w:val="28"/>
          <w:rtl w:val="0"/>
        </w:rPr>
        <w:t xml:space="preserve">You keep earnest money if buyer backs out for any reason other than there is a major issue with the house that may affect the value.  </w:t>
      </w:r>
    </w:p>
    <w:p w:rsidR="00000000" w:rsidDel="00000000" w:rsidP="00000000" w:rsidRDefault="00000000" w:rsidRPr="00000000" w14:paraId="00000035">
      <w:pPr>
        <w:ind w:firstLine="720"/>
        <w:rPr>
          <w:sz w:val="28"/>
          <w:szCs w:val="28"/>
        </w:rPr>
      </w:pPr>
      <w:r w:rsidDel="00000000" w:rsidR="00000000" w:rsidRPr="00000000">
        <w:rPr>
          <w:rtl w:val="0"/>
        </w:rPr>
      </w:r>
    </w:p>
    <w:p w:rsidR="00000000" w:rsidDel="00000000" w:rsidP="00000000" w:rsidRDefault="00000000" w:rsidRPr="00000000" w14:paraId="00000036">
      <w:pPr>
        <w:rPr>
          <w:sz w:val="28"/>
          <w:szCs w:val="28"/>
        </w:rPr>
      </w:pPr>
      <w:r w:rsidDel="00000000" w:rsidR="00000000" w:rsidRPr="00000000">
        <w:rPr>
          <w:sz w:val="28"/>
          <w:szCs w:val="28"/>
          <w:rtl w:val="0"/>
        </w:rPr>
        <w:t xml:space="preserve">3.  May be adjustments along the way due to requirements for the buyer’s loan.  We will do Amendment(s) to handing these things as they come.</w:t>
      </w:r>
    </w:p>
    <w:p w:rsidR="00000000" w:rsidDel="00000000" w:rsidP="00000000" w:rsidRDefault="00000000" w:rsidRPr="00000000" w14:paraId="00000037">
      <w:pPr>
        <w:rPr>
          <w:sz w:val="28"/>
          <w:szCs w:val="28"/>
        </w:rPr>
      </w:pPr>
      <w:r w:rsidDel="00000000" w:rsidR="00000000" w:rsidRPr="00000000">
        <w:rPr>
          <w:rtl w:val="0"/>
        </w:rPr>
      </w:r>
    </w:p>
    <w:p w:rsidR="00000000" w:rsidDel="00000000" w:rsidP="00000000" w:rsidRDefault="00000000" w:rsidRPr="00000000" w14:paraId="00000038">
      <w:pPr>
        <w:rPr>
          <w:sz w:val="28"/>
          <w:szCs w:val="28"/>
        </w:rPr>
      </w:pPr>
      <w:r w:rsidDel="00000000" w:rsidR="00000000" w:rsidRPr="00000000">
        <w:rPr>
          <w:sz w:val="28"/>
          <w:szCs w:val="28"/>
          <w:rtl w:val="0"/>
        </w:rPr>
        <w:t xml:space="preserve">4.  House is appraised for purchase price meaning evaluated for its worth.  Is it worth what the bank is loaning on it?   If it does not mean selling price, may need to adjust selling price down to reflect that value.</w:t>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sz w:val="28"/>
          <w:szCs w:val="28"/>
          <w:rtl w:val="0"/>
        </w:rPr>
        <w:t xml:space="preserve">5.  Closing is set.  Buyers do FINAL WALK THRU to make sure no changes have been made since they saw it last.  </w:t>
      </w:r>
    </w:p>
    <w:p w:rsidR="00000000" w:rsidDel="00000000" w:rsidP="00000000" w:rsidRDefault="00000000" w:rsidRPr="00000000" w14:paraId="0000003B">
      <w:pPr>
        <w:rPr>
          <w:sz w:val="28"/>
          <w:szCs w:val="28"/>
        </w:rPr>
      </w:pPr>
      <w:r w:rsidDel="00000000" w:rsidR="00000000" w:rsidRPr="00000000">
        <w:rPr>
          <w:rtl w:val="0"/>
        </w:rPr>
      </w:r>
    </w:p>
    <w:p w:rsidR="00000000" w:rsidDel="00000000" w:rsidP="00000000" w:rsidRDefault="00000000" w:rsidRPr="00000000" w14:paraId="0000003C">
      <w:pPr>
        <w:rPr>
          <w:sz w:val="28"/>
          <w:szCs w:val="28"/>
        </w:rPr>
      </w:pPr>
      <w:r w:rsidDel="00000000" w:rsidR="00000000" w:rsidRPr="00000000">
        <w:rPr>
          <w:sz w:val="28"/>
          <w:szCs w:val="28"/>
          <w:rtl w:val="0"/>
        </w:rPr>
        <w:t xml:space="preserve">6.  Settlement statement distributed a few days before closing.  See attached example.  </w:t>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tabs>
          <w:tab w:val="left" w:leader="none" w:pos="1282"/>
        </w:tabs>
        <w:rPr>
          <w:sz w:val="28"/>
          <w:szCs w:val="28"/>
        </w:rPr>
      </w:pPr>
      <w:r w:rsidDel="00000000" w:rsidR="00000000" w:rsidRPr="00000000">
        <w:rPr>
          <w:sz w:val="28"/>
          <w:szCs w:val="28"/>
          <w:rtl w:val="0"/>
        </w:rPr>
        <w:t xml:space="preserve">7.  CLOSING!!!!!   You get your funds from the sale.  Sign original disclosure form again saying the condition of the house has not changed</w:t>
      </w:r>
    </w:p>
    <w:p w:rsidR="00000000" w:rsidDel="00000000" w:rsidP="00000000" w:rsidRDefault="00000000" w:rsidRPr="00000000" w14:paraId="0000003F">
      <w:pPr>
        <w:rPr>
          <w:sz w:val="28"/>
          <w:szCs w:val="28"/>
        </w:rPr>
      </w:pPr>
      <w:r w:rsidDel="00000000" w:rsidR="00000000" w:rsidRPr="00000000">
        <w:rPr>
          <w:rtl w:val="0"/>
        </w:rPr>
      </w:r>
    </w:p>
    <w:p w:rsidR="00000000" w:rsidDel="00000000" w:rsidP="00000000" w:rsidRDefault="00000000" w:rsidRPr="00000000" w14:paraId="00000040">
      <w:pPr>
        <w:rPr>
          <w:sz w:val="28"/>
          <w:szCs w:val="28"/>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864" w:top="864" w:left="864"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ibre Baskerville">
    <w:embedRegular w:fontKey="{00000000-0000-0000-0000-000000000000}" r:id="rId1" w:subsetted="0"/>
    <w:embedBold w:fontKey="{00000000-0000-0000-0000-000000000000}" r:id="rId2" w:subsetted="0"/>
    <w:embedItalic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right"/>
      <w:rPr>
        <w:rFonts w:ascii="Century Gothic" w:cs="Century Gothic" w:eastAsia="Century Gothic" w:hAnsi="Century Gothic"/>
        <w:b w:val="0"/>
        <w:i w:val="0"/>
        <w:smallCaps w:val="0"/>
        <w:strike w:val="0"/>
        <w:color w:val="637052"/>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right"/>
      <w:rPr>
        <w:rFonts w:ascii="Century Gothic" w:cs="Century Gothic" w:eastAsia="Century Gothic" w:hAnsi="Century Gothic"/>
        <w:b w:val="0"/>
        <w:i w:val="0"/>
        <w:smallCaps w:val="0"/>
        <w:strike w:val="0"/>
        <w:color w:val="637052"/>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right"/>
      <w:rPr>
        <w:rFonts w:ascii="Century Gothic" w:cs="Century Gothic" w:eastAsia="Century Gothic" w:hAnsi="Century Gothic"/>
        <w:b w:val="0"/>
        <w:i w:val="0"/>
        <w:smallCaps w:val="0"/>
        <w:strike w:val="0"/>
        <w:color w:val="637052"/>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637052"/>
        <w:sz w:val="18"/>
        <w:szCs w:val="18"/>
        <w:u w:val="none"/>
        <w:shd w:fill="auto" w:val="clear"/>
        <w:vertAlign w:val="baseline"/>
        <w:rtl w:val="0"/>
      </w:rPr>
      <w:t xml:space="preserve">Sharing Forward Realty  NAME HERE   </w:t>
    </w:r>
    <w:r w:rsidDel="00000000" w:rsidR="00000000" w:rsidRPr="00000000">
      <w:rPr>
        <w:color w:val="637052"/>
        <w:rtl w:val="0"/>
      </w:rPr>
      <w:t xml:space="preserve">765-xxx-xxxx</w:t>
    </w:r>
    <w:r w:rsidDel="00000000" w:rsidR="00000000" w:rsidRPr="00000000">
      <w:rPr>
        <w:rFonts w:ascii="Century Gothic" w:cs="Century Gothic" w:eastAsia="Century Gothic" w:hAnsi="Century Gothic"/>
        <w:b w:val="0"/>
        <w:i w:val="0"/>
        <w:smallCaps w:val="0"/>
        <w:strike w:val="0"/>
        <w:color w:val="637052"/>
        <w:sz w:val="18"/>
        <w:szCs w:val="18"/>
        <w:u w:val="none"/>
        <w:shd w:fill="auto" w:val="clear"/>
        <w:vertAlign w:val="baseline"/>
        <w:rtl w:val="0"/>
      </w:rPr>
      <w:t xml:space="preserve">                                                                          Selling your home?  Page | </w:t>
    </w:r>
    <w:r w:rsidDel="00000000" w:rsidR="00000000" w:rsidRPr="00000000">
      <w:rPr>
        <w:rFonts w:ascii="Century Gothic" w:cs="Century Gothic" w:eastAsia="Century Gothic" w:hAnsi="Century Gothic"/>
        <w:b w:val="0"/>
        <w:i w:val="0"/>
        <w:smallCaps w:val="0"/>
        <w:strike w:val="0"/>
        <w:color w:val="637052"/>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637052"/>
        <w:sz w:val="18"/>
        <w:szCs w:val="18"/>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18"/>
        <w:szCs w:val="18"/>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pPr>
    <w:rPr>
      <w:rFonts w:ascii="Century Gothic" w:cs="Century Gothic" w:eastAsia="Century Gothic" w:hAnsi="Century Gothic"/>
      <w:b w:val="1"/>
      <w:smallCaps w:val="1"/>
      <w:color w:val="e48312"/>
      <w:sz w:val="24"/>
      <w:szCs w:val="24"/>
    </w:rPr>
  </w:style>
  <w:style w:type="paragraph" w:styleId="Heading2">
    <w:name w:val="heading 2"/>
    <w:basedOn w:val="Normal"/>
    <w:next w:val="Normal"/>
    <w:pPr>
      <w:shd w:fill="eadbd4" w:val="clear"/>
      <w:spacing w:before="240" w:lineRule="auto"/>
    </w:pPr>
    <w:rPr>
      <w:color w:val="865640"/>
      <w:sz w:val="22"/>
      <w:szCs w:val="22"/>
    </w:rPr>
  </w:style>
  <w:style w:type="paragraph" w:styleId="Heading3">
    <w:name w:val="heading 3"/>
    <w:basedOn w:val="Normal"/>
    <w:next w:val="Normal"/>
    <w:pPr/>
    <w:rPr>
      <w:rFonts w:ascii="Century Gothic" w:cs="Century Gothic" w:eastAsia="Century Gothic" w:hAnsi="Century Gothic"/>
      <w:color w:val="bd582c"/>
    </w:rPr>
  </w:style>
  <w:style w:type="paragraph" w:styleId="Heading4">
    <w:name w:val="heading 4"/>
    <w:basedOn w:val="Normal"/>
    <w:next w:val="Normal"/>
    <w:pPr>
      <w:spacing w:before="240" w:lineRule="auto"/>
    </w:pPr>
    <w:rPr>
      <w:rFonts w:ascii="Century Gothic" w:cs="Century Gothic" w:eastAsia="Century Gothic" w:hAnsi="Century Gothic"/>
      <w:color w:val="64402f"/>
    </w:rPr>
  </w:style>
  <w:style w:type="paragraph" w:styleId="Heading5">
    <w:name w:val="heading 5"/>
    <w:basedOn w:val="Normal"/>
    <w:next w:val="Normal"/>
    <w:pPr>
      <w:spacing w:after="60" w:before="240" w:lineRule="auto"/>
    </w:pPr>
    <w:rPr>
      <w:rFonts w:ascii="Century Gothic" w:cs="Century Gothic" w:eastAsia="Century Gothic" w:hAnsi="Century Gothic"/>
      <w:b w:val="1"/>
      <w:i w:val="1"/>
      <w:sz w:val="26"/>
      <w:szCs w:val="26"/>
    </w:rPr>
  </w:style>
  <w:style w:type="paragraph" w:styleId="Heading6">
    <w:name w:val="heading 6"/>
    <w:basedOn w:val="Normal"/>
    <w:next w:val="Normal"/>
    <w:pPr>
      <w:spacing w:after="60" w:before="240" w:lineRule="auto"/>
    </w:pPr>
    <w:rPr>
      <w:rFonts w:ascii="Century Gothic" w:cs="Century Gothic" w:eastAsia="Century Gothic" w:hAnsi="Century Gothic"/>
      <w:b w:val="1"/>
      <w:sz w:val="22"/>
      <w:szCs w:val="22"/>
    </w:rPr>
  </w:style>
  <w:style w:type="paragraph" w:styleId="Title">
    <w:name w:val="Title"/>
    <w:basedOn w:val="Normal"/>
    <w:next w:val="Normal"/>
    <w:pPr>
      <w:spacing w:after="0" w:before="0" w:lineRule="auto"/>
    </w:pPr>
    <w:rPr>
      <w:rFonts w:ascii="Century Gothic" w:cs="Century Gothic" w:eastAsia="Century Gothic" w:hAnsi="Century Gothic"/>
      <w:color w:val="000000"/>
      <w:sz w:val="56"/>
      <w:szCs w:val="56"/>
    </w:rPr>
  </w:style>
  <w:style w:type="paragraph" w:styleId="Normal" w:default="1">
    <w:name w:val="Normal"/>
    <w:qFormat w:val="1"/>
    <w:pPr>
      <w:spacing w:after="100" w:before="100"/>
    </w:pPr>
    <w:rPr>
      <w:color w:val="000000" w:themeColor="text1"/>
      <w:sz w:val="18"/>
      <w:szCs w:val="18"/>
    </w:rPr>
  </w:style>
  <w:style w:type="paragraph" w:styleId="Heading1">
    <w:name w:val="heading 1"/>
    <w:basedOn w:val="Normal"/>
    <w:next w:val="Normal"/>
    <w:qFormat w:val="1"/>
    <w:pPr>
      <w:spacing w:after="240" w:before="240"/>
      <w:outlineLvl w:val="0"/>
    </w:pPr>
    <w:rPr>
      <w:rFonts w:asciiTheme="majorHAnsi" w:cstheme="majorBidi" w:eastAsiaTheme="majorEastAsia" w:hAnsiTheme="majorHAnsi"/>
      <w:b w:val="1"/>
      <w:bCs w:val="1"/>
      <w:caps w:val="1"/>
      <w:color w:val="e48312" w:themeColor="accent1"/>
      <w:sz w:val="24"/>
      <w:szCs w:val="24"/>
    </w:rPr>
  </w:style>
  <w:style w:type="paragraph" w:styleId="Heading2">
    <w:name w:val="heading 2"/>
    <w:basedOn w:val="Normal"/>
    <w:next w:val="Normal"/>
    <w:unhideWhenUsed w:val="1"/>
    <w:qFormat w:val="1"/>
    <w:pPr>
      <w:shd w:color="auto" w:fill="eadbd4" w:themeFill="accent3" w:themeFillTint="000033" w:val="clear"/>
      <w:spacing w:before="240"/>
      <w:outlineLvl w:val="1"/>
    </w:pPr>
    <w:rPr>
      <w:color w:val="865640" w:themeColor="accent3"/>
      <w:sz w:val="22"/>
      <w:szCs w:val="22"/>
    </w:rPr>
  </w:style>
  <w:style w:type="paragraph" w:styleId="Heading3">
    <w:name w:val="heading 3"/>
    <w:basedOn w:val="Normal"/>
    <w:next w:val="Normal"/>
    <w:unhideWhenUsed w:val="1"/>
    <w:qFormat w:val="1"/>
    <w:pPr>
      <w:outlineLvl w:val="2"/>
    </w:pPr>
    <w:rPr>
      <w:rFonts w:asciiTheme="majorHAnsi" w:cstheme="majorBidi" w:eastAsiaTheme="majorEastAsia" w:hAnsiTheme="majorHAnsi"/>
      <w:color w:val="bd582c" w:themeColor="accent2"/>
    </w:rPr>
  </w:style>
  <w:style w:type="paragraph" w:styleId="Heading4">
    <w:name w:val="heading 4"/>
    <w:basedOn w:val="Heading3"/>
    <w:next w:val="Normal"/>
    <w:link w:val="Heading4Char"/>
    <w:uiPriority w:val="9"/>
    <w:unhideWhenUsed w:val="1"/>
    <w:pPr>
      <w:spacing w:before="240"/>
      <w:outlineLvl w:val="3"/>
    </w:pPr>
    <w:rPr>
      <w:color w:val="644030" w:themeColor="accent3" w:themeShade="0000BF"/>
    </w:rPr>
  </w:style>
  <w:style w:type="paragraph" w:styleId="Heading5">
    <w:name w:val="heading 5"/>
    <w:basedOn w:val="Normal"/>
    <w:next w:val="Normal"/>
    <w:link w:val="Heading5Char"/>
    <w:uiPriority w:val="9"/>
    <w:semiHidden w:val="1"/>
    <w:unhideWhenUsed w:val="1"/>
    <w:pPr>
      <w:spacing w:after="60" w:before="240"/>
      <w:outlineLvl w:val="4"/>
    </w:pPr>
    <w:rPr>
      <w:rFonts w:asciiTheme="majorHAnsi" w:cstheme="majorBidi" w:eastAsiaTheme="majorEastAsia" w:hAnsiTheme="majorHAnsi"/>
      <w:b w:val="1"/>
      <w:bCs w:val="1"/>
      <w:i w:val="1"/>
      <w:iCs w:val="1"/>
      <w:sz w:val="26"/>
      <w:szCs w:val="26"/>
    </w:rPr>
  </w:style>
  <w:style w:type="paragraph" w:styleId="Heading6">
    <w:name w:val="heading 6"/>
    <w:basedOn w:val="Normal"/>
    <w:next w:val="Normal"/>
    <w:link w:val="Heading6Char"/>
    <w:uiPriority w:val="9"/>
    <w:semiHidden w:val="1"/>
    <w:unhideWhenUsed w:val="1"/>
    <w:qFormat w:val="1"/>
    <w:pPr>
      <w:spacing w:after="60" w:before="240"/>
      <w:outlineLvl w:val="5"/>
    </w:pPr>
    <w:rPr>
      <w:rFonts w:asciiTheme="majorHAnsi" w:cstheme="majorBidi" w:eastAsiaTheme="majorEastAsia" w:hAnsiTheme="majorHAnsi"/>
      <w:b w:val="1"/>
      <w:bCs w:val="1"/>
      <w:sz w:val="22"/>
      <w:szCs w:val="22"/>
    </w:rPr>
  </w:style>
  <w:style w:type="paragraph" w:styleId="Heading7">
    <w:name w:val="heading 7"/>
    <w:basedOn w:val="Normal"/>
    <w:next w:val="Normal"/>
    <w:link w:val="Heading7Char"/>
    <w:uiPriority w:val="9"/>
    <w:semiHidden w:val="1"/>
    <w:unhideWhenUsed w:val="1"/>
    <w:qFormat w:val="1"/>
    <w:pPr>
      <w:spacing w:after="60" w:before="240"/>
      <w:outlineLvl w:val="6"/>
    </w:pPr>
    <w:rPr>
      <w:rFonts w:asciiTheme="majorHAnsi" w:cstheme="majorBidi" w:eastAsiaTheme="majorEastAsia" w:hAnsiTheme="majorHAnsi"/>
      <w:sz w:val="24"/>
      <w:szCs w:val="24"/>
    </w:rPr>
  </w:style>
  <w:style w:type="paragraph" w:styleId="Heading8">
    <w:name w:val="heading 8"/>
    <w:basedOn w:val="Normal"/>
    <w:next w:val="Normal"/>
    <w:link w:val="Heading8Char"/>
    <w:uiPriority w:val="9"/>
    <w:semiHidden w:val="1"/>
    <w:unhideWhenUsed w:val="1"/>
    <w:qFormat w:val="1"/>
    <w:pPr>
      <w:spacing w:after="60" w:before="240"/>
      <w:outlineLvl w:val="7"/>
    </w:pPr>
    <w:rPr>
      <w:rFonts w:asciiTheme="majorHAnsi" w:cstheme="majorBidi" w:eastAsiaTheme="majorEastAsia" w:hAnsiTheme="majorHAnsi"/>
      <w:i w:val="1"/>
      <w:iCs w:val="1"/>
      <w:sz w:val="24"/>
      <w:szCs w:val="24"/>
    </w:rPr>
  </w:style>
  <w:style w:type="paragraph" w:styleId="Heading9">
    <w:name w:val="heading 9"/>
    <w:basedOn w:val="Normal"/>
    <w:next w:val="Normal"/>
    <w:link w:val="Heading9Char"/>
    <w:uiPriority w:val="9"/>
    <w:semiHidden w:val="1"/>
    <w:unhideWhenUsed w:val="1"/>
    <w:qFormat w:val="1"/>
    <w:pPr>
      <w:spacing w:after="60" w:before="240"/>
      <w:outlineLvl w:val="8"/>
    </w:pPr>
    <w:rPr>
      <w:rFonts w:asciiTheme="majorHAnsi" w:cstheme="majorBidi" w:eastAsiaTheme="majorEastAsia" w:hAnsiTheme="majorHAns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PlaceholderText">
    <w:name w:val="Placeholder Text"/>
    <w:basedOn w:val="DefaultParagraphFont"/>
    <w:uiPriority w:val="99"/>
    <w:semiHidden w:val="1"/>
    <w:rPr>
      <w:color w:val="808080"/>
    </w:rPr>
  </w:style>
  <w:style w:type="table" w:styleId="GridTable1Light-Accent1">
    <w:name w:val="Grid Table 1 Light Accent 1"/>
    <w:aliases w:val="Employee status"/>
    <w:basedOn w:val="TableNormal"/>
    <w:uiPriority w:val="46"/>
    <w:rPr>
      <w:kern w:val="22"/>
    </w:rPr>
    <w:tblPr>
      <w:tblStyleRowBandSize w:val="1"/>
      <w:tblStyleColBandSize w:val="1"/>
      <w:tblBorders>
        <w:insideH w:color="e48312" w:space="0" w:sz="4" w:themeColor="accent1" w:val="single"/>
      </w:tblBorders>
      <w:tblCellMar>
        <w:top w:w="29.0" w:type="dxa"/>
        <w:bottom w:w="29.0" w:type="dxa"/>
      </w:tblCellMar>
    </w:tblPr>
    <w:tblStylePr w:type="firstRow">
      <w:rPr>
        <w:b w:val="0"/>
        <w:bCs w:val="1"/>
      </w:rPr>
      <w:tblPr/>
      <w:tcPr>
        <w:tcBorders>
          <w:top w:space="0" w:sz="0" w:val="nil"/>
          <w:left w:space="0" w:sz="0" w:val="nil"/>
          <w:bottom w:color="e48312" w:space="0" w:sz="12" w:themeColor="accent1" w:val="single"/>
          <w:right w:space="0" w:sz="0" w:val="nil"/>
          <w:insideH w:space="0" w:sz="0" w:val="nil"/>
          <w:insideV w:space="0" w:sz="0" w:val="nil"/>
          <w:tl2br w:space="0" w:sz="0" w:val="nil"/>
          <w:tr2bl w:space="0" w:sz="0" w:val="nil"/>
        </w:tcBorders>
      </w:tcPr>
    </w:tblStylePr>
    <w:tblStylePr w:type="lastRow">
      <w:rPr>
        <w:b w:val="1"/>
        <w:bCs w:val="1"/>
      </w:rPr>
      <w:tblPr/>
      <w:tcPr>
        <w:tcBorders>
          <w:top w:color="f3b46b" w:space="0" w:sz="2" w:themeColor="accent1" w:themeTint="000099" w:val="double"/>
        </w:tcBorders>
      </w:tcPr>
    </w:tblStylePr>
    <w:tblStylePr w:type="firstCol">
      <w:rPr>
        <w:b w:val="0"/>
        <w:bCs w:val="1"/>
      </w:rPr>
    </w:tblStylePr>
    <w:tblStylePr w:type="lastCol">
      <w:rPr>
        <w:b w:val="0"/>
        <w:bCs w:val="1"/>
      </w:rPr>
    </w:tblStylePr>
  </w:style>
  <w:style w:type="paragraph" w:styleId="Footer">
    <w:name w:val="footer"/>
    <w:basedOn w:val="Normal"/>
    <w:link w:val="FooterChar"/>
    <w:uiPriority w:val="1"/>
    <w:unhideWhenUsed w:val="1"/>
    <w:pPr>
      <w:spacing w:after="80" w:before="80"/>
      <w:jc w:val="right"/>
    </w:pPr>
    <w:rPr>
      <w:color w:val="637052" w:themeColor="text2"/>
    </w:rPr>
  </w:style>
  <w:style w:type="character" w:styleId="FooterChar" w:customStyle="1">
    <w:name w:val="Footer Char"/>
    <w:basedOn w:val="DefaultParagraphFont"/>
    <w:link w:val="Footer"/>
    <w:uiPriority w:val="1"/>
    <w:rPr>
      <w:color w:val="637052" w:themeColor="text2"/>
      <w:sz w:val="18"/>
      <w:szCs w:val="18"/>
    </w:rPr>
  </w:style>
  <w:style w:type="character" w:styleId="Heading4Char" w:customStyle="1">
    <w:name w:val="Heading 4 Char"/>
    <w:basedOn w:val="DefaultParagraphFont"/>
    <w:link w:val="Heading4"/>
    <w:uiPriority w:val="9"/>
    <w:rPr>
      <w:rFonts w:asciiTheme="majorHAnsi" w:cstheme="majorBidi" w:eastAsiaTheme="majorEastAsia" w:hAnsiTheme="majorHAnsi"/>
      <w:color w:val="644030" w:themeColor="accent3" w:themeShade="0000BF"/>
      <w:sz w:val="18"/>
      <w:szCs w:val="18"/>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b w:val="1"/>
      <w:bCs w:val="1"/>
      <w:i w:val="1"/>
      <w:iCs w:val="1"/>
      <w:sz w:val="26"/>
      <w:szCs w:val="26"/>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b w:val="1"/>
      <w:bCs w:val="1"/>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sz w:val="24"/>
      <w:szCs w:val="24"/>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i w:val="1"/>
      <w:iCs w:val="1"/>
      <w:sz w:val="24"/>
      <w:szCs w:val="24"/>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rPr>
  </w:style>
  <w:style w:type="paragraph" w:styleId="Caption">
    <w:name w:val="caption"/>
    <w:basedOn w:val="Normal"/>
    <w:next w:val="Normal"/>
    <w:uiPriority w:val="35"/>
    <w:semiHidden w:val="1"/>
    <w:unhideWhenUsed w:val="1"/>
    <w:rPr>
      <w:b w:val="1"/>
      <w:bCs w:val="1"/>
      <w:color w:val="404040" w:themeColor="text1" w:themeTint="0000BF"/>
    </w:rPr>
  </w:style>
  <w:style w:type="paragraph" w:styleId="TOCHeading">
    <w:name w:val="TOC Heading"/>
    <w:basedOn w:val="Heading1"/>
    <w:next w:val="Normal"/>
    <w:uiPriority w:val="39"/>
    <w:semiHidden w:val="1"/>
    <w:unhideWhenUsed w:val="1"/>
    <w:qFormat w:val="1"/>
    <w:pPr>
      <w:outlineLvl w:val="9"/>
    </w:pPr>
  </w:style>
  <w:style w:type="table" w:styleId="TableGrid">
    <w:name w:val="Table Grid"/>
    <w:basedOn w:val="TableNormal"/>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ogo" w:customStyle="1">
    <w:name w:val="Logo"/>
    <w:basedOn w:val="Normal"/>
    <w:qFormat w:val="1"/>
    <w:pPr>
      <w:jc w:val="center"/>
    </w:pPr>
    <w:rPr>
      <w:noProof w:val="1"/>
    </w:rPr>
  </w:style>
  <w:style w:type="table" w:styleId="GridTable1Light">
    <w:name w:val="Grid Table 1 Light"/>
    <w:basedOn w:val="TableNormal"/>
    <w:uiPriority w:val="46"/>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CellMar>
        <w:top w:w="29.0" w:type="dxa"/>
        <w:bottom w:w="29.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PlainTable2">
    <w:name w:val="Plain Table 2"/>
    <w:basedOn w:val="TableNormal"/>
    <w:uiPriority w:val="42"/>
    <w:tblPr>
      <w:tblStyleRowBandSize w:val="1"/>
      <w:tblStyleColBandSize w:val="1"/>
      <w:tblBorders>
        <w:top w:color="f4dcd1" w:space="0" w:sz="4" w:themeColor="accent2" w:themeTint="000033" w:val="single"/>
        <w:bottom w:color="f4dcd1" w:space="0" w:sz="4" w:themeColor="accent2" w:themeTint="000033" w:val="single"/>
        <w:insideH w:color="f4dcd1" w:space="0" w:sz="4" w:themeColor="accent2" w:themeTint="000033" w:val="single"/>
      </w:tblBorders>
      <w:tblCellMar>
        <w:top w:w="29.0" w:type="dxa"/>
        <w:bottom w:w="29.0" w:type="dxa"/>
      </w:tblCellMar>
    </w:tblPr>
    <w:tcPr>
      <w:shd w:color="auto" w:fill="auto" w:val="clear"/>
    </w:tc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ListTable1Light-Accent6">
    <w:name w:val="List Table 1 Light Accent 6"/>
    <w:basedOn w:val="TableNormal"/>
    <w:uiPriority w:val="46"/>
    <w:tblPr>
      <w:tblStyleRowBandSize w:val="1"/>
      <w:tblStyleColBandSize w:val="1"/>
      <w:tblCellMar>
        <w:top w:w="29.0" w:type="dxa"/>
        <w:bottom w:w="29.0" w:type="dxa"/>
      </w:tblCellMar>
    </w:tblPr>
    <w:tblStylePr w:type="firstRow">
      <w:rPr>
        <w:b w:val="1"/>
        <w:bCs w:val="1"/>
      </w:rPr>
      <w:tblPr/>
      <w:tcPr>
        <w:tcBorders>
          <w:bottom w:color="bec6b7" w:space="0" w:sz="4" w:themeColor="accent6" w:themeTint="000099" w:val="single"/>
        </w:tcBorders>
      </w:tcPr>
    </w:tblStylePr>
    <w:tblStylePr w:type="lastRow">
      <w:rPr>
        <w:b w:val="1"/>
        <w:bCs w:val="1"/>
      </w:rPr>
      <w:tblPr/>
      <w:tcPr>
        <w:tcBorders>
          <w:top w:color="bec6b7"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9ece7" w:themeFill="accent6" w:themeFillTint="000033" w:val="clear"/>
      </w:tcPr>
    </w:tblStylePr>
    <w:tblStylePr w:type="band1Horz">
      <w:tblPr/>
      <w:tcPr>
        <w:shd w:color="auto" w:fill="e9ece7" w:themeFill="accent6" w:themeFillTint="000033" w:val="clear"/>
      </w:tcPr>
    </w:tblStylePr>
  </w:style>
  <w:style w:type="table" w:styleId="ListTable6Colorful">
    <w:name w:val="List Table 6 Colorful"/>
    <w:basedOn w:val="TableNormal"/>
    <w:uiPriority w:val="51"/>
    <w:rPr>
      <w:color w:val="000000" w:themeColor="text1"/>
    </w:rPr>
    <w:tblPr>
      <w:tblStyleRowBandSize w:val="1"/>
      <w:tblStyleColBandSize w:val="1"/>
      <w:tblBorders>
        <w:top w:color="000000" w:space="0" w:sz="4" w:themeColor="text1" w:val="single"/>
        <w:bottom w:color="000000" w:space="0" w:sz="4" w:themeColor="text1" w:val="single"/>
      </w:tblBorders>
      <w:tblCellMar>
        <w:top w:w="29.0" w:type="dxa"/>
        <w:bottom w:w="29.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
    <w:name w:val="List Table 2"/>
    <w:basedOn w:val="TableNormal"/>
    <w:uiPriority w:val="47"/>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CellMar>
        <w:top w:w="29.0" w:type="dxa"/>
        <w:bottom w:w="29.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2">
    <w:name w:val="List Table 2 Accent 2"/>
    <w:basedOn w:val="TableNormal"/>
    <w:uiPriority w:val="47"/>
    <w:tblPr>
      <w:tblStyleRowBandSize w:val="1"/>
      <w:tblStyleColBandSize w:val="1"/>
      <w:tblBorders>
        <w:top w:color="df9778" w:space="0" w:sz="4" w:themeColor="accent2" w:themeTint="000099" w:val="single"/>
        <w:bottom w:color="df9778" w:space="0" w:sz="4" w:themeColor="accent2" w:themeTint="000099" w:val="single"/>
        <w:insideH w:color="df9778" w:space="0" w:sz="4" w:themeColor="accent2" w:themeTint="000099" w:val="single"/>
      </w:tblBorders>
      <w:tblCellMar>
        <w:top w:w="29.0" w:type="dxa"/>
        <w:bottom w:w="29.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4dcd1" w:themeFill="accent2" w:themeFillTint="000033" w:val="clear"/>
      </w:tcPr>
    </w:tblStylePr>
    <w:tblStylePr w:type="band1Horz">
      <w:tblPr/>
      <w:tcPr>
        <w:shd w:color="auto" w:fill="f4dcd1" w:themeFill="accent2" w:themeFillTint="000033" w:val="clear"/>
      </w:tcPr>
    </w:tblStylePr>
  </w:style>
  <w:style w:type="table" w:styleId="ListTable2-Accent1">
    <w:name w:val="List Table 2 Accent 1"/>
    <w:basedOn w:val="TableNormal"/>
    <w:uiPriority w:val="47"/>
    <w:tblPr>
      <w:tblStyleRowBandSize w:val="1"/>
      <w:tblStyleColBandSize w:val="1"/>
      <w:tblBorders>
        <w:top w:color="f3b46b" w:space="0" w:sz="4" w:themeColor="accent1" w:themeTint="000099" w:val="single"/>
        <w:bottom w:color="f3b46b" w:space="0" w:sz="4" w:themeColor="accent1" w:themeTint="000099" w:val="single"/>
        <w:insideH w:color="f3b46b" w:space="0" w:sz="4" w:themeColor="accent1" w:themeTint="000099" w:val="single"/>
      </w:tblBorders>
      <w:tblCellMar>
        <w:top w:w="29.0" w:type="dxa"/>
        <w:bottom w:w="29.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be6cd" w:themeFill="accent1" w:themeFillTint="000033" w:val="clear"/>
      </w:tcPr>
    </w:tblStylePr>
    <w:tblStylePr w:type="band1Horz">
      <w:tblPr/>
      <w:tcPr>
        <w:shd w:color="auto" w:fill="fbe6cd" w:themeFill="accent1" w:themeFillTint="000033" w:val="clear"/>
      </w:tcPr>
    </w:tblStylePr>
  </w:style>
  <w:style w:type="table" w:styleId="ListTable2-Accent3">
    <w:name w:val="List Table 2 Accent 3"/>
    <w:basedOn w:val="TableNormal"/>
    <w:uiPriority w:val="47"/>
    <w:tblPr>
      <w:tblStyleRowBandSize w:val="1"/>
      <w:tblStyleColBandSize w:val="1"/>
      <w:tblBorders>
        <w:top w:color="c29480" w:space="0" w:sz="4" w:themeColor="accent3" w:themeTint="000099" w:val="single"/>
        <w:bottom w:color="c29480" w:space="0" w:sz="4" w:themeColor="accent3" w:themeTint="000099" w:val="single"/>
        <w:insideH w:color="c29480" w:space="0" w:sz="4" w:themeColor="accent3" w:themeTint="000099" w:val="single"/>
      </w:tblBorders>
      <w:tblCellMar>
        <w:top w:w="29.0" w:type="dxa"/>
        <w:bottom w:w="29.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adbd4" w:themeFill="accent3" w:themeFillTint="000033" w:val="clear"/>
      </w:tcPr>
    </w:tblStylePr>
    <w:tblStylePr w:type="band1Horz">
      <w:tblPr/>
      <w:tcPr>
        <w:shd w:color="auto" w:fill="eadbd4" w:themeFill="accent3" w:themeFillTint="000033" w:val="clear"/>
      </w:tcPr>
    </w:tblStylePr>
  </w:style>
  <w:style w:type="paragraph" w:styleId="Subtitle">
    <w:name w:val="Subtitle"/>
    <w:basedOn w:val="Normal"/>
    <w:next w:val="Normal"/>
    <w:link w:val="SubtitleChar"/>
    <w:uiPriority w:val="11"/>
    <w:semiHidden w:val="1"/>
    <w:unhideWhenUsed w:val="1"/>
    <w:pPr>
      <w:numPr>
        <w:ilvl w:val="1"/>
      </w:numPr>
      <w:spacing w:after="160"/>
    </w:pPr>
    <w:rPr>
      <w:color w:val="5a5a5a" w:themeColor="text1" w:themeTint="0000A5"/>
      <w:spacing w:val="15"/>
      <w:sz w:val="22"/>
      <w:szCs w:val="22"/>
    </w:rPr>
  </w:style>
  <w:style w:type="character" w:styleId="SubtitleChar" w:customStyle="1">
    <w:name w:val="Subtitle Char"/>
    <w:basedOn w:val="DefaultParagraphFont"/>
    <w:link w:val="Subtitle"/>
    <w:uiPriority w:val="11"/>
    <w:semiHidden w:val="1"/>
    <w:rPr>
      <w:rFonts w:asciiTheme="minorHAnsi" w:cstheme="minorBidi" w:eastAsiaTheme="minorEastAsia" w:hAnsiTheme="minorHAnsi"/>
      <w:color w:val="5a5a5a" w:themeColor="text1" w:themeTint="0000A5"/>
      <w:spacing w:val="15"/>
    </w:rPr>
  </w:style>
  <w:style w:type="paragraph" w:styleId="Companyname" w:customStyle="1">
    <w:name w:val="Company name"/>
    <w:basedOn w:val="Normal"/>
    <w:next w:val="Normal"/>
    <w:qFormat w:val="1"/>
    <w:pPr>
      <w:spacing w:after="0" w:before="0"/>
      <w:jc w:val="center"/>
    </w:pPr>
    <w:rPr>
      <w:rFonts w:asciiTheme="majorHAnsi" w:cstheme="majorBidi" w:eastAsiaTheme="majorEastAsia" w:hAnsiTheme="majorHAnsi"/>
      <w:b w:val="1"/>
      <w:bCs w:val="1"/>
      <w:color w:val="49533d" w:themeColor="text2" w:themeShade="0000BF"/>
      <w:sz w:val="28"/>
      <w:szCs w:val="28"/>
    </w:rPr>
  </w:style>
  <w:style w:type="paragraph" w:styleId="Legal" w:customStyle="1">
    <w:name w:val="Legal"/>
    <w:basedOn w:val="Normal"/>
    <w:qFormat w:val="1"/>
    <w:pPr>
      <w:spacing w:after="120" w:before="0"/>
    </w:pPr>
    <w:rPr>
      <w:i w:val="1"/>
      <w:iCs w:val="1"/>
      <w:color w:val="auto"/>
    </w:rPr>
  </w:style>
  <w:style w:type="paragraph" w:styleId="ListParagraph">
    <w:name w:val="List Paragraph"/>
    <w:basedOn w:val="Normal"/>
    <w:uiPriority w:val="34"/>
    <w:unhideWhenUsed w:val="1"/>
    <w:qFormat w:val="1"/>
    <w:rsid w:val="00607F42"/>
    <w:pPr>
      <w:ind w:left="720"/>
      <w:contextualSpacing w:val="1"/>
    </w:pPr>
  </w:style>
  <w:style w:type="paragraph" w:styleId="NoSpacing">
    <w:name w:val="No Spacing"/>
    <w:uiPriority w:val="1"/>
    <w:qFormat w:val="1"/>
    <w:rsid w:val="00B947E6"/>
    <w:rPr>
      <w:sz w:val="20"/>
      <w:szCs w:val="20"/>
      <w:lang w:eastAsia="en-US"/>
    </w:rPr>
  </w:style>
  <w:style w:type="paragraph" w:styleId="Title">
    <w:name w:val="Title"/>
    <w:basedOn w:val="Normal"/>
    <w:next w:val="Normal"/>
    <w:link w:val="TitleChar"/>
    <w:uiPriority w:val="10"/>
    <w:qFormat w:val="1"/>
    <w:rsid w:val="00B947E6"/>
    <w:pPr>
      <w:spacing w:after="0" w:before="0"/>
      <w:contextualSpacing w:val="1"/>
    </w:pPr>
    <w:rPr>
      <w:rFonts w:asciiTheme="majorHAnsi" w:cstheme="majorBidi" w:eastAsiaTheme="majorEastAsia" w:hAnsiTheme="majorHAnsi"/>
      <w:color w:val="auto"/>
      <w:spacing w:val="-10"/>
      <w:kern w:val="28"/>
      <w:sz w:val="56"/>
      <w:szCs w:val="56"/>
      <w:lang w:eastAsia="en-US"/>
    </w:rPr>
  </w:style>
  <w:style w:type="character" w:styleId="TitleChar" w:customStyle="1">
    <w:name w:val="Title Char"/>
    <w:basedOn w:val="DefaultParagraphFont"/>
    <w:link w:val="Title"/>
    <w:uiPriority w:val="10"/>
    <w:rsid w:val="00B947E6"/>
    <w:rPr>
      <w:rFonts w:asciiTheme="majorHAnsi" w:cstheme="majorBidi" w:eastAsiaTheme="majorEastAsia" w:hAnsiTheme="majorHAnsi"/>
      <w:spacing w:val="-10"/>
      <w:kern w:val="28"/>
      <w:sz w:val="56"/>
      <w:szCs w:val="56"/>
      <w:lang w:eastAsia="en-US"/>
    </w:rPr>
  </w:style>
  <w:style w:type="character" w:styleId="BookTitle">
    <w:name w:val="Book Title"/>
    <w:basedOn w:val="DefaultParagraphFont"/>
    <w:uiPriority w:val="33"/>
    <w:qFormat w:val="1"/>
    <w:rsid w:val="00B947E6"/>
    <w:rPr>
      <w:b w:val="1"/>
      <w:bCs w:val="1"/>
      <w:i w:val="1"/>
      <w:iCs w:val="1"/>
      <w:spacing w:val="5"/>
    </w:rPr>
  </w:style>
  <w:style w:type="paragraph" w:styleId="Header">
    <w:name w:val="header"/>
    <w:basedOn w:val="Normal"/>
    <w:link w:val="HeaderChar"/>
    <w:uiPriority w:val="99"/>
    <w:unhideWhenUsed w:val="1"/>
    <w:rsid w:val="00793619"/>
    <w:pPr>
      <w:tabs>
        <w:tab w:val="center" w:pos="4680"/>
        <w:tab w:val="right" w:pos="9360"/>
      </w:tabs>
      <w:spacing w:after="0" w:before="0"/>
    </w:pPr>
  </w:style>
  <w:style w:type="character" w:styleId="HeaderChar" w:customStyle="1">
    <w:name w:val="Header Char"/>
    <w:basedOn w:val="DefaultParagraphFont"/>
    <w:link w:val="Header"/>
    <w:uiPriority w:val="99"/>
    <w:rsid w:val="00793619"/>
    <w:rPr>
      <w:color w:val="000000" w:themeColor="text1"/>
      <w:sz w:val="18"/>
      <w:szCs w:val="18"/>
    </w:rPr>
  </w:style>
  <w:style w:type="paragraph" w:styleId="Subtitle">
    <w:name w:val="Subtitle"/>
    <w:basedOn w:val="Normal"/>
    <w:next w:val="Normal"/>
    <w:pPr>
      <w:spacing w:after="160" w:lineRule="auto"/>
    </w:pPr>
    <w:rPr>
      <w:color w:val="5a5a5a"/>
      <w:sz w:val="22"/>
      <w:szCs w:val="22"/>
    </w:rPr>
  </w:style>
  <w:style w:type="table" w:styleId="Table1">
    <w:basedOn w:val="TableNormal"/>
    <w:rPr>
      <w:color w:val="000000"/>
    </w:rPr>
    <w:tblPr>
      <w:tblStyleRowBandSize w:val="1"/>
      <w:tblStyleColBandSize w:val="1"/>
      <w:tblCellMar>
        <w:top w:w="29.0" w:type="dxa"/>
        <w:left w:w="115.0" w:type="dxa"/>
        <w:bottom w:w="29.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on Boardroom">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on-Auditorium-Staging22">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djn9+ZpaAL6Ds+G98J1BqMS4Tw==">AMUW2mUnNHE+ZfLErf+3l41/ry5XIdlSRfeD2VBjjmWAkVG6QLwO6GaVrikP3m74OYoNuwntglMCkGmPMspvSQ8x0Fcj/Ofr9PY/tiDptf56UvGI+3om7gmIFjAGwQopCRUOyCtAFPuuAfLggB5kMF0/AYI7S3QCNBktgFV66h4533SZrtPnbnLYSqTH5wOnevUQZErPjwpyCIbv2ooYr0z622MfGtcKWBAuejbOixpy2vs8gTl/Cno+id7ohIeCcCliruKit7lR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2021-04-23T17:36:00Z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TC034630649991</vt:lpwstr>
  </property>
</Properties>
</file>