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1692" w14:textId="77777777" w:rsidR="00236AB9" w:rsidRPr="00A723A0" w:rsidRDefault="00236AB9" w:rsidP="00236AB9">
      <w:pPr>
        <w:shd w:val="clear" w:color="auto" w:fill="FFFFFF"/>
        <w:spacing w:after="0" w:line="240" w:lineRule="auto"/>
        <w:textAlignment w:val="top"/>
        <w:rPr>
          <w:sz w:val="36"/>
          <w:szCs w:val="36"/>
        </w:rPr>
      </w:pPr>
    </w:p>
    <w:p w14:paraId="28593C2B" w14:textId="66541B02" w:rsidR="00236AB9" w:rsidRPr="00A723A0" w:rsidRDefault="00236AB9" w:rsidP="00236AB9">
      <w:pPr>
        <w:shd w:val="clear" w:color="auto" w:fill="FFFFFF"/>
        <w:spacing w:after="0" w:line="240" w:lineRule="auto"/>
        <w:textAlignment w:val="top"/>
        <w:rPr>
          <w:rFonts w:ascii="Century Gothic" w:hAnsi="Century Gothic"/>
          <w:sz w:val="36"/>
          <w:szCs w:val="36"/>
        </w:rPr>
      </w:pPr>
      <w:r w:rsidRPr="00A723A0">
        <w:rPr>
          <w:rFonts w:ascii="Century Gothic" w:hAnsi="Century Gothic"/>
          <w:sz w:val="36"/>
          <w:szCs w:val="36"/>
        </w:rPr>
        <w:t>Notting Hill Day Nursery Attendance policy</w:t>
      </w:r>
    </w:p>
    <w:p w14:paraId="12A81656" w14:textId="77777777" w:rsidR="00236AB9" w:rsidRPr="00A723A0" w:rsidRDefault="00236AB9" w:rsidP="00236AB9">
      <w:pPr>
        <w:shd w:val="clear" w:color="auto" w:fill="FFFFFF"/>
        <w:spacing w:after="0" w:line="240" w:lineRule="auto"/>
        <w:textAlignment w:val="top"/>
        <w:rPr>
          <w:rFonts w:ascii="Century Gothic" w:hAnsi="Century Gothic"/>
          <w:sz w:val="20"/>
          <w:szCs w:val="20"/>
        </w:rPr>
      </w:pPr>
    </w:p>
    <w:p w14:paraId="1C29DA65" w14:textId="1728E145" w:rsidR="00236AB9" w:rsidRPr="00FB552B" w:rsidRDefault="001B4C8B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Promoting Regular Attendance</w:t>
      </w:r>
    </w:p>
    <w:p w14:paraId="6B6EF7DC" w14:textId="1174DD4B" w:rsidR="001B4C8B" w:rsidRPr="00A723A0" w:rsidRDefault="00EE3E27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At Notting Hill w</w:t>
      </w:r>
      <w:r w:rsidR="001B4C8B"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 recognise the connections between attendance, attainment, safeguarding and wellbeing.</w:t>
      </w:r>
      <w:r w:rsidR="00236AB9" w:rsidRPr="00A723A0">
        <w:rPr>
          <w:rFonts w:ascii="Century Gothic" w:hAnsi="Century Gothic"/>
          <w:sz w:val="20"/>
          <w:szCs w:val="20"/>
        </w:rPr>
        <w:t xml:space="preserve"> </w:t>
      </w:r>
      <w:r w:rsidR="001B4C8B" w:rsidRPr="00A723A0">
        <w:rPr>
          <w:rFonts w:ascii="Century Gothic" w:hAnsi="Century Gothic"/>
          <w:sz w:val="20"/>
          <w:szCs w:val="20"/>
        </w:rPr>
        <w:t xml:space="preserve">We are </w:t>
      </w:r>
      <w:r w:rsidR="00236AB9" w:rsidRPr="00A723A0">
        <w:rPr>
          <w:rFonts w:ascii="Century Gothic" w:hAnsi="Century Gothic"/>
          <w:sz w:val="20"/>
          <w:szCs w:val="20"/>
        </w:rPr>
        <w:t>committed to promoting excellent levels of attendance and punctuality, enabling our children to take full advantage of the educational opportunities available to them.</w:t>
      </w:r>
      <w:r w:rsidR="001B4C8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="001B4C8B"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Helping them to become emotionally resilient, confident and competent adults who </w:t>
      </w: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can</w:t>
      </w:r>
      <w:r w:rsidR="001B4C8B"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realise their full potential and make a positive contribution to their community.</w:t>
      </w:r>
    </w:p>
    <w:p w14:paraId="586C79DB" w14:textId="77777777" w:rsidR="001B4C8B" w:rsidRPr="00A723A0" w:rsidRDefault="001B4C8B" w:rsidP="00236AB9">
      <w:pPr>
        <w:shd w:val="clear" w:color="auto" w:fill="FFFFFF"/>
        <w:spacing w:after="0" w:line="240" w:lineRule="auto"/>
        <w:textAlignment w:val="top"/>
        <w:rPr>
          <w:rFonts w:ascii="Century Gothic" w:hAnsi="Century Gothic"/>
          <w:sz w:val="20"/>
          <w:szCs w:val="20"/>
        </w:rPr>
      </w:pPr>
    </w:p>
    <w:p w14:paraId="21D3AFC4" w14:textId="6B1561EE" w:rsidR="001B4C8B" w:rsidRPr="00A723A0" w:rsidRDefault="00236AB9" w:rsidP="001B4C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Century Gothic" w:hAnsi="Century Gothic"/>
          <w:sz w:val="20"/>
          <w:szCs w:val="20"/>
        </w:rPr>
      </w:pPr>
      <w:r w:rsidRPr="00A723A0">
        <w:rPr>
          <w:rFonts w:ascii="Century Gothic" w:hAnsi="Century Gothic"/>
          <w:sz w:val="20"/>
          <w:szCs w:val="20"/>
        </w:rPr>
        <w:t>Absence and lateness affect children’s ability to participate and benefit from the curriculum.</w:t>
      </w:r>
    </w:p>
    <w:p w14:paraId="2C0387E2" w14:textId="77777777" w:rsidR="001B4C8B" w:rsidRPr="00A723A0" w:rsidRDefault="00236AB9" w:rsidP="001B4C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Century Gothic" w:hAnsi="Century Gothic"/>
          <w:sz w:val="20"/>
          <w:szCs w:val="20"/>
        </w:rPr>
      </w:pPr>
      <w:r w:rsidRPr="00A723A0">
        <w:rPr>
          <w:rFonts w:ascii="Century Gothic" w:hAnsi="Century Gothic"/>
          <w:sz w:val="20"/>
          <w:szCs w:val="20"/>
        </w:rPr>
        <w:t xml:space="preserve"> Poor attendance and punctuality may result in a child finding it difficult to settle, to become involved and to form social relationships. </w:t>
      </w:r>
    </w:p>
    <w:p w14:paraId="4950F0ED" w14:textId="77777777" w:rsidR="001B4C8B" w:rsidRPr="00A723A0" w:rsidRDefault="00236AB9" w:rsidP="001B4C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Century Gothic" w:hAnsi="Century Gothic"/>
          <w:sz w:val="20"/>
          <w:szCs w:val="20"/>
        </w:rPr>
      </w:pPr>
      <w:r w:rsidRPr="00A723A0">
        <w:rPr>
          <w:rFonts w:ascii="Century Gothic" w:hAnsi="Century Gothic"/>
          <w:sz w:val="20"/>
          <w:szCs w:val="20"/>
        </w:rPr>
        <w:t>Regular attendance and punctuality help to instil good habits and promote the development of a positive attitude towards nursery/school.</w:t>
      </w:r>
    </w:p>
    <w:p w14:paraId="3F4F24AD" w14:textId="77777777" w:rsidR="001B4C8B" w:rsidRPr="00A723A0" w:rsidRDefault="001B4C8B" w:rsidP="001B4C8B">
      <w:pPr>
        <w:shd w:val="clear" w:color="auto" w:fill="FFFFFF"/>
        <w:spacing w:after="0" w:line="240" w:lineRule="auto"/>
        <w:ind w:left="45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772083D1" w14:textId="336744D9" w:rsidR="001B4C8B" w:rsidRPr="00A723A0" w:rsidRDefault="001B4C8B" w:rsidP="001B4C8B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We believe in developing good patterns of attendance and set high expectations for the attendance and punctuality for all our </w:t>
      </w:r>
      <w:r w:rsidR="00500417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children</w:t>
      </w: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from the outset</w:t>
      </w:r>
      <w:r w:rsidR="00FC7400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. We monitor and track attendance </w:t>
      </w:r>
      <w:r w:rsidR="0077023E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recognising that young children have increased safeguarding risks due to the</w:t>
      </w:r>
      <w:r w:rsidR="00500417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ir </w:t>
      </w:r>
      <w:r w:rsidR="0077023E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reliance on care. </w:t>
      </w:r>
    </w:p>
    <w:p w14:paraId="55AE36B8" w14:textId="796B5CBB" w:rsidR="00236AB9" w:rsidRPr="00236AB9" w:rsidRDefault="00236AB9" w:rsidP="004E7432">
      <w:p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41262A3" w14:textId="77777777" w:rsidR="00373075" w:rsidRPr="00A723A0" w:rsidRDefault="00236AB9" w:rsidP="00373075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To support good attendance, </w:t>
      </w:r>
    </w:p>
    <w:p w14:paraId="7B19E287" w14:textId="77777777" w:rsidR="004869D3" w:rsidRPr="004869D3" w:rsidRDefault="00236AB9" w:rsidP="004869D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Ensure the nursery is welcoming and every child feels a sense of belonging and connectedness.   </w:t>
      </w:r>
    </w:p>
    <w:p w14:paraId="7A62390D" w14:textId="6E7D4920" w:rsidR="004869D3" w:rsidRPr="004869D3" w:rsidRDefault="00236AB9" w:rsidP="004869D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Ensure the </w:t>
      </w:r>
      <w:r w:rsidR="000479B8"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nursery </w:t>
      </w:r>
      <w:r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site is open at the stated times. </w:t>
      </w:r>
    </w:p>
    <w:p w14:paraId="60BF53D9" w14:textId="77777777" w:rsidR="004869D3" w:rsidRPr="004869D3" w:rsidRDefault="00236AB9" w:rsidP="004869D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Ensure the regular, efficient and accurate recording of attendance is completed each day. </w:t>
      </w:r>
    </w:p>
    <w:p w14:paraId="3F9CD556" w14:textId="678830D1" w:rsidR="004869D3" w:rsidRPr="004869D3" w:rsidRDefault="00236AB9" w:rsidP="004869D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Ensure all </w:t>
      </w:r>
      <w:r w:rsidR="00F3782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the dates when </w:t>
      </w:r>
      <w:r w:rsidR="00373075"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nursery </w:t>
      </w:r>
      <w:r w:rsidR="00F3782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is </w:t>
      </w:r>
      <w:r w:rsidR="00373075"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closed </w:t>
      </w:r>
      <w:r w:rsidR="00500417"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dates are</w:t>
      </w:r>
      <w:r w:rsidR="00373075"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shared with parents</w:t>
      </w:r>
      <w:r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.</w:t>
      </w:r>
    </w:p>
    <w:p w14:paraId="7A5F287B" w14:textId="259C0157" w:rsidR="00236AB9" w:rsidRPr="004869D3" w:rsidRDefault="00236AB9" w:rsidP="004869D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Safeguarding is taken </w:t>
      </w:r>
      <w:r w:rsidR="00500417"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seriously,</w:t>
      </w:r>
      <w:r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and we will always contact you if you have not </w:t>
      </w:r>
      <w:r w:rsidR="00081396"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contacted</w:t>
      </w:r>
      <w:r w:rsidR="004869D3"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4869D3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 regarding your child’s absence.</w:t>
      </w:r>
    </w:p>
    <w:p w14:paraId="4769A61B" w14:textId="77777777" w:rsidR="00373075" w:rsidRPr="00236AB9" w:rsidRDefault="00373075" w:rsidP="00500417">
      <w:pPr>
        <w:spacing w:after="0" w:line="240" w:lineRule="auto"/>
        <w:ind w:left="840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C5D3D86" w14:textId="21E406F6" w:rsidR="00236AB9" w:rsidRPr="00236AB9" w:rsidRDefault="00373075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We </w:t>
      </w:r>
      <w:r w:rsidR="00236AB9"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will always work in partnership with our parents and carers</w:t>
      </w:r>
    </w:p>
    <w:p w14:paraId="77F68DF5" w14:textId="08D3B5D8" w:rsidR="00373075" w:rsidRPr="00A723A0" w:rsidRDefault="00373075" w:rsidP="00236AB9">
      <w:pPr>
        <w:shd w:val="clear" w:color="auto" w:fill="FFFFFF"/>
        <w:spacing w:after="0" w:line="240" w:lineRule="auto"/>
        <w:ind w:left="15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We </w:t>
      </w:r>
      <w:r w:rsidR="00236AB9"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recognise that poor attendance is often an indication of difficulties in a child’s life and their lived experience. This may be related to problems at home or in nursery. Parents/carers should inform the nursery of any difficulties or changes in circumstances that may affect their child’s attendance and or behaviour in nursery, for example, bereavement, divorce/separation, incidents of domestic abuse. This will help the nursery to identify any additional early help that may be required. Safeguarding is a priority, concerns for any child at any time will be reported to the Designated </w:t>
      </w: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safeguarding lead Emma Poole</w:t>
      </w:r>
      <w:r w:rsidR="00BA4F8D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.</w:t>
      </w:r>
    </w:p>
    <w:p w14:paraId="6B977649" w14:textId="77777777" w:rsidR="00373075" w:rsidRPr="00A723A0" w:rsidRDefault="00373075" w:rsidP="00373075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We understand that s</w:t>
      </w:r>
      <w:r w:rsidR="00236AB9"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ome children are more likely to require additional support to attain good attendance, for example, children who are vulnerable, have a medical need or EHCP plan will be monitored and supported in the nursery.  </w:t>
      </w:r>
    </w:p>
    <w:p w14:paraId="7E3B8775" w14:textId="77777777" w:rsidR="00373075" w:rsidRPr="00236AB9" w:rsidRDefault="00373075" w:rsidP="00FB552B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5D73F43" w14:textId="77777777" w:rsidR="00236AB9" w:rsidRPr="00A723A0" w:rsidRDefault="00236AB9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Absence Procedures</w:t>
      </w:r>
    </w:p>
    <w:p w14:paraId="790905BA" w14:textId="43229581" w:rsidR="00236AB9" w:rsidRPr="00236AB9" w:rsidRDefault="00A723A0" w:rsidP="00FB552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en-GB"/>
          <w14:ligatures w14:val="none"/>
        </w:rPr>
      </w:pPr>
      <w:r w:rsidRPr="00BA4F8D">
        <w:rPr>
          <w:rFonts w:ascii="Century Gothic" w:eastAsia="Times New Roman" w:hAnsi="Century Gothic" w:cs="Calibri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It is important to d</w:t>
      </w:r>
      <w:r w:rsidRPr="00BA4F8D">
        <w:rPr>
          <w:rFonts w:ascii="Century Gothic" w:eastAsia="Times New Roman" w:hAnsi="Century Gothic" w:cs="Arial"/>
          <w:spacing w:val="2"/>
          <w:kern w:val="0"/>
          <w:sz w:val="20"/>
          <w:szCs w:val="20"/>
          <w:lang w:eastAsia="en-GB"/>
          <w14:ligatures w14:val="none"/>
        </w:rPr>
        <w:t>istinguish</w:t>
      </w:r>
      <w:r w:rsidRPr="00236AB9">
        <w:rPr>
          <w:rFonts w:ascii="Century Gothic" w:eastAsia="Times New Roman" w:hAnsi="Century Gothic" w:cs="Arial"/>
          <w:spacing w:val="2"/>
          <w:kern w:val="0"/>
          <w:sz w:val="20"/>
          <w:szCs w:val="20"/>
          <w:lang w:eastAsia="en-GB"/>
          <w14:ligatures w14:val="none"/>
        </w:rPr>
        <w:t xml:space="preserve"> between authorized absences (e.g., illness, religious observance) and unauthorized absences (e.g., unexplained or unjustified absences). </w:t>
      </w:r>
      <w:r w:rsidR="00236AB9"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W</w:t>
      </w:r>
      <w:r w:rsidR="00BA4F8D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hile noting that w</w:t>
      </w:r>
      <w:r w:rsidR="00236AB9"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 monitor all absences, and the reasons that are given.</w:t>
      </w:r>
    </w:p>
    <w:p w14:paraId="6A2DA3BC" w14:textId="77777777" w:rsidR="00236AB9" w:rsidRPr="00236AB9" w:rsidRDefault="00236AB9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12E74822" w14:textId="6E7F82D3" w:rsidR="00373075" w:rsidRPr="00A723A0" w:rsidRDefault="00236AB9" w:rsidP="00236AB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It is the responsibility of the parent/carer to notify the Nursery by phone or email if their child will be absent for any reason e.g. illness, holiday, etc. </w:t>
      </w:r>
      <w:r w:rsidR="00046CD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This should occur on the first day or absence. </w:t>
      </w:r>
    </w:p>
    <w:p w14:paraId="7ACED3D2" w14:textId="21340327" w:rsidR="00046CDB" w:rsidRPr="00A723A0" w:rsidRDefault="00046CDB" w:rsidP="00236AB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Ensure that your child returns to nursery as soon as possible</w:t>
      </w: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after an absence. </w:t>
      </w:r>
    </w:p>
    <w:p w14:paraId="0719B05F" w14:textId="7BBCBE8E" w:rsidR="00931DE8" w:rsidRPr="00A723A0" w:rsidRDefault="00236AB9" w:rsidP="0037307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If you know holidays in advance it is greatly appreciated to let us know these.</w:t>
      </w:r>
    </w:p>
    <w:p w14:paraId="7237FB89" w14:textId="789427BF" w:rsidR="000D1056" w:rsidRPr="00A723A0" w:rsidRDefault="00236AB9" w:rsidP="0037307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If we haven’t heard from you a member of staff will </w:t>
      </w:r>
      <w:r w:rsidR="00081396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contact,</w:t>
      </w: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you by telephone to ascertain the reason for absence. If we cannot reach you, we will leave a message and send an email. </w:t>
      </w:r>
    </w:p>
    <w:p w14:paraId="2DE188C7" w14:textId="4001C313" w:rsidR="00150484" w:rsidRPr="00A723A0" w:rsidRDefault="00150484" w:rsidP="0037307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We may use </w:t>
      </w:r>
      <w:r w:rsidR="000A7E2E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your child’s </w:t>
      </w: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emergency contact details </w:t>
      </w:r>
    </w:p>
    <w:p w14:paraId="0F0BE357" w14:textId="77777777" w:rsidR="00373075" w:rsidRPr="00A723A0" w:rsidRDefault="00236AB9" w:rsidP="0037307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If there is no contact after one week </w:t>
      </w:r>
      <w:r w:rsidR="00373075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 letter</w:t>
      </w: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will be sent to the family</w:t>
      </w:r>
      <w:r w:rsidR="00931DE8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. </w:t>
      </w:r>
    </w:p>
    <w:p w14:paraId="67F86BE5" w14:textId="0977DBEB" w:rsidR="001D4CC1" w:rsidRPr="00A723A0" w:rsidRDefault="001D4CC1" w:rsidP="0037307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It may be necessary to conduct a home visit. </w:t>
      </w:r>
    </w:p>
    <w:p w14:paraId="24311BCD" w14:textId="769DA299" w:rsidR="00C34899" w:rsidRPr="00A723A0" w:rsidRDefault="00C34899" w:rsidP="0037307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Accurate records of attendance, absences and communication are crucial. These records should be kept securely and may be shared with relevant agencies as needed. </w:t>
      </w:r>
    </w:p>
    <w:p w14:paraId="3F7B3858" w14:textId="4622AD5C" w:rsidR="00236AB9" w:rsidRPr="00A723A0" w:rsidRDefault="00236AB9" w:rsidP="0037307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If after one month the child has not attended nursery and a reasonable reason has not been shared, the child’s name will be removed from the Nursery register and the place allocated to another child on the waiting list. </w:t>
      </w:r>
    </w:p>
    <w:p w14:paraId="752D61F4" w14:textId="79974D3F" w:rsidR="00236AB9" w:rsidRPr="00236AB9" w:rsidRDefault="00236AB9" w:rsidP="00373075">
      <w:pPr>
        <w:shd w:val="clear" w:color="auto" w:fill="FFFFFF"/>
        <w:spacing w:after="0" w:line="240" w:lineRule="auto"/>
        <w:ind w:firstLine="60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0AA07C63" w14:textId="5D7ECC6B" w:rsidR="00236AB9" w:rsidRPr="00236AB9" w:rsidRDefault="00236AB9" w:rsidP="00C3489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9D0907F" w14:textId="77777777" w:rsidR="00236AB9" w:rsidRPr="00236AB9" w:rsidRDefault="00236AB9" w:rsidP="00236AB9">
      <w:pPr>
        <w:shd w:val="clear" w:color="auto" w:fill="FFFFFF"/>
        <w:spacing w:after="0" w:line="240" w:lineRule="auto"/>
        <w:ind w:left="1005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0F1602D1" w14:textId="31D1CAD6" w:rsidR="00236AB9" w:rsidRPr="00236AB9" w:rsidRDefault="00236AB9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>Understanding barriers to attendance</w:t>
      </w:r>
    </w:p>
    <w:p w14:paraId="494E594A" w14:textId="735F5E46" w:rsidR="00046CDB" w:rsidRDefault="00236AB9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Whilst any child may occasionally have time off nursery because they are</w:t>
      </w:r>
      <w:r w:rsidR="00046CD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unwell </w:t>
      </w:r>
      <w:r w:rsidR="00046CD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other factors may </w:t>
      </w:r>
      <w:r w:rsid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also </w:t>
      </w:r>
      <w:r w:rsidR="00046CD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affect attendance.</w:t>
      </w: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="00046CD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We will work with families to identify the barriers to achieving and maintaining excellent attendance and offer the right service at the right time to try to resolve any difficulties. </w:t>
      </w:r>
    </w:p>
    <w:p w14:paraId="0C96F13A" w14:textId="77777777" w:rsidR="004609AF" w:rsidRPr="00A723A0" w:rsidRDefault="004609AF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7AA60ACA" w14:textId="4D43EDDB" w:rsidR="00236AB9" w:rsidRPr="00A723A0" w:rsidRDefault="00236AB9" w:rsidP="00046CDB">
      <w:p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All agencies who work with children have a duty to ensur</w:t>
      </w:r>
      <w:r w:rsidR="004252CB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 they</w:t>
      </w: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are safe and looked after appropriately.</w:t>
      </w:r>
      <w:r w:rsidR="00046CDB" w:rsidRPr="00A723A0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It is our responsibility as a nursery to work with the L</w:t>
      </w:r>
      <w:r w:rsidR="00046CD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ocal </w:t>
      </w: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</w:t>
      </w:r>
      <w:r w:rsidR="00046CD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uthority</w:t>
      </w:r>
      <w:r w:rsidR="004252CB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,</w:t>
      </w: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Education and Inclusion team</w:t>
      </w:r>
      <w:r w:rsidR="00046CDB" w:rsidRPr="00A723A0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</w:t>
      </w: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, by making referrals as we feel is necessary and appropriate.</w:t>
      </w:r>
    </w:p>
    <w:p w14:paraId="4D6EF22A" w14:textId="15B0F55F" w:rsidR="00046CDB" w:rsidRPr="00A723A0" w:rsidRDefault="00046CDB" w:rsidP="00EB0284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9B3228D" w14:textId="3C5CDFAD" w:rsidR="00046CDB" w:rsidRPr="00236AB9" w:rsidRDefault="009E5E03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252CB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n-GB"/>
          <w14:ligatures w14:val="none"/>
        </w:rPr>
        <w:t>Expectations of parents</w:t>
      </w:r>
    </w:p>
    <w:p w14:paraId="5C4B6535" w14:textId="77777777" w:rsidR="00236AB9" w:rsidRPr="00EB0284" w:rsidRDefault="00236AB9" w:rsidP="00EB0284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Parents should ensure that their children arrive at nursery on time, with the correct equipment and suitably dressed for the time of the year.</w:t>
      </w:r>
    </w:p>
    <w:p w14:paraId="75426506" w14:textId="77777777" w:rsidR="009E5E03" w:rsidRPr="00236AB9" w:rsidRDefault="009E5E03" w:rsidP="009E5E03">
      <w:pPr>
        <w:spacing w:after="0" w:line="240" w:lineRule="auto"/>
        <w:ind w:left="825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9D48194" w14:textId="77777777" w:rsidR="00EB0284" w:rsidRDefault="009E5E03" w:rsidP="00EB0284">
      <w:p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A723A0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</w:t>
      </w:r>
      <w:r w:rsidR="00236AB9"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xpectations </w:t>
      </w:r>
      <w:r w:rsidR="004252CB" w:rsidRPr="00A723A0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of </w:t>
      </w:r>
      <w:r w:rsidR="004252CB"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Nursery</w:t>
      </w:r>
      <w:r w:rsidR="00236AB9"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Staff</w:t>
      </w:r>
    </w:p>
    <w:p w14:paraId="03A207B0" w14:textId="77777777" w:rsidR="00EB0284" w:rsidRPr="00EB0284" w:rsidRDefault="00236AB9" w:rsidP="00EB02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providing a welcoming </w:t>
      </w:r>
      <w:r w:rsidR="004252CB"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environment.</w:t>
      </w:r>
    </w:p>
    <w:p w14:paraId="09A13F9A" w14:textId="77777777" w:rsidR="00EB0284" w:rsidRPr="00EB0284" w:rsidRDefault="00236AB9" w:rsidP="00EB02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keep an accurate and up-to-date register of </w:t>
      </w:r>
      <w:r w:rsidR="004252CB"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attendance.</w:t>
      </w:r>
    </w:p>
    <w:p w14:paraId="596C9DF5" w14:textId="26CFCD1F" w:rsidR="00EB0284" w:rsidRPr="00EB0284" w:rsidRDefault="00236AB9" w:rsidP="00EB02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follow </w:t>
      </w:r>
      <w:r w:rsidR="00623C17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our</w:t>
      </w:r>
      <w:r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="00623C17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</w:t>
      </w:r>
      <w:r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ttendance Policy procedures</w:t>
      </w:r>
    </w:p>
    <w:p w14:paraId="0914140E" w14:textId="15112802" w:rsidR="00236AB9" w:rsidRPr="00EB0284" w:rsidRDefault="00236AB9" w:rsidP="00EB02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maintain swift action and effective communication with </w:t>
      </w:r>
      <w:r w:rsidR="00EB4E85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the manager and </w:t>
      </w:r>
      <w:r w:rsidR="003E60F5"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DSL </w:t>
      </w:r>
      <w:r w:rsidRPr="00EB0284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on all attendance matters concerning </w:t>
      </w:r>
      <w:r w:rsidR="00EB4E85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a child. </w:t>
      </w:r>
    </w:p>
    <w:p w14:paraId="64EEF4E6" w14:textId="77777777" w:rsidR="00EB0284" w:rsidRPr="00EB0284" w:rsidRDefault="00EB0284" w:rsidP="00EB4E85">
      <w:pPr>
        <w:pStyle w:val="ListParagraph"/>
        <w:shd w:val="clear" w:color="auto" w:fill="FFFFFF"/>
        <w:spacing w:after="0" w:line="240" w:lineRule="auto"/>
        <w:ind w:left="405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AB14888" w14:textId="77777777" w:rsidR="00EB0284" w:rsidRPr="00236AB9" w:rsidRDefault="00236AB9" w:rsidP="00EB0284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="00EB0284"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Other </w:t>
      </w:r>
      <w:r w:rsidR="00EB0284" w:rsidRPr="00A723A0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</w:t>
      </w:r>
      <w:r w:rsidR="00EB0284" w:rsidRPr="00236AB9">
        <w:rPr>
          <w:rFonts w:ascii="Century Gothic" w:eastAsia="Times New Roman" w:hAnsi="Century Gothic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olicies supporting attendance.</w:t>
      </w:r>
    </w:p>
    <w:p w14:paraId="44987E13" w14:textId="4B00DA3C" w:rsidR="00EB0284" w:rsidRPr="00EB0284" w:rsidRDefault="00EB0284" w:rsidP="00EB0284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Safeguarding Policy.</w:t>
      </w:r>
    </w:p>
    <w:p w14:paraId="04B73464" w14:textId="77459CAD" w:rsidR="00EB0284" w:rsidRPr="00236AB9" w:rsidRDefault="00EB0284" w:rsidP="00EB0284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Calibri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SEND Offer</w:t>
      </w:r>
    </w:p>
    <w:p w14:paraId="4AD96CCE" w14:textId="4FAFABAF" w:rsidR="00236AB9" w:rsidRPr="00236AB9" w:rsidRDefault="00236AB9" w:rsidP="00236AB9">
      <w:p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22FF5E0" w14:textId="77777777" w:rsidR="00236AB9" w:rsidRPr="00236AB9" w:rsidRDefault="00236AB9" w:rsidP="00236AB9">
      <w:p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54F86073" w14:textId="59545A30" w:rsidR="00236AB9" w:rsidRDefault="00236AB9" w:rsidP="00236AB9">
      <w:p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="00C153B0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Policy adopted </w:t>
      </w:r>
    </w:p>
    <w:p w14:paraId="79BF8932" w14:textId="1DD521A4" w:rsidR="00C153B0" w:rsidRPr="00236AB9" w:rsidRDefault="00C153B0" w:rsidP="00236AB9">
      <w:p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>Aug 2025 – Emma Poole</w:t>
      </w:r>
    </w:p>
    <w:p w14:paraId="5798FFF5" w14:textId="77777777" w:rsidR="00236AB9" w:rsidRPr="00236AB9" w:rsidRDefault="00236AB9" w:rsidP="00236AB9">
      <w:pPr>
        <w:shd w:val="clear" w:color="auto" w:fill="FFFFFF"/>
        <w:spacing w:after="0" w:line="240" w:lineRule="auto"/>
        <w:jc w:val="both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074BBA8D" w14:textId="77777777" w:rsidR="00236AB9" w:rsidRPr="00236AB9" w:rsidRDefault="00236AB9" w:rsidP="00236AB9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6E625215" w14:textId="77777777" w:rsidR="00236AB9" w:rsidRPr="00A723A0" w:rsidRDefault="00236AB9" w:rsidP="00236AB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1D35"/>
          <w:kern w:val="0"/>
          <w:sz w:val="20"/>
          <w:szCs w:val="20"/>
          <w:lang w:eastAsia="en-GB"/>
          <w14:ligatures w14:val="none"/>
        </w:rPr>
      </w:pPr>
    </w:p>
    <w:p w14:paraId="411A2008" w14:textId="77777777" w:rsidR="00236AB9" w:rsidRPr="00A723A0" w:rsidRDefault="00236AB9" w:rsidP="00236AB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1D35"/>
          <w:kern w:val="0"/>
          <w:sz w:val="20"/>
          <w:szCs w:val="20"/>
          <w:lang w:eastAsia="en-GB"/>
          <w14:ligatures w14:val="none"/>
        </w:rPr>
      </w:pPr>
    </w:p>
    <w:p w14:paraId="7D49E0A9" w14:textId="00047D50" w:rsidR="00236AB9" w:rsidRPr="00236AB9" w:rsidRDefault="00236AB9" w:rsidP="00236AB9">
      <w:pPr>
        <w:shd w:val="clear" w:color="auto" w:fill="FFFFFF"/>
        <w:spacing w:after="120" w:line="330" w:lineRule="atLeast"/>
        <w:ind w:left="720"/>
        <w:rPr>
          <w:rFonts w:ascii="Century Gothic" w:eastAsia="Times New Roman" w:hAnsi="Century Gothic" w:cs="Times New Roman"/>
          <w:color w:val="545D7E"/>
          <w:spacing w:val="2"/>
          <w:kern w:val="0"/>
          <w:sz w:val="20"/>
          <w:szCs w:val="20"/>
          <w:lang w:eastAsia="en-GB"/>
          <w14:ligatures w14:val="none"/>
        </w:rPr>
      </w:pPr>
      <w:r w:rsidRPr="00236AB9">
        <w:rPr>
          <w:rFonts w:ascii="Century Gothic" w:eastAsia="Times New Roman" w:hAnsi="Century Gothic" w:cs="Arial"/>
          <w:color w:val="545D7E"/>
          <w:spacing w:val="2"/>
          <w:kern w:val="0"/>
          <w:sz w:val="20"/>
          <w:szCs w:val="20"/>
          <w:lang w:eastAsia="en-GB"/>
          <w14:ligatures w14:val="none"/>
        </w:rPr>
        <w:t>. </w:t>
      </w:r>
    </w:p>
    <w:sectPr w:rsidR="00236AB9" w:rsidRPr="00236AB9" w:rsidSect="00A72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78B"/>
    <w:multiLevelType w:val="multilevel"/>
    <w:tmpl w:val="B3FA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06E66"/>
    <w:multiLevelType w:val="multilevel"/>
    <w:tmpl w:val="38C6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C26FB0"/>
    <w:multiLevelType w:val="multilevel"/>
    <w:tmpl w:val="0FE8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80708"/>
    <w:multiLevelType w:val="hybridMultilevel"/>
    <w:tmpl w:val="21C2852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67D7663"/>
    <w:multiLevelType w:val="multilevel"/>
    <w:tmpl w:val="ECBA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D6768"/>
    <w:multiLevelType w:val="hybridMultilevel"/>
    <w:tmpl w:val="0AEA053E"/>
    <w:lvl w:ilvl="0" w:tplc="412201F8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52B9"/>
    <w:multiLevelType w:val="multilevel"/>
    <w:tmpl w:val="6F44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7779B"/>
    <w:multiLevelType w:val="hybridMultilevel"/>
    <w:tmpl w:val="74183BE8"/>
    <w:lvl w:ilvl="0" w:tplc="412201F8">
      <w:numFmt w:val="bullet"/>
      <w:lvlText w:val="•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4348FD"/>
    <w:multiLevelType w:val="multilevel"/>
    <w:tmpl w:val="B11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32337"/>
    <w:multiLevelType w:val="hybridMultilevel"/>
    <w:tmpl w:val="6CE64D74"/>
    <w:lvl w:ilvl="0" w:tplc="412201F8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C507BDF"/>
    <w:multiLevelType w:val="multilevel"/>
    <w:tmpl w:val="FD6A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C618F9"/>
    <w:multiLevelType w:val="multilevel"/>
    <w:tmpl w:val="6732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EE5C0C"/>
    <w:multiLevelType w:val="multilevel"/>
    <w:tmpl w:val="27F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551B26"/>
    <w:multiLevelType w:val="multilevel"/>
    <w:tmpl w:val="64BE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C313E"/>
    <w:multiLevelType w:val="multilevel"/>
    <w:tmpl w:val="B3F0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25211"/>
    <w:multiLevelType w:val="hybridMultilevel"/>
    <w:tmpl w:val="4EC8A832"/>
    <w:lvl w:ilvl="0" w:tplc="412201F8">
      <w:numFmt w:val="bullet"/>
      <w:lvlText w:val="•"/>
      <w:lvlJc w:val="left"/>
      <w:pPr>
        <w:ind w:left="123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173570630">
    <w:abstractNumId w:val="8"/>
  </w:num>
  <w:num w:numId="2" w16cid:durableId="842936919">
    <w:abstractNumId w:val="14"/>
  </w:num>
  <w:num w:numId="3" w16cid:durableId="168714429">
    <w:abstractNumId w:val="0"/>
  </w:num>
  <w:num w:numId="4" w16cid:durableId="705527187">
    <w:abstractNumId w:val="1"/>
  </w:num>
  <w:num w:numId="5" w16cid:durableId="1455715227">
    <w:abstractNumId w:val="10"/>
  </w:num>
  <w:num w:numId="6" w16cid:durableId="1067341860">
    <w:abstractNumId w:val="12"/>
  </w:num>
  <w:num w:numId="7" w16cid:durableId="1223642081">
    <w:abstractNumId w:val="4"/>
  </w:num>
  <w:num w:numId="8" w16cid:durableId="1406610649">
    <w:abstractNumId w:val="6"/>
  </w:num>
  <w:num w:numId="9" w16cid:durableId="1714113056">
    <w:abstractNumId w:val="11"/>
  </w:num>
  <w:num w:numId="10" w16cid:durableId="1041707281">
    <w:abstractNumId w:val="13"/>
  </w:num>
  <w:num w:numId="11" w16cid:durableId="1447890307">
    <w:abstractNumId w:val="2"/>
  </w:num>
  <w:num w:numId="12" w16cid:durableId="1631863435">
    <w:abstractNumId w:val="3"/>
  </w:num>
  <w:num w:numId="13" w16cid:durableId="423457049">
    <w:abstractNumId w:val="9"/>
  </w:num>
  <w:num w:numId="14" w16cid:durableId="522090164">
    <w:abstractNumId w:val="7"/>
  </w:num>
  <w:num w:numId="15" w16cid:durableId="1528327664">
    <w:abstractNumId w:val="15"/>
  </w:num>
  <w:num w:numId="16" w16cid:durableId="335226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B9"/>
    <w:rsid w:val="00042E67"/>
    <w:rsid w:val="00046CDB"/>
    <w:rsid w:val="000479B8"/>
    <w:rsid w:val="00081396"/>
    <w:rsid w:val="000A7E2E"/>
    <w:rsid w:val="000D1056"/>
    <w:rsid w:val="001308D0"/>
    <w:rsid w:val="00150484"/>
    <w:rsid w:val="001B4C8B"/>
    <w:rsid w:val="001D4CC1"/>
    <w:rsid w:val="001E4FB1"/>
    <w:rsid w:val="00236AB9"/>
    <w:rsid w:val="00373075"/>
    <w:rsid w:val="003E3B84"/>
    <w:rsid w:val="003E60F5"/>
    <w:rsid w:val="004252CB"/>
    <w:rsid w:val="004609AF"/>
    <w:rsid w:val="004869D3"/>
    <w:rsid w:val="004E7432"/>
    <w:rsid w:val="00500417"/>
    <w:rsid w:val="005F1401"/>
    <w:rsid w:val="00623C17"/>
    <w:rsid w:val="00751BB8"/>
    <w:rsid w:val="0077023E"/>
    <w:rsid w:val="00880378"/>
    <w:rsid w:val="00931DE8"/>
    <w:rsid w:val="009E5E03"/>
    <w:rsid w:val="009F28E2"/>
    <w:rsid w:val="00A723A0"/>
    <w:rsid w:val="00BA4F8D"/>
    <w:rsid w:val="00C153B0"/>
    <w:rsid w:val="00C34899"/>
    <w:rsid w:val="00C7039B"/>
    <w:rsid w:val="00EB0284"/>
    <w:rsid w:val="00EB4E85"/>
    <w:rsid w:val="00EE3E27"/>
    <w:rsid w:val="00F37829"/>
    <w:rsid w:val="00F5252D"/>
    <w:rsid w:val="00FB552B"/>
    <w:rsid w:val="00F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0F2C"/>
  <w15:chartTrackingRefBased/>
  <w15:docId w15:val="{2D793F8B-3385-4EF0-9195-B46D9F0C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 Hill Day Nursery</dc:creator>
  <cp:keywords/>
  <dc:description/>
  <cp:lastModifiedBy>Notting Hill Day Nursery</cp:lastModifiedBy>
  <cp:revision>2</cp:revision>
  <cp:lastPrinted>2025-08-19T13:36:00Z</cp:lastPrinted>
  <dcterms:created xsi:type="dcterms:W3CDTF">2025-09-15T11:13:00Z</dcterms:created>
  <dcterms:modified xsi:type="dcterms:W3CDTF">2025-09-15T11:13:00Z</dcterms:modified>
</cp:coreProperties>
</file>