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sz w:val="36"/>
          <w:szCs w:val="36"/>
        </w:rPr>
      </w:pPr>
      <w:r>
        <w:rPr>
          <w:sz w:val="36"/>
          <w:szCs w:val="36"/>
          <w:rtl w:val="0"/>
          <w:lang w:val="en-US"/>
        </w:rPr>
        <w:t xml:space="preserve">Inclusion </w:t>
      </w:r>
    </w:p>
    <w:p>
      <w:pPr>
        <w:pStyle w:val="Body A"/>
      </w:pPr>
    </w:p>
    <w:p>
      <w:pPr>
        <w:pStyle w:val="Body A"/>
        <w:jc w:val="center"/>
      </w:pPr>
      <w:r>
        <w:rPr>
          <w:rtl w:val="0"/>
          <w:lang w:val="en-US"/>
        </w:rPr>
        <w:t>‘</w:t>
      </w:r>
      <w:r>
        <w:rPr>
          <w:b w:val="1"/>
          <w:bCs w:val="1"/>
          <w:i w:val="1"/>
          <w:iCs w:val="1"/>
          <w:sz w:val="28"/>
          <w:szCs w:val="28"/>
          <w:rtl w:val="0"/>
          <w:lang w:val="en-US"/>
        </w:rPr>
        <w:t>Every child can make progress, if they are given the right support</w:t>
      </w:r>
      <w:r>
        <w:rPr>
          <w:b w:val="1"/>
          <w:bCs w:val="1"/>
          <w:i w:val="1"/>
          <w:iCs w:val="1"/>
          <w:sz w:val="28"/>
          <w:szCs w:val="28"/>
          <w:rtl w:val="0"/>
          <w:lang w:val="en-US"/>
        </w:rPr>
        <w:t>’</w:t>
      </w:r>
      <w:r>
        <w:rPr>
          <w:b w:val="1"/>
          <w:bCs w:val="1"/>
          <w:sz w:val="28"/>
          <w:szCs w:val="28"/>
          <w:rtl w:val="0"/>
          <w:lang w:val="en-US"/>
        </w:rPr>
        <w:t xml:space="preserve"> </w:t>
      </w:r>
      <w:r>
        <w:rPr>
          <w:rtl w:val="0"/>
          <w:lang w:val="en-US"/>
        </w:rPr>
        <w:t>- (Development Matters 2020)</w:t>
      </w:r>
    </w:p>
    <w:p>
      <w:pPr>
        <w:pStyle w:val="Body A"/>
        <w:rPr>
          <w:sz w:val="26"/>
          <w:szCs w:val="26"/>
        </w:rPr>
      </w:pPr>
    </w:p>
    <w:p>
      <w:pPr>
        <w:pStyle w:val="Body A"/>
        <w:rPr>
          <w:sz w:val="26"/>
          <w:szCs w:val="26"/>
        </w:rPr>
      </w:pPr>
      <w:r>
        <w:rPr>
          <w:sz w:val="26"/>
          <w:szCs w:val="26"/>
          <w:rtl w:val="0"/>
          <w:lang w:val="en-US"/>
        </w:rPr>
        <w:t xml:space="preserve"> By observing children at play we are able to plan an environment that meets their individual diverse learning needs. Some children may be identified as having barriers to learning that lead to their specific needs requiring particular support.</w:t>
      </w:r>
    </w:p>
    <w:p>
      <w:pPr>
        <w:pStyle w:val="Body A"/>
        <w:rPr>
          <w:sz w:val="26"/>
          <w:szCs w:val="26"/>
        </w:rPr>
      </w:pPr>
    </w:p>
    <w:p>
      <w:pPr>
        <w:pStyle w:val="Body A"/>
        <w:rPr>
          <w:sz w:val="26"/>
          <w:szCs w:val="26"/>
        </w:rPr>
      </w:pPr>
      <w:r>
        <w:rPr>
          <w:sz w:val="26"/>
          <w:szCs w:val="26"/>
          <w:rtl w:val="0"/>
          <w:lang w:val="en-US"/>
        </w:rPr>
        <w:t>Early identification and response to these needs is vital, this includes the needs of,</w:t>
      </w:r>
    </w:p>
    <w:p>
      <w:pPr>
        <w:pStyle w:val="Body A"/>
        <w:numPr>
          <w:ilvl w:val="0"/>
          <w:numId w:val="2"/>
        </w:numPr>
        <w:bidi w:val="0"/>
        <w:ind w:right="0"/>
        <w:jc w:val="left"/>
        <w:rPr>
          <w:sz w:val="26"/>
          <w:szCs w:val="26"/>
          <w:rtl w:val="0"/>
          <w:lang w:val="en-US"/>
        </w:rPr>
      </w:pPr>
      <w:r>
        <w:rPr>
          <w:sz w:val="26"/>
          <w:szCs w:val="26"/>
          <w:rtl w:val="0"/>
          <w:lang w:val="en-US"/>
        </w:rPr>
        <w:t>Disadvantaged children (those in receipt of EYPP)</w:t>
      </w:r>
    </w:p>
    <w:p>
      <w:pPr>
        <w:pStyle w:val="Body A"/>
        <w:numPr>
          <w:ilvl w:val="0"/>
          <w:numId w:val="2"/>
        </w:numPr>
        <w:bidi w:val="0"/>
        <w:ind w:right="0"/>
        <w:jc w:val="left"/>
        <w:rPr>
          <w:sz w:val="26"/>
          <w:szCs w:val="26"/>
          <w:rtl w:val="0"/>
          <w:lang w:val="en-US"/>
        </w:rPr>
      </w:pPr>
      <w:r>
        <w:rPr>
          <w:sz w:val="26"/>
          <w:szCs w:val="26"/>
          <w:rtl w:val="0"/>
          <w:lang w:val="en-US"/>
        </w:rPr>
        <w:t xml:space="preserve">Children with SEND (Special Educational Needs and Disabilities) </w:t>
      </w:r>
    </w:p>
    <w:p>
      <w:pPr>
        <w:pStyle w:val="Body A"/>
        <w:numPr>
          <w:ilvl w:val="0"/>
          <w:numId w:val="2"/>
        </w:numPr>
        <w:bidi w:val="0"/>
        <w:ind w:right="0"/>
        <w:jc w:val="left"/>
        <w:rPr>
          <w:sz w:val="26"/>
          <w:szCs w:val="26"/>
          <w:rtl w:val="0"/>
          <w:lang w:val="en-US"/>
        </w:rPr>
      </w:pPr>
      <w:r>
        <w:rPr>
          <w:sz w:val="26"/>
          <w:szCs w:val="26"/>
          <w:rtl w:val="0"/>
          <w:lang w:val="en-US"/>
        </w:rPr>
        <w:t xml:space="preserve">Children who are known (or previously known) to children social care. </w:t>
      </w:r>
    </w:p>
    <w:p>
      <w:pPr>
        <w:pStyle w:val="Body A"/>
        <w:rPr>
          <w:sz w:val="26"/>
          <w:szCs w:val="26"/>
        </w:rPr>
      </w:pPr>
    </w:p>
    <w:p>
      <w:pPr>
        <w:pStyle w:val="Body A"/>
        <w:rPr>
          <w:sz w:val="26"/>
          <w:szCs w:val="26"/>
        </w:rPr>
      </w:pPr>
      <w:r>
        <w:rPr>
          <w:sz w:val="26"/>
          <w:szCs w:val="26"/>
          <w:rtl w:val="0"/>
          <w:lang w:val="en-US"/>
        </w:rPr>
        <w:t>Our inclusive approach means that:</w:t>
      </w:r>
    </w:p>
    <w:p>
      <w:pPr>
        <w:pStyle w:val="Body A"/>
        <w:rPr>
          <w:sz w:val="26"/>
          <w:szCs w:val="26"/>
        </w:rPr>
      </w:pPr>
    </w:p>
    <w:p>
      <w:pPr>
        <w:pStyle w:val="Body A"/>
        <w:numPr>
          <w:ilvl w:val="0"/>
          <w:numId w:val="3"/>
        </w:numPr>
        <w:bidi w:val="0"/>
        <w:ind w:right="0"/>
        <w:jc w:val="left"/>
        <w:rPr>
          <w:sz w:val="26"/>
          <w:szCs w:val="26"/>
          <w:rtl w:val="0"/>
          <w:lang w:val="en-US"/>
        </w:rPr>
      </w:pPr>
      <w:r>
        <w:rPr>
          <w:sz w:val="26"/>
          <w:szCs w:val="26"/>
          <w:rtl w:val="0"/>
          <w:lang w:val="en-US"/>
        </w:rPr>
        <w:t xml:space="preserve">We have high expectations for all children's learning and recognise that all children develop at different rates. Using tools such as Development Matters practitioners are able to observe, record and assess children's language, behaviour and skills and make informed judgments to effectively celebrate success and plan for progress. </w:t>
      </w:r>
    </w:p>
    <w:p>
      <w:pPr>
        <w:pStyle w:val="Body A"/>
        <w:rPr>
          <w:sz w:val="26"/>
          <w:szCs w:val="26"/>
        </w:rPr>
      </w:pPr>
    </w:p>
    <w:p>
      <w:pPr>
        <w:pStyle w:val="Body A"/>
        <w:numPr>
          <w:ilvl w:val="0"/>
          <w:numId w:val="3"/>
        </w:numPr>
        <w:bidi w:val="0"/>
        <w:ind w:right="0"/>
        <w:jc w:val="left"/>
        <w:rPr>
          <w:sz w:val="26"/>
          <w:szCs w:val="26"/>
          <w:rtl w:val="0"/>
          <w:lang w:val="en-US"/>
        </w:rPr>
      </w:pPr>
      <w:r>
        <w:rPr>
          <w:sz w:val="26"/>
          <w:szCs w:val="26"/>
          <w:rtl w:val="0"/>
          <w:lang w:val="en-US"/>
        </w:rPr>
        <w:t>We aim to build strong reciprocal partnerships with parents and communicate effectively regarding their child's development. To improve outcomes the sharing of information with families is prioritised. Respecting the parents</w:t>
      </w:r>
      <w:r>
        <w:rPr>
          <w:sz w:val="26"/>
          <w:szCs w:val="26"/>
          <w:rtl w:val="0"/>
          <w:lang w:val="en-US"/>
        </w:rPr>
        <w:t xml:space="preserve">’ </w:t>
      </w:r>
      <w:r>
        <w:rPr>
          <w:sz w:val="26"/>
          <w:szCs w:val="26"/>
          <w:rtl w:val="0"/>
          <w:lang w:val="en-US"/>
        </w:rPr>
        <w:t xml:space="preserve">role as the child's first educator and responding to any concerns raised regarding their child's development in a supportive and professional manner. </w:t>
      </w:r>
    </w:p>
    <w:p>
      <w:pPr>
        <w:pStyle w:val="Body A"/>
        <w:rPr>
          <w:sz w:val="26"/>
          <w:szCs w:val="26"/>
        </w:rPr>
      </w:pPr>
    </w:p>
    <w:p>
      <w:pPr>
        <w:pStyle w:val="Body A"/>
        <w:numPr>
          <w:ilvl w:val="0"/>
          <w:numId w:val="3"/>
        </w:numPr>
        <w:bidi w:val="0"/>
        <w:ind w:right="0"/>
        <w:jc w:val="left"/>
        <w:rPr>
          <w:sz w:val="26"/>
          <w:szCs w:val="26"/>
          <w:rtl w:val="0"/>
          <w:lang w:val="en-US"/>
        </w:rPr>
      </w:pPr>
      <w:r>
        <w:rPr>
          <w:sz w:val="26"/>
          <w:szCs w:val="26"/>
          <w:rtl w:val="0"/>
          <w:lang w:val="en-US"/>
        </w:rPr>
        <w:t>We make reasonable adjustments to our practice using a graduated response, (Assess, Plan, Do Review) to meet children</w:t>
      </w:r>
      <w:r>
        <w:rPr>
          <w:sz w:val="26"/>
          <w:szCs w:val="26"/>
          <w:rtl w:val="0"/>
          <w:lang w:val="en-US"/>
        </w:rPr>
        <w:t>’</w:t>
      </w:r>
      <w:r>
        <w:rPr>
          <w:sz w:val="26"/>
          <w:szCs w:val="26"/>
          <w:rtl w:val="0"/>
          <w:lang w:val="en-US"/>
        </w:rPr>
        <w:t xml:space="preserve">s differing needs. We monitor and review our provision and take steps to reduce barriers to learning If any learning needs are identified. </w:t>
      </w:r>
    </w:p>
    <w:p>
      <w:pPr>
        <w:pStyle w:val="Body A"/>
        <w:rPr>
          <w:sz w:val="26"/>
          <w:szCs w:val="26"/>
        </w:rPr>
      </w:pPr>
    </w:p>
    <w:p>
      <w:pPr>
        <w:pStyle w:val="Body A"/>
        <w:numPr>
          <w:ilvl w:val="0"/>
          <w:numId w:val="3"/>
        </w:numPr>
        <w:bidi w:val="0"/>
        <w:ind w:right="0"/>
        <w:jc w:val="left"/>
        <w:rPr>
          <w:sz w:val="26"/>
          <w:szCs w:val="26"/>
          <w:rtl w:val="0"/>
          <w:lang w:val="en-US"/>
        </w:rPr>
      </w:pPr>
      <w:r>
        <w:rPr>
          <w:sz w:val="26"/>
          <w:szCs w:val="26"/>
          <w:rtl w:val="0"/>
          <w:lang w:val="en-US"/>
        </w:rPr>
        <w:t>We support families to find out what local support is available and how to access it. While members of the nursery team receive ongoing training, (including SEND) with consent from parents it may be necessary to request involvement or specialist support and advice from other professionals such as health visitors or speech therapists.</w:t>
      </w:r>
    </w:p>
    <w:p>
      <w:pPr>
        <w:pStyle w:val="Body A"/>
        <w:rPr>
          <w:sz w:val="26"/>
          <w:szCs w:val="26"/>
        </w:rPr>
      </w:pPr>
    </w:p>
    <w:p>
      <w:pPr>
        <w:pStyle w:val="Body A"/>
        <w:rPr>
          <w:b w:val="1"/>
          <w:bCs w:val="1"/>
          <w:sz w:val="26"/>
          <w:szCs w:val="26"/>
        </w:rPr>
      </w:pPr>
      <w:r>
        <w:rPr>
          <w:b w:val="1"/>
          <w:bCs w:val="1"/>
          <w:sz w:val="26"/>
          <w:szCs w:val="26"/>
          <w:rtl w:val="0"/>
          <w:lang w:val="en-US"/>
        </w:rPr>
        <w:t xml:space="preserve">Relevant legislation </w:t>
      </w:r>
    </w:p>
    <w:p>
      <w:pPr>
        <w:pStyle w:val="Body A"/>
        <w:rPr>
          <w:sz w:val="26"/>
          <w:szCs w:val="26"/>
        </w:rPr>
      </w:pPr>
      <w:r>
        <w:rPr>
          <w:sz w:val="26"/>
          <w:szCs w:val="26"/>
          <w:rtl w:val="0"/>
          <w:lang w:val="en-US"/>
        </w:rPr>
        <w:t xml:space="preserve">Special Educational Needs and Disability Code of Practice 2015 </w:t>
      </w:r>
    </w:p>
    <w:p>
      <w:pPr>
        <w:pStyle w:val="Body A"/>
        <w:rPr>
          <w:sz w:val="26"/>
          <w:szCs w:val="26"/>
        </w:rPr>
      </w:pPr>
    </w:p>
    <w:p>
      <w:pPr>
        <w:pStyle w:val="Body A"/>
        <w:rPr>
          <w:sz w:val="26"/>
          <w:szCs w:val="26"/>
        </w:rPr>
      </w:pPr>
    </w:p>
    <w:p>
      <w:pPr>
        <w:pStyle w:val="Body A"/>
      </w:pPr>
    </w:p>
    <w:p>
      <w:pPr>
        <w:pStyle w:val="Body A"/>
        <w:rPr>
          <w:sz w:val="26"/>
          <w:szCs w:val="26"/>
        </w:rPr>
      </w:pPr>
    </w:p>
    <w:p>
      <w:pPr>
        <w:pStyle w:val="Body A"/>
        <w:jc w:val="center"/>
        <w:rPr>
          <w:sz w:val="36"/>
          <w:szCs w:val="36"/>
        </w:rPr>
      </w:pPr>
      <w:r>
        <w:rPr>
          <w:sz w:val="36"/>
          <w:szCs w:val="36"/>
          <w:rtl w:val="0"/>
          <w:lang w:val="en-US"/>
        </w:rPr>
        <w:t>Equality</w:t>
      </w:r>
    </w:p>
    <w:p>
      <w:pPr>
        <w:pStyle w:val="Body A"/>
        <w:jc w:val="center"/>
        <w:rPr>
          <w:sz w:val="36"/>
          <w:szCs w:val="36"/>
        </w:rPr>
      </w:pPr>
    </w:p>
    <w:p>
      <w:pPr>
        <w:pStyle w:val="Body A"/>
        <w:rPr>
          <w:sz w:val="26"/>
          <w:szCs w:val="26"/>
        </w:rPr>
      </w:pPr>
      <w:r>
        <w:rPr>
          <w:sz w:val="26"/>
          <w:szCs w:val="26"/>
          <w:rtl w:val="0"/>
          <w:lang w:val="en-US"/>
        </w:rPr>
        <w:t xml:space="preserve">Children and adults have the right to a learning environment that is free from prejudice and discrimination. Every person is respected as an individual, taking positive account of gender, race, religion, ethnic origin, sexual preference, disability or martial status. </w:t>
      </w:r>
    </w:p>
    <w:p>
      <w:pPr>
        <w:pStyle w:val="Body A"/>
        <w:rPr>
          <w:sz w:val="26"/>
          <w:szCs w:val="26"/>
        </w:rPr>
      </w:pPr>
    </w:p>
    <w:p>
      <w:pPr>
        <w:pStyle w:val="Body A"/>
        <w:rPr>
          <w:sz w:val="26"/>
          <w:szCs w:val="26"/>
        </w:rPr>
      </w:pPr>
      <w:r>
        <w:rPr>
          <w:sz w:val="26"/>
          <w:szCs w:val="26"/>
          <w:rtl w:val="0"/>
          <w:lang w:val="en-US"/>
        </w:rPr>
        <w:t xml:space="preserve">Our resources reflect cultural diversity and non stereotypical roles with mutual respect and concern given in relation to customs and beliefs, dietary requirements, dress code and home languages. </w:t>
      </w:r>
    </w:p>
    <w:p>
      <w:pPr>
        <w:pStyle w:val="Body A"/>
        <w:rPr>
          <w:sz w:val="26"/>
          <w:szCs w:val="26"/>
        </w:rPr>
      </w:pPr>
    </w:p>
    <w:p>
      <w:pPr>
        <w:pStyle w:val="Body A"/>
        <w:rPr>
          <w:sz w:val="26"/>
          <w:szCs w:val="26"/>
        </w:rPr>
      </w:pPr>
      <w:r>
        <w:rPr>
          <w:sz w:val="26"/>
          <w:szCs w:val="26"/>
          <w:rtl w:val="0"/>
          <w:lang w:val="en-US"/>
        </w:rPr>
        <w:t>Children are given opportunities to explore and acknowledge differences between themselves and others and are encouraged to appreciate and value those differences.</w:t>
      </w:r>
    </w:p>
    <w:p>
      <w:pPr>
        <w:pStyle w:val="Body A"/>
        <w:rPr>
          <w:sz w:val="26"/>
          <w:szCs w:val="26"/>
        </w:rPr>
      </w:pPr>
    </w:p>
    <w:p>
      <w:pPr>
        <w:pStyle w:val="Body A"/>
        <w:rPr>
          <w:sz w:val="26"/>
          <w:szCs w:val="26"/>
        </w:rPr>
      </w:pPr>
      <w:r>
        <w:rPr>
          <w:sz w:val="26"/>
          <w:szCs w:val="26"/>
          <w:rtl w:val="0"/>
          <w:lang w:val="en-US"/>
        </w:rPr>
        <w:t xml:space="preserve">Through staff training and ongoing conversation, we aim to create an inclusive environment with a welcoming atmosphere which celebrates diversity and actively challenges discriminatory behaviour. </w:t>
      </w:r>
    </w:p>
    <w:p>
      <w:pPr>
        <w:pStyle w:val="Body A"/>
        <w:rPr>
          <w:sz w:val="26"/>
          <w:szCs w:val="26"/>
        </w:rPr>
      </w:pPr>
    </w:p>
    <w:p>
      <w:pPr>
        <w:pStyle w:val="Body A"/>
        <w:rPr>
          <w:sz w:val="26"/>
          <w:szCs w:val="26"/>
        </w:rPr>
      </w:pPr>
    </w:p>
    <w:p>
      <w:pPr>
        <w:pStyle w:val="Body A"/>
        <w:rPr>
          <w:b w:val="1"/>
          <w:bCs w:val="1"/>
          <w:sz w:val="26"/>
          <w:szCs w:val="26"/>
        </w:rPr>
      </w:pPr>
      <w:r>
        <w:rPr>
          <w:b w:val="1"/>
          <w:bCs w:val="1"/>
          <w:sz w:val="26"/>
          <w:szCs w:val="26"/>
          <w:rtl w:val="0"/>
          <w:lang w:val="en-US"/>
        </w:rPr>
        <w:t xml:space="preserve">Relevant legislation </w:t>
      </w:r>
    </w:p>
    <w:p>
      <w:pPr>
        <w:pStyle w:val="Body A"/>
        <w:rPr>
          <w:sz w:val="26"/>
          <w:szCs w:val="26"/>
        </w:rPr>
      </w:pPr>
      <w:r>
        <w:rPr>
          <w:sz w:val="26"/>
          <w:szCs w:val="26"/>
          <w:rtl w:val="0"/>
          <w:lang w:val="en-US"/>
        </w:rPr>
        <w:t>Equality Act 2010</w:t>
      </w:r>
    </w:p>
    <w:p>
      <w:pPr>
        <w:pStyle w:val="Body A"/>
        <w:rPr>
          <w:sz w:val="26"/>
          <w:szCs w:val="26"/>
        </w:rPr>
      </w:pPr>
    </w:p>
    <w:p>
      <w:pPr>
        <w:pStyle w:val="Default"/>
        <w:spacing w:before="0" w:line="240" w:lineRule="auto"/>
        <w:rPr>
          <w:outline w:val="0"/>
          <w:color w:val="0a0a0a"/>
          <w:sz w:val="32"/>
          <w:szCs w:val="32"/>
          <w:u w:color="0a0a0a"/>
          <w:shd w:val="clear" w:color="auto" w:fill="ffffff"/>
          <w14:textFill>
            <w14:solidFill>
              <w14:srgbClr w14:val="0A0A0A"/>
            </w14:solidFill>
          </w14:textFill>
        </w:rPr>
      </w:pPr>
    </w:p>
    <w:p>
      <w:pPr>
        <w:pStyle w:val="Default"/>
        <w:spacing w:before="0" w:line="240" w:lineRule="auto"/>
        <w:rPr>
          <w:outline w:val="0"/>
          <w:color w:val="0a0a0a"/>
          <w:sz w:val="32"/>
          <w:szCs w:val="32"/>
          <w:u w:color="0a0a0a"/>
          <w:shd w:val="clear" w:color="auto" w:fill="ffffff"/>
          <w14:textFill>
            <w14:solidFill>
              <w14:srgbClr w14:val="0A0A0A"/>
            </w14:solidFill>
          </w14:textFill>
        </w:rPr>
      </w:pPr>
    </w:p>
    <w:p>
      <w:pPr>
        <w:pStyle w:val="Default"/>
        <w:spacing w:before="0" w:line="240" w:lineRule="auto"/>
        <w:rPr>
          <w:outline w:val="0"/>
          <w:color w:val="0a0a0a"/>
          <w:sz w:val="40"/>
          <w:szCs w:val="40"/>
          <w:u w:color="0a0a0a"/>
          <w:shd w:val="clear" w:color="auto" w:fill="ffffff"/>
          <w14:textFill>
            <w14:solidFill>
              <w14:srgbClr w14:val="0A0A0A"/>
            </w14:solidFill>
          </w14:textFill>
        </w:rPr>
      </w:pPr>
    </w:p>
    <w:p>
      <w:pPr>
        <w:pStyle w:val="Default"/>
        <w:spacing w:before="0" w:after="240" w:line="240" w:lineRule="auto"/>
        <w:rPr>
          <w:outline w:val="0"/>
          <w:color w:val="0a0a0a"/>
          <w:sz w:val="32"/>
          <w:szCs w:val="32"/>
          <w:u w:color="0a0a0a"/>
          <w:shd w:val="clear" w:color="auto" w:fill="e5ecff"/>
          <w14:textFill>
            <w14:solidFill>
              <w14:srgbClr w14:val="0A0A0A"/>
            </w14:solidFill>
          </w14:textFill>
        </w:rPr>
      </w:pPr>
    </w:p>
    <w:p>
      <w:pPr>
        <w:pStyle w:val="Body A"/>
        <w:rPr>
          <w:sz w:val="26"/>
          <w:szCs w:val="26"/>
        </w:rPr>
      </w:pPr>
    </w:p>
    <w:p>
      <w:pPr>
        <w:pStyle w:val="Body A"/>
        <w:rPr>
          <w:sz w:val="26"/>
          <w:szCs w:val="26"/>
        </w:rPr>
      </w:pPr>
    </w:p>
    <w:p>
      <w:pPr>
        <w:pStyle w:val="Body A"/>
        <w:rPr>
          <w:sz w:val="26"/>
          <w:szCs w:val="26"/>
        </w:rPr>
      </w:pPr>
    </w:p>
    <w:p>
      <w:pPr>
        <w:pStyle w:val="Body A"/>
        <w:rPr>
          <w:b w:val="1"/>
          <w:bCs w:val="1"/>
          <w:position w:val="-32"/>
          <w:sz w:val="26"/>
          <w:szCs w:val="26"/>
        </w:rPr>
      </w:pPr>
      <w:r>
        <w:rPr>
          <w:b w:val="1"/>
          <w:bCs w:val="1"/>
          <w:position w:val="-32"/>
          <w:sz w:val="26"/>
          <w:szCs w:val="26"/>
          <w:rtl w:val="0"/>
          <w:lang w:val="en-US"/>
        </w:rPr>
        <w:t>Staff Training Record:</w:t>
      </w:r>
    </w:p>
    <w:p>
      <w:pPr>
        <w:pStyle w:val="Body A"/>
        <w:rPr>
          <w:b w:val="1"/>
          <w:bCs w:val="1"/>
          <w:sz w:val="26"/>
          <w:szCs w:val="26"/>
        </w:rPr>
      </w:pPr>
    </w:p>
    <w:p>
      <w:pPr>
        <w:pStyle w:val="Body A"/>
      </w:pPr>
      <w:r>
        <w:rPr>
          <w:rtl w:val="0"/>
          <w:lang w:val="en-US"/>
        </w:rPr>
        <w:t xml:space="preserve">Emma Poole </w:t>
        <w:tab/>
        <w:tab/>
        <w:t xml:space="preserve">SENDCo Leadership and Management  </w:t>
        <w:tab/>
        <w:t xml:space="preserve">   </w:t>
        <w:tab/>
      </w:r>
      <w:r>
        <w:rPr>
          <w:rtl w:val="0"/>
        </w:rPr>
        <w:tab/>
        <w:t xml:space="preserve"> </w:t>
      </w:r>
      <w:r>
        <w:rPr>
          <w:rtl w:val="0"/>
          <w:lang w:val="en-US"/>
        </w:rPr>
        <w:t>November 2025</w:t>
      </w:r>
    </w:p>
    <w:p>
      <w:pPr>
        <w:pStyle w:val="Body A"/>
      </w:pPr>
    </w:p>
    <w:p>
      <w:pPr>
        <w:pStyle w:val="Body A"/>
      </w:pPr>
      <w:r>
        <w:rPr>
          <w:rtl w:val="0"/>
          <w:lang w:val="en-US"/>
        </w:rPr>
        <w:t xml:space="preserve">Kayleigh Field </w:t>
        <w:tab/>
        <w:t>Introduction to early Years Inclusive practice</w:t>
        <w:tab/>
        <w:tab/>
      </w:r>
      <w:r>
        <w:tab/>
      </w:r>
      <w:r>
        <w:rPr>
          <w:rtl w:val="0"/>
          <w:lang w:val="en-US"/>
        </w:rPr>
        <w:t xml:space="preserve"> November 2025</w:t>
      </w:r>
    </w:p>
    <w:p>
      <w:pPr>
        <w:pStyle w:val="Body A"/>
      </w:pPr>
    </w:p>
    <w:p>
      <w:pPr>
        <w:pStyle w:val="Body A"/>
      </w:pPr>
      <w:r>
        <w:rPr>
          <w:rtl w:val="0"/>
          <w:lang w:val="en-US"/>
        </w:rPr>
        <w:t xml:space="preserve">Kayleigh Filed </w:t>
        <w:tab/>
        <w:t xml:space="preserve">NCFE Level 3 award for SENCO in Early Years Settings </w:t>
        <w:tab/>
        <w:t>February 2026</w:t>
      </w:r>
    </w:p>
    <w:p>
      <w:pPr>
        <w:pStyle w:val="Body A"/>
      </w:pPr>
    </w:p>
    <w:p>
      <w:pPr>
        <w:pStyle w:val="Body A"/>
      </w:pPr>
    </w:p>
    <w:p>
      <w:pPr>
        <w:pStyle w:val="Body A"/>
      </w:pPr>
      <w:r>
        <w:rPr>
          <w:sz w:val="26"/>
          <w:szCs w:val="26"/>
          <w:rtl w:val="0"/>
          <w:lang w:val="en-US"/>
        </w:rPr>
        <w:t>Policy adopted November 2025</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4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0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6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2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8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4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005" w:hanging="205"/>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