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sz w:val="24"/>
          <w:szCs w:val="24"/>
        </w:rPr>
      </w:pPr>
    </w:p>
    <w:p>
      <w:pPr>
        <w:pStyle w:val="Body A"/>
        <w:jc w:val="center"/>
        <w:rPr>
          <w:sz w:val="24"/>
          <w:szCs w:val="24"/>
        </w:rPr>
      </w:pPr>
      <w:r>
        <w:rPr>
          <w:sz w:val="24"/>
          <w:szCs w:val="24"/>
          <w:rtl w:val="0"/>
          <w:lang w:val="en-US"/>
        </w:rPr>
        <w:t>SEND Policy</w:t>
      </w:r>
    </w:p>
    <w:p>
      <w:pPr>
        <w:pStyle w:val="Body A"/>
        <w:jc w:val="center"/>
        <w:rPr>
          <w:sz w:val="24"/>
          <w:szCs w:val="24"/>
        </w:rPr>
      </w:pPr>
    </w:p>
    <w:p>
      <w:pPr>
        <w:pStyle w:val="Body A"/>
        <w:rPr>
          <w:sz w:val="24"/>
          <w:szCs w:val="24"/>
        </w:rPr>
      </w:pPr>
    </w:p>
    <w:p>
      <w:pPr>
        <w:pStyle w:val="Body A"/>
        <w:rPr>
          <w:sz w:val="24"/>
          <w:szCs w:val="24"/>
        </w:rPr>
      </w:pPr>
      <w:r>
        <w:rPr>
          <w:sz w:val="24"/>
          <w:szCs w:val="24"/>
          <w:rtl w:val="0"/>
          <w:lang w:val="en-US"/>
        </w:rPr>
        <w:t>Definitions:</w:t>
      </w:r>
    </w:p>
    <w:p>
      <w:pPr>
        <w:pStyle w:val="Body A"/>
        <w:rPr>
          <w:b w:val="1"/>
          <w:bCs w:val="1"/>
          <w:sz w:val="24"/>
          <w:szCs w:val="24"/>
        </w:rPr>
      </w:pPr>
    </w:p>
    <w:p>
      <w:pPr>
        <w:pStyle w:val="Body A"/>
        <w:rPr>
          <w:b w:val="1"/>
          <w:bCs w:val="1"/>
          <w:sz w:val="24"/>
          <w:szCs w:val="24"/>
        </w:rPr>
      </w:pPr>
      <w:r>
        <w:rPr>
          <w:b w:val="1"/>
          <w:bCs w:val="1"/>
          <w:sz w:val="24"/>
          <w:szCs w:val="24"/>
          <w:rtl w:val="0"/>
          <w:lang w:val="en-US"/>
        </w:rPr>
        <w:t>Special Education Needs</w:t>
      </w:r>
    </w:p>
    <w:p>
      <w:pPr>
        <w:pStyle w:val="Body A"/>
        <w:numPr>
          <w:ilvl w:val="0"/>
          <w:numId w:val="2"/>
        </w:numPr>
        <w:bidi w:val="0"/>
        <w:ind w:right="0"/>
        <w:jc w:val="left"/>
        <w:rPr>
          <w:sz w:val="24"/>
          <w:szCs w:val="24"/>
          <w:rtl w:val="0"/>
          <w:lang w:val="en-US"/>
        </w:rPr>
      </w:pPr>
      <w:r>
        <w:rPr>
          <w:sz w:val="24"/>
          <w:szCs w:val="24"/>
          <w:rtl w:val="0"/>
          <w:lang w:val="en-US"/>
        </w:rPr>
        <w:t>A child has SEN if they have a learning difficulty/disability calling for special educational provision.</w:t>
      </w:r>
    </w:p>
    <w:p>
      <w:pPr>
        <w:pStyle w:val="Body A"/>
        <w:rPr>
          <w:sz w:val="24"/>
          <w:szCs w:val="24"/>
        </w:rPr>
      </w:pPr>
    </w:p>
    <w:p>
      <w:pPr>
        <w:pStyle w:val="Default"/>
        <w:spacing w:before="0" w:line="240" w:lineRule="auto"/>
        <w:rPr>
          <w:b w:val="1"/>
          <w:bCs w:val="1"/>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Learning Difficulty</w:t>
      </w:r>
    </w:p>
    <w:p>
      <w:pPr>
        <w:pStyle w:val="Default"/>
        <w:numPr>
          <w:ilvl w:val="0"/>
          <w:numId w:val="3"/>
        </w:numPr>
        <w:bidi w:val="0"/>
        <w:spacing w:before="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These difficulties mean a child may need to learn in different ways and require extra support to succeed.</w:t>
      </w:r>
    </w:p>
    <w:p>
      <w:pPr>
        <w:pStyle w:val="Default"/>
        <w:spacing w:before="0" w:line="240" w:lineRule="auto"/>
        <w:rPr>
          <w:outline w:val="0"/>
          <w:color w:val="0a0a0a"/>
          <w:u w:color="0a0a0a"/>
          <w14:textFill>
            <w14:solidFill>
              <w14:srgbClr w14:val="0A0A0A"/>
            </w14:solidFill>
          </w14:textFill>
        </w:rPr>
      </w:pPr>
    </w:p>
    <w:p>
      <w:pPr>
        <w:pStyle w:val="Default"/>
        <w:spacing w:before="0" w:line="240" w:lineRule="auto"/>
        <w:rPr>
          <w:b w:val="1"/>
          <w:bCs w:val="1"/>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Disability</w:t>
      </w:r>
    </w:p>
    <w:p>
      <w:pPr>
        <w:pStyle w:val="Default"/>
        <w:numPr>
          <w:ilvl w:val="0"/>
          <w:numId w:val="3"/>
        </w:numPr>
        <w:bidi w:val="0"/>
        <w:spacing w:before="0" w:line="240" w:lineRule="auto"/>
        <w:ind w:right="0"/>
        <w:jc w:val="left"/>
        <w:rPr>
          <w:outline w:val="0"/>
          <w:color w:val="001d35"/>
          <w:rtl w:val="0"/>
          <w:lang w:val="en-US"/>
          <w14:textFill>
            <w14:solidFill>
              <w14:srgbClr w14:val="001D35"/>
            </w14:solidFill>
          </w14:textFill>
        </w:rPr>
      </w:pPr>
      <w:r>
        <w:rPr>
          <w:outline w:val="0"/>
          <w:color w:val="001d35"/>
          <w:u w:color="001d35"/>
          <w:rtl w:val="0"/>
          <w:lang w:val="en-US"/>
          <w14:textFill>
            <w14:solidFill>
              <w14:srgbClr w14:val="001D35"/>
            </w14:solidFill>
          </w14:textFill>
        </w:rPr>
        <w:t xml:space="preserve">A </w:t>
      </w:r>
      <w:r>
        <w:rPr>
          <w:outline w:val="0"/>
          <w:color w:val="001d35"/>
          <w:u w:color="001d35"/>
          <w:shd w:val="clear" w:color="auto" w:fill="ffffff"/>
          <w:rtl w:val="0"/>
          <w:lang w:val="en-US"/>
          <w14:textFill>
            <w14:solidFill>
              <w14:srgbClr w14:val="001D35"/>
            </w14:solidFill>
          </w14:textFill>
        </w:rPr>
        <w:t>physical or mental impairment with a "substantial" and "long-term" adverse effect on a child</w:t>
      </w:r>
      <w:r>
        <w:rPr>
          <w:rFonts w:ascii="Arial Unicode MS" w:hAnsi="Arial Unicode MS" w:hint="default"/>
          <w:outline w:val="0"/>
          <w:color w:val="001d35"/>
          <w:u w:color="001d35"/>
          <w:shd w:val="clear" w:color="auto" w:fill="ffffff"/>
          <w:rtl w:val="0"/>
          <w:lang w:val="en-US"/>
          <w14:textFill>
            <w14:solidFill>
              <w14:srgbClr w14:val="001D35"/>
            </w14:solidFill>
          </w14:textFill>
        </w:rPr>
        <w:t>’</w:t>
      </w:r>
      <w:r>
        <w:rPr>
          <w:outline w:val="0"/>
          <w:color w:val="001d35"/>
          <w:u w:color="001d35"/>
          <w:shd w:val="clear" w:color="auto" w:fill="ffffff"/>
          <w:rtl w:val="0"/>
          <w:lang w:val="en-US"/>
          <w14:textFill>
            <w14:solidFill>
              <w14:srgbClr w14:val="001D35"/>
            </w14:solidFill>
          </w14:textFill>
        </w:rPr>
        <w:t>s ability to carry out normal day-to-day activities</w:t>
      </w:r>
      <w:r>
        <w:rPr>
          <w:outline w:val="0"/>
          <w:color w:val="0a0a0a"/>
          <w:u w:color="0a0a0a"/>
          <w:shd w:val="clear" w:color="auto" w:fill="ffffff"/>
          <w:rtl w:val="0"/>
          <w:lang w:val="en-US"/>
          <w14:textFill>
            <w14:solidFill>
              <w14:srgbClr w14:val="0A0A0A"/>
            </w14:solidFill>
          </w14:textFill>
        </w:rPr>
        <w:t>. It includes sensory impairments, long-term health conditions and neurodivergent conditions.</w:t>
      </w:r>
      <w:r>
        <w:rPr>
          <w:outline w:val="0"/>
          <w:color w:val="0a0a0a"/>
          <w:u w:color="0a0a0a"/>
          <w:shd w:val="clear" w:color="auto" w:fill="ffffff"/>
          <w:rtl w:val="0"/>
          <w:lang w:val="en-US"/>
          <w14:textFill>
            <w14:solidFill>
              <w14:srgbClr w14:val="0A0A0A"/>
            </w14:solidFill>
          </w14:textFill>
        </w:rPr>
        <w:t> </w:t>
      </w:r>
    </w:p>
    <w:p>
      <w:pPr>
        <w:pStyle w:val="Default"/>
        <w:spacing w:before="0" w:line="240" w:lineRule="auto"/>
        <w:rPr>
          <w:outline w:val="0"/>
          <w:color w:val="001d35"/>
          <w:u w:color="001d35"/>
          <w14:textFill>
            <w14:solidFill>
              <w14:srgbClr w14:val="001D35"/>
            </w14:solidFill>
          </w14:textFill>
        </w:rPr>
      </w:pPr>
    </w:p>
    <w:p>
      <w:pPr>
        <w:pStyle w:val="Default"/>
        <w:spacing w:before="0" w:line="240" w:lineRule="auto"/>
        <w:jc w:val="center"/>
        <w:rPr>
          <w:outline w:val="0"/>
          <w:color w:val="545d7e"/>
          <w:u w:color="545d7e"/>
          <w:shd w:val="clear" w:color="auto" w:fill="e5ecff"/>
          <w14:textFill>
            <w14:solidFill>
              <w14:srgbClr w14:val="545D7E"/>
            </w14:solidFill>
          </w14:textFill>
        </w:rPr>
      </w:pPr>
    </w:p>
    <w:p>
      <w:pPr>
        <w:pStyle w:val="Default"/>
        <w:spacing w:before="0" w:after="240" w:line="240" w:lineRule="auto"/>
        <w:rPr>
          <w:outline w:val="0"/>
          <w:color w:val="0a0a0a"/>
          <w:u w:color="0a0a0a"/>
          <w14:textFill>
            <w14:solidFill>
              <w14:srgbClr w14:val="0A0A0A"/>
            </w14:solidFill>
          </w14:textFill>
        </w:rPr>
      </w:pPr>
      <w:r>
        <w:rPr>
          <w:outline w:val="0"/>
          <w:color w:val="0a0a0a"/>
          <w:u w:color="0a0a0a"/>
          <w:rtl w:val="0"/>
          <w:lang w:val="en-US"/>
          <w14:textFill>
            <w14:solidFill>
              <w14:srgbClr w14:val="0A0A0A"/>
            </w14:solidFill>
          </w14:textFill>
        </w:rPr>
        <w:t>Responsibilities:</w:t>
      </w:r>
    </w:p>
    <w:p>
      <w:pPr>
        <w:pStyle w:val="Default"/>
        <w:spacing w:before="0" w:after="240" w:line="240" w:lineRule="auto"/>
        <w:rPr>
          <w:b w:val="1"/>
          <w:bCs w:val="1"/>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 xml:space="preserve">The manager is responsible for </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ensuring this policy and its associated procedures are implemented effectively and that there is high expectations for children with SEND</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 xml:space="preserve">ensuring there is a named SENDCo with key responsibilities </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 xml:space="preserve">ensuring reasonable adjustments are made to ensure that every child with SEND gets the support they need </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 xml:space="preserve">ensuring parents are informed if the nursery is making special educational provision for their child </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ensuring that all children access a rich and varied curriculum and that children with SEND engage with children who do not have SEND</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 xml:space="preserve">ensuring that there is a clear approach to responding to children identified with SEND and that progress is monitored and reviewed so that necessary changes to improve practice are made. </w:t>
      </w:r>
    </w:p>
    <w:p>
      <w:pPr>
        <w:pStyle w:val="Default"/>
        <w:spacing w:before="0" w:after="240" w:line="240" w:lineRule="auto"/>
        <w:rPr>
          <w:b w:val="1"/>
          <w:bCs w:val="1"/>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The SENDCo is responsible for</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co ordinating the provision of children with SEND</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leasing with parents and other agencies</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 xml:space="preserve">supporting the nursery team to ensure that any plans made for children with SEND follow a graduated approach so that children receive appropriate support. </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Ensuring smooth transitions to other providers including all relevant information/records</w:t>
      </w:r>
    </w:p>
    <w:p>
      <w:pPr>
        <w:pStyle w:val="Default"/>
        <w:spacing w:before="0" w:after="240" w:line="240" w:lineRule="auto"/>
        <w:rPr>
          <w:b w:val="1"/>
          <w:bCs w:val="1"/>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 xml:space="preserve">All staff are responsible for </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 xml:space="preserve">Planning and maintaining a rich stimulating environment that is adapted to meet individual children's needs using a graduated response. </w:t>
      </w:r>
    </w:p>
    <w:p>
      <w:pPr>
        <w:pStyle w:val="Default"/>
        <w:numPr>
          <w:ilvl w:val="0"/>
          <w:numId w:val="3"/>
        </w:numPr>
        <w:bidi w:val="0"/>
        <w:spacing w:before="0" w:after="240" w:line="240" w:lineRule="auto"/>
        <w:ind w:right="0"/>
        <w:jc w:val="left"/>
        <w:rPr>
          <w:outline w:val="0"/>
          <w:color w:val="0a0a0a"/>
          <w:rtl w:val="0"/>
          <w:lang w:val="en-US"/>
          <w14:textFill>
            <w14:solidFill>
              <w14:srgbClr w14:val="0A0A0A"/>
            </w14:solidFill>
          </w14:textFill>
        </w:rPr>
      </w:pPr>
      <w:r>
        <w:rPr>
          <w:outline w:val="0"/>
          <w:color w:val="0a0a0a"/>
          <w:u w:color="0a0a0a"/>
          <w:rtl w:val="0"/>
          <w:lang w:val="en-US"/>
          <w14:textFill>
            <w14:solidFill>
              <w14:srgbClr w14:val="0A0A0A"/>
            </w14:solidFill>
          </w14:textFill>
        </w:rPr>
        <w:t xml:space="preserve">planning and assessing the impact of any support </w:t>
      </w:r>
    </w:p>
    <w:p>
      <w:pPr>
        <w:pStyle w:val="Default"/>
        <w:spacing w:before="0" w:line="240" w:lineRule="auto"/>
        <w:rPr>
          <w:b w:val="1"/>
          <w:bCs w:val="1"/>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 xml:space="preserve">Parents </w:t>
      </w:r>
    </w:p>
    <w:p>
      <w:pPr>
        <w:pStyle w:val="Default"/>
        <w:spacing w:before="0" w:line="240" w:lineRule="auto"/>
        <w:rPr>
          <w:outline w:val="0"/>
          <w:color w:val="0a0a0a"/>
          <w:u w:color="0a0a0a"/>
          <w14:textFill>
            <w14:solidFill>
              <w14:srgbClr w14:val="0A0A0A"/>
            </w14:solidFill>
          </w14:textFill>
        </w:rPr>
      </w:pPr>
      <w:r>
        <w:rPr>
          <w:outline w:val="0"/>
          <w:color w:val="0a0a0a"/>
          <w:u w:color="0a0a0a"/>
          <w:rtl w:val="0"/>
          <w:lang w:val="en-US"/>
          <w14:textFill>
            <w14:solidFill>
              <w14:srgbClr w14:val="0A0A0A"/>
            </w14:solidFill>
          </w14:textFill>
        </w:rPr>
        <w:t xml:space="preserve">Working with parents is essential, as they know their child best. Early years SEND support focuses on a close collaboration between families and practitioners to identify needs early on. Parents should inform the nursery if they have any concerns regarding their child's development so that tailored plans can be put into place. </w:t>
      </w:r>
    </w:p>
    <w:p>
      <w:pPr>
        <w:pStyle w:val="Default"/>
        <w:spacing w:before="0" w:line="240" w:lineRule="auto"/>
        <w:rPr>
          <w:outline w:val="0"/>
          <w:color w:val="0a0a0a"/>
          <w:u w:color="0a0a0a"/>
          <w14:textFill>
            <w14:solidFill>
              <w14:srgbClr w14:val="0A0A0A"/>
            </w14:solidFill>
          </w14:textFill>
        </w:rPr>
      </w:pPr>
    </w:p>
    <w:p>
      <w:pPr>
        <w:pStyle w:val="Default"/>
        <w:spacing w:before="0" w:line="240" w:lineRule="auto"/>
        <w:rPr>
          <w:b w:val="1"/>
          <w:bCs w:val="1"/>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The Local Offer</w:t>
      </w:r>
    </w:p>
    <w:p>
      <w:pPr>
        <w:pStyle w:val="Default"/>
        <w:spacing w:before="0" w:line="240" w:lineRule="auto"/>
        <w:rPr>
          <w:outline w:val="0"/>
          <w:color w:val="0a0a0a"/>
          <w:u w:color="0a0a0a"/>
          <w14:textFill>
            <w14:solidFill>
              <w14:srgbClr w14:val="0A0A0A"/>
            </w14:solidFill>
          </w14:textFill>
        </w:rPr>
      </w:pPr>
      <w:r>
        <w:rPr>
          <w:outline w:val="0"/>
          <w:color w:val="0a0a0a"/>
          <w:u w:color="0a0a0a"/>
          <w:rtl w:val="0"/>
          <w:lang w:val="en-US"/>
          <w14:textFill>
            <w14:solidFill>
              <w14:srgbClr w14:val="0A0A0A"/>
            </w14:solidFill>
          </w14:textFill>
        </w:rPr>
        <w:t>We work in partnership with the local authority to promote the local offer and help children with SEND and their families to find out what support is available and how to access it</w:t>
      </w:r>
    </w:p>
    <w:p>
      <w:pPr>
        <w:pStyle w:val="Default"/>
        <w:spacing w:before="0" w:line="240" w:lineRule="auto"/>
        <w:rPr>
          <w:outline w:val="0"/>
          <w:color w:val="0a0a0a"/>
          <w:u w:color="0a0a0a"/>
          <w14:textFill>
            <w14:solidFill>
              <w14:srgbClr w14:val="0A0A0A"/>
            </w14:solidFill>
          </w14:textFill>
        </w:rPr>
      </w:pPr>
    </w:p>
    <w:p>
      <w:pPr>
        <w:pStyle w:val="Default"/>
        <w:spacing w:before="0" w:line="240" w:lineRule="auto"/>
        <w:rPr>
          <w:b w:val="1"/>
          <w:bCs w:val="1"/>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A Graduated Approach</w:t>
      </w:r>
    </w:p>
    <w:p>
      <w:pPr>
        <w:pStyle w:val="Default"/>
        <w:spacing w:before="0" w:line="240" w:lineRule="auto"/>
        <w:rPr>
          <w:outline w:val="0"/>
          <w:color w:val="0a0a0a"/>
          <w:u w:color="0a0a0a"/>
          <w14:textFill>
            <w14:solidFill>
              <w14:srgbClr w14:val="0A0A0A"/>
            </w14:solidFill>
          </w14:textFill>
        </w:rPr>
      </w:pPr>
      <w:r>
        <w:rPr>
          <w:outline w:val="0"/>
          <w:color w:val="0a0a0a"/>
          <w:u w:color="0a0a0a"/>
          <w:rtl w:val="0"/>
          <w:lang w:val="en-US"/>
          <w14:textFill>
            <w14:solidFill>
              <w14:srgbClr w14:val="0A0A0A"/>
            </w14:solidFill>
          </w14:textFill>
        </w:rPr>
        <w:t>Somerset</w:t>
      </w:r>
      <w:r>
        <w:rPr>
          <w:rFonts w:ascii="Arial Unicode MS" w:hAnsi="Arial Unicode MS" w:hint="default"/>
          <w:outline w:val="0"/>
          <w:color w:val="0a0a0a"/>
          <w:u w:color="0a0a0a"/>
          <w:rtl w:val="0"/>
          <w:lang w:val="en-US"/>
          <w14:textFill>
            <w14:solidFill>
              <w14:srgbClr w14:val="0A0A0A"/>
            </w14:solidFill>
          </w14:textFill>
        </w:rPr>
        <w:t>’</w:t>
      </w:r>
      <w:r>
        <w:rPr>
          <w:outline w:val="0"/>
          <w:color w:val="0a0a0a"/>
          <w:u w:color="0a0a0a"/>
          <w:rtl w:val="0"/>
          <w:lang w:val="en-US"/>
          <w14:textFill>
            <w14:solidFill>
              <w14:srgbClr w14:val="0A0A0A"/>
            </w14:solidFill>
          </w14:textFill>
        </w:rPr>
        <w:t xml:space="preserve">s Graduated Response Tool is </w:t>
      </w:r>
      <w:r>
        <w:rPr>
          <w:outline w:val="0"/>
          <w:color w:val="001d35"/>
          <w:u w:color="001d35"/>
          <w:rtl w:val="0"/>
          <w:lang w:val="en-US"/>
          <w14:textFill>
            <w14:solidFill>
              <w14:srgbClr w14:val="001D35"/>
            </w14:solidFill>
          </w14:textFill>
        </w:rPr>
        <w:t>a framework for early identification and support of Special Educational Needs. I</w:t>
      </w:r>
      <w:r>
        <w:rPr>
          <w:outline w:val="0"/>
          <w:color w:val="0a0a0a"/>
          <w:u w:color="0a0a0a"/>
          <w:rtl w:val="0"/>
          <w:lang w:val="en-US"/>
          <w14:textFill>
            <w14:solidFill>
              <w14:srgbClr w14:val="0A0A0A"/>
            </w14:solidFill>
          </w14:textFill>
        </w:rPr>
        <w:t>t promotes a cycle of Assess, Plan, Do, Review to implement tailored strategies and targeted interventions for children with identified needs.</w:t>
      </w:r>
    </w:p>
    <w:p>
      <w:pPr>
        <w:pStyle w:val="Default"/>
        <w:spacing w:before="0" w:line="240" w:lineRule="auto"/>
        <w:rPr>
          <w:outline w:val="0"/>
          <w:color w:val="0a0a0a"/>
          <w:u w:color="0a0a0a"/>
          <w14:textFill>
            <w14:solidFill>
              <w14:srgbClr w14:val="0A0A0A"/>
            </w14:solidFill>
          </w14:textFill>
        </w:rPr>
      </w:pPr>
    </w:p>
    <w:p>
      <w:pPr>
        <w:pStyle w:val="Default"/>
        <w:spacing w:before="0" w:line="240" w:lineRule="auto"/>
        <w:rPr>
          <w:outline w:val="0"/>
          <w:color w:val="0a0a0a"/>
          <w:u w:color="0a0a0a"/>
          <w14:textFill>
            <w14:solidFill>
              <w14:srgbClr w14:val="0A0A0A"/>
            </w14:solidFill>
          </w14:textFill>
        </w:rPr>
      </w:pPr>
      <w:r>
        <w:rPr>
          <w:b w:val="1"/>
          <w:bCs w:val="1"/>
          <w:outline w:val="0"/>
          <w:color w:val="0a0a0a"/>
          <w:u w:color="0a0a0a"/>
          <w:rtl w:val="0"/>
          <w:lang w:val="it-IT"/>
          <w14:textFill>
            <w14:solidFill>
              <w14:srgbClr w14:val="0A0A0A"/>
            </w14:solidFill>
          </w14:textFill>
        </w:rPr>
        <w:t>Assess</w:t>
      </w:r>
      <w:r>
        <w:rPr>
          <w:outline w:val="0"/>
          <w:color w:val="0a0a0a"/>
          <w:u w:color="0a0a0a"/>
          <w:rtl w:val="0"/>
          <w:lang w:val="en-US"/>
          <w14:textFill>
            <w14:solidFill>
              <w14:srgbClr w14:val="0A0A0A"/>
            </w14:solidFill>
          </w14:textFill>
        </w:rPr>
        <w:t>: The setting, SENCO, and parents identify specific learning needs</w:t>
      </w:r>
    </w:p>
    <w:p>
      <w:pPr>
        <w:pStyle w:val="Default"/>
        <w:spacing w:before="0" w:line="240" w:lineRule="auto"/>
        <w:rPr>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Plan</w:t>
      </w:r>
      <w:r>
        <w:rPr>
          <w:outline w:val="0"/>
          <w:color w:val="0a0a0a"/>
          <w:u w:color="0a0a0a"/>
          <w:rtl w:val="0"/>
          <w:lang w:val="en-US"/>
          <w14:textFill>
            <w14:solidFill>
              <w14:srgbClr w14:val="0A0A0A"/>
            </w14:solidFill>
          </w14:textFill>
        </w:rPr>
        <w:t>: Jointly creating a plan with extra help/strategies.</w:t>
      </w:r>
    </w:p>
    <w:p>
      <w:pPr>
        <w:pStyle w:val="Default"/>
        <w:spacing w:before="0" w:line="240" w:lineRule="auto"/>
        <w:rPr>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Do</w:t>
      </w:r>
      <w:r>
        <w:rPr>
          <w:outline w:val="0"/>
          <w:color w:val="0a0a0a"/>
          <w:u w:color="0a0a0a"/>
          <w:rtl w:val="0"/>
          <w:lang w:val="en-US"/>
          <w14:textFill>
            <w14:solidFill>
              <w14:srgbClr w14:val="0A0A0A"/>
            </w14:solidFill>
          </w14:textFill>
        </w:rPr>
        <w:t>: Implementing the support, which may include specialist input.</w:t>
      </w:r>
    </w:p>
    <w:p>
      <w:pPr>
        <w:pStyle w:val="Default"/>
        <w:spacing w:before="0" w:line="240" w:lineRule="auto"/>
        <w:rPr>
          <w:outline w:val="0"/>
          <w:color w:val="0a0a0a"/>
          <w:u w:color="0a0a0a"/>
          <w14:textFill>
            <w14:solidFill>
              <w14:srgbClr w14:val="0A0A0A"/>
            </w14:solidFill>
          </w14:textFill>
        </w:rPr>
      </w:pPr>
      <w:r>
        <w:rPr>
          <w:b w:val="1"/>
          <w:bCs w:val="1"/>
          <w:outline w:val="0"/>
          <w:color w:val="0a0a0a"/>
          <w:u w:color="0a0a0a"/>
          <w:rtl w:val="0"/>
          <w:lang w:val="en-US"/>
          <w14:textFill>
            <w14:solidFill>
              <w14:srgbClr w14:val="0A0A0A"/>
            </w14:solidFill>
          </w14:textFill>
        </w:rPr>
        <w:t>Review</w:t>
      </w:r>
      <w:r>
        <w:rPr>
          <w:outline w:val="0"/>
          <w:color w:val="0a0a0a"/>
          <w:u w:color="0a0a0a"/>
          <w:rtl w:val="0"/>
          <w:lang w:val="en-US"/>
          <w14:textFill>
            <w14:solidFill>
              <w14:srgbClr w14:val="0A0A0A"/>
            </w14:solidFill>
          </w14:textFill>
        </w:rPr>
        <w:t>: Regular meetings to check progress and adjust support.</w:t>
      </w:r>
    </w:p>
    <w:p>
      <w:pPr>
        <w:pStyle w:val="Default"/>
        <w:spacing w:before="0" w:line="240" w:lineRule="auto"/>
        <w:rPr>
          <w:outline w:val="0"/>
          <w:color w:val="0a0a0a"/>
          <w:u w:color="0a0a0a"/>
          <w14:textFill>
            <w14:solidFill>
              <w14:srgbClr w14:val="0A0A0A"/>
            </w14:solidFill>
          </w14:textFill>
        </w:rPr>
      </w:pPr>
    </w:p>
    <w:p>
      <w:pPr>
        <w:pStyle w:val="Default"/>
        <w:spacing w:before="0" w:line="240" w:lineRule="auto"/>
        <w:rPr>
          <w:outline w:val="0"/>
          <w:color w:val="0a0a0a"/>
          <w:u w:color="0a0a0a"/>
          <w14:textFill>
            <w14:solidFill>
              <w14:srgbClr w14:val="0A0A0A"/>
            </w14:solidFill>
          </w14:textFill>
        </w:rPr>
      </w:pPr>
    </w:p>
    <w:p>
      <w:pPr>
        <w:pStyle w:val="Default"/>
        <w:spacing w:before="0" w:line="240" w:lineRule="auto"/>
        <w:rPr>
          <w:rFonts w:ascii="Helvetica" w:cs="Helvetica" w:hAnsi="Helvetica" w:eastAsia="Helvetica"/>
          <w:b w:val="1"/>
          <w:bCs w:val="1"/>
          <w:sz w:val="26"/>
          <w:szCs w:val="26"/>
          <w:u w:color="000000"/>
        </w:rPr>
      </w:pPr>
      <w:r>
        <w:rPr>
          <w:rFonts w:ascii="Helvetica" w:hAnsi="Helvetica"/>
          <w:b w:val="1"/>
          <w:bCs w:val="1"/>
          <w:sz w:val="26"/>
          <w:szCs w:val="26"/>
          <w:u w:color="000000"/>
          <w:rtl w:val="0"/>
          <w:lang w:val="en-US"/>
        </w:rPr>
        <w:t xml:space="preserve">Relevant legislation </w:t>
      </w:r>
    </w:p>
    <w:p>
      <w:pPr>
        <w:pStyle w:val="Default"/>
        <w:spacing w:before="0" w:line="240" w:lineRule="auto"/>
        <w:rPr>
          <w:rFonts w:ascii="Helvetica" w:cs="Helvetica" w:hAnsi="Helvetica" w:eastAsia="Helvetica"/>
          <w:sz w:val="26"/>
          <w:szCs w:val="26"/>
          <w:u w:color="000000"/>
        </w:rPr>
      </w:pPr>
      <w:r>
        <w:rPr>
          <w:rFonts w:ascii="Helvetica" w:hAnsi="Helvetica"/>
          <w:sz w:val="26"/>
          <w:szCs w:val="26"/>
          <w:u w:color="000000"/>
          <w:rtl w:val="0"/>
          <w:lang w:val="en-US"/>
        </w:rPr>
        <w:t xml:space="preserve">Special Educational Needs and Disability Code of Practice 2015 </w:t>
      </w:r>
    </w:p>
    <w:p>
      <w:pPr>
        <w:pStyle w:val="Default"/>
        <w:spacing w:before="0" w:after="240" w:line="240" w:lineRule="auto"/>
        <w:rPr>
          <w:outline w:val="0"/>
          <w:color w:val="0a0a0a"/>
          <w:u w:color="0a0a0a"/>
          <w14:textFill>
            <w14:solidFill>
              <w14:srgbClr w14:val="0A0A0A"/>
            </w14:solidFill>
          </w14:textFill>
        </w:rPr>
      </w:pPr>
    </w:p>
    <w:p>
      <w:pPr>
        <w:pStyle w:val="Body A"/>
      </w:pPr>
      <w:r>
        <w:rPr>
          <w:outline w:val="0"/>
          <w:color w:val="000000"/>
          <w:sz w:val="24"/>
          <w:szCs w:val="24"/>
          <w:u w:color="000000"/>
          <w:shd w:val="clear" w:color="auto" w:fill="f2f4f6"/>
          <w14:textFill>
            <w14:solidFill>
              <w14:srgbClr w14:val="000000">
                <w14:alpha w14:val="15293"/>
              </w14:srgbClr>
            </w14:solidFill>
          </w14:textFill>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45" w:hanging="24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