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Oregon NAWGJ Board Meeting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>(Via Zoom)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>September 10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, 202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4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>Meeting Minutes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>CALL TO ORDER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>7: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4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5pm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 xml:space="preserve">ROLL CALL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Debbie Anderson, Katrina Cosgrove, Chris Bowles, Beckala Millon,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Rochelle Mallett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, Theo Simmons, Staci Greene, Sara Bronleewe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>NEW BUSINESS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National Judges Cup Attendance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Three judges applied - Rochelle, Deidre and Heather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Deb chose Rochelle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 Budgeted $1,500 for Rochelle or actual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Deidre will be in the area and has asked to be reimbursed for parking and gas $250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Heather would like to go, Deb proposes funds not to exceed $500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Chris says Heather has not turned in CPE, but supportive if she turns it in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Oregon will have up to five judges representing in Florida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Chris motions to approve the above contingent upon Heather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 CPE is turned in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Sara seconds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Motion passed, 5 in favor, no opposed, 1 abstain</w:t>
        <w:tab/>
        <w:tab/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 xml:space="preserve">  (Staci appointed position so no vote)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 xml:space="preserve">Draft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Budget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 xml:space="preserve"> and Compensation Plan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>•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 $64,000 balance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Average hotel cost in Corvallis is $200/night for Judge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 Open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Deb has request for a block of rooms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No Region 2 Congress in 2025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Proposal for Oregon Summer Clinic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Deb talked to Molly, Drew and Kelsey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MAC gym is open for weekend in July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Pay for sanction and 2 rooms, may get them for free because nonprofit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Deb proposes we budget $15,000 to put on clinic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In state participants are free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Consider charging out of state participants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Deb proposes a conservative stipend for those who want to got to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  National Congress in New Orleans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ORNAWGJ encouraged to open a CD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Sara proposes a line item for 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Other Education Opportunities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capped at a specific amount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Allocation amount to go toward education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Possibly tied into additional compensation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Should we pay for Safety and Risk Management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ab/>
        <w:t>- Not equitable since everyone is on a different schedule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Washington bases compensation on rating and how many sessions volunteered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Minimum 50% of funds must be used for judges education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Currently 35 judges in Oregon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Proposal to compensate $100 per Oregon NAWGJ member November 1, 2024 for education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 xml:space="preserve">- Chris makes a motion for up to $100 to use for discretional educational purposes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  </w:t>
        <w:tab/>
        <w:t xml:space="preserve">  (including judging aids, online clinics, safety and risk management) not requiring</w:t>
        <w:tab/>
        <w:tab/>
        <w:tab/>
        <w:tab/>
        <w:tab/>
        <w:tab/>
        <w:t xml:space="preserve">  participation at Judge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 Cup fundraiser or as approved by the SJD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 Beckala seconds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Motion is passed unanimously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>2 Minute Break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Compensation Plan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Summer Clinic will offer minimum of 10 clinic hours for CPE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If people can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t make Summer Clinic, do we offer a stipend for other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  Regional or National Congress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$15,000 divided by all members is about $450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Katrina makes a motion to offer $450 for judges to use toward other congress based on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  full participation of two sessions at Judges Open in lieu of Oregon Summer Clinic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Chris seconds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Motion passes unanimously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Chris and Sara suggests participation in three sessions to qualify for compensation benefits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Deb encourages two sessions for this year but next year consider three sessions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Chris motions to pass the budget and compensation plan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 xml:space="preserve">- Sara seconds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  <w:t>- Motion passes unanimously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ab/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Winter Fundraiser Discussion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Sara and Deb to talk to Ellen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Extra cost - need to have outside EMT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Deb has a connection to possibly fulfill that position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Saturday/Sunday with potential option for Friday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Ideas for judges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’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gifts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Nametags? To be explored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Do not spend much on judge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s gift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Table the judge;s gift idea for now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Summer 2025 Clinic Discussion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  <w:tab/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All in support of moving forward with clinic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-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Tom Koll about $5,000 if we go with him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Need to think of dream clinicians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New Judge Mentoring and Practice Judging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  <w:tab/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What is Chris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 availability for evening Zoom clinics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Chris open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Beckala leaving September 17-30, with availability eve of 18th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Deb returns from fires 9/23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Chris, Deb and Beckala to coordinate for study sessions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Anyone can join in the Zoom study sessions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Length of Service Awards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  <w:tab/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Deb has database with length of service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Staci and Deb to meet to go over it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2024 present at judges meet, 2025 present at luncheon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CPE Expectations from USAG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Chris talked to Connie Maloney (National CPE)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Clarification for amount of clinic hours have to be live or live video where participation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 xml:space="preserve">  can be verified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Some judges need to get in-person hours to fulfill CPE requirements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Connie horrified that people were scrambling to get clinic hours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CPE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 should be earned in advance - complete by May 31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We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ve been generous with reimbursements to encourage judges to participate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What is our responsibility for those judges who aren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t attending in-person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Not feeling like we need to support them by offering a separate clinic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Those not meeting CPE requirements get $5 less and hour and assigned last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Deb to put a fall newsletter together that will include explanation of CPE clinic requirements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Deb suggests we can do a clinic any time we want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Introduce an annual clinic in fall or spring with 6-7 clinic hours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Beckala suggests September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Katrina suggests a live Zoom clinic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>PARKING LOT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>GOOD OF THE ORDER</w:t>
      </w: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Deb wants to get another meeting on the books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Before Judge</w:t>
      </w:r>
      <w:r>
        <w:rPr>
          <w:rFonts w:ascii="Arial" w:hAnsi="Arial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s Open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Next meeting November 13 6:30-7:30pm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General Membership meeting 7:30-8:30pm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ab/>
        <w:t>- Deb would like to meet every 3-4 months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u w:val="single" w:color="000000"/>
          <w:rtl w:val="0"/>
          <w:lang w:val="en-US"/>
        </w:rPr>
        <w:t>MOTION TO ADJOURN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  <w:t xml:space="preserve">•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Adjourned 9:46pm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en-US"/>
        </w:rPr>
        <w:tab/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Submitted by: Rochelle Mallett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