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F0D" w:rsidRPr="0076558E" w:rsidRDefault="0076558E">
      <w:pPr>
        <w:pStyle w:val="Heading4"/>
        <w:rPr>
          <w:sz w:val="40"/>
          <w:szCs w:val="40"/>
        </w:rPr>
      </w:pPr>
      <w:r>
        <w:rPr>
          <w:rFonts w:ascii="Arial" w:eastAsia="Arial" w:hAnsi="Arial" w:cs="Arial"/>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-201020</wp:posOffset>
            </wp:positionV>
            <wp:extent cx="750627" cy="750627"/>
            <wp:effectExtent l="0" t="0" r="0" b="0"/>
            <wp:wrapNone/>
            <wp:docPr id="100001" name="Picture 100001" descr="\\server\htaylor$\My Documents\My Pictures\Advertising\_Disley Primary School on the App Store 2_files\246x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6"/>
                    <a:stretch>
                      <a:fillRect/>
                    </a:stretch>
                  </pic:blipFill>
                  <pic:spPr>
                    <a:xfrm>
                      <a:off x="0" y="0"/>
                      <a:ext cx="750627" cy="750627"/>
                    </a:xfrm>
                    <a:prstGeom prst="rect">
                      <a:avLst/>
                    </a:prstGeom>
                  </pic:spPr>
                </pic:pic>
              </a:graphicData>
            </a:graphic>
            <wp14:sizeRelH relativeFrom="margin">
              <wp14:pctWidth>0</wp14:pctWidth>
            </wp14:sizeRelH>
            <wp14:sizeRelV relativeFrom="margin">
              <wp14:pctHeight>0</wp14:pctHeight>
            </wp14:sizeRelV>
          </wp:anchor>
        </w:drawing>
      </w:r>
      <w:r w:rsidR="003B1E19">
        <w:rPr>
          <w:rFonts w:ascii="Arial" w:eastAsia="Arial" w:hAnsi="Arial" w:cs="Arial"/>
        </w:rPr>
        <w:t xml:space="preserve"> </w:t>
      </w:r>
      <w:r w:rsidR="003B1E19" w:rsidRPr="0076558E">
        <w:rPr>
          <w:rFonts w:ascii="Calibri" w:eastAsia="Calibri" w:hAnsi="Calibri" w:cs="Calibri"/>
          <w:sz w:val="40"/>
          <w:szCs w:val="40"/>
        </w:rPr>
        <w:t xml:space="preserve">Disley Primary School </w:t>
      </w:r>
    </w:p>
    <w:p w:rsidR="00375F0D" w:rsidRDefault="003B1E19">
      <w:pPr>
        <w:pStyle w:val="Heading4"/>
        <w:rPr>
          <w:sz w:val="28"/>
          <w:szCs w:val="28"/>
        </w:rPr>
      </w:pPr>
      <w:r>
        <w:rPr>
          <w:rFonts w:ascii="Calibri" w:eastAsia="Calibri" w:hAnsi="Calibri" w:cs="Calibri"/>
        </w:rPr>
        <w:t xml:space="preserve">   </w:t>
      </w:r>
      <w:r>
        <w:rPr>
          <w:rFonts w:ascii="Calibri" w:eastAsia="Calibri" w:hAnsi="Calibri" w:cs="Calibri"/>
          <w:sz w:val="28"/>
          <w:szCs w:val="28"/>
        </w:rPr>
        <w:t>Early Years Tea</w:t>
      </w:r>
      <w:bookmarkStart w:id="0" w:name="_GoBack"/>
      <w:bookmarkEnd w:id="0"/>
      <w:r>
        <w:rPr>
          <w:rFonts w:ascii="Calibri" w:eastAsia="Calibri" w:hAnsi="Calibri" w:cs="Calibri"/>
          <w:sz w:val="28"/>
          <w:szCs w:val="28"/>
        </w:rPr>
        <w:t xml:space="preserve">cher </w:t>
      </w:r>
      <w:r w:rsidR="0076558E">
        <w:rPr>
          <w:rFonts w:ascii="Calibri" w:eastAsia="Calibri" w:hAnsi="Calibri" w:cs="Calibri"/>
          <w:sz w:val="28"/>
          <w:szCs w:val="28"/>
        </w:rPr>
        <w:t xml:space="preserve">Person </w:t>
      </w:r>
      <w:r>
        <w:rPr>
          <w:rFonts w:ascii="Calibri" w:eastAsia="Calibri" w:hAnsi="Calibri" w:cs="Calibri"/>
          <w:sz w:val="28"/>
          <w:szCs w:val="28"/>
        </w:rPr>
        <w:t>Specification</w:t>
      </w:r>
    </w:p>
    <w:tbl>
      <w:tblPr>
        <w:tblW w:w="10141" w:type="dxa"/>
        <w:tblInd w:w="130" w:type="dxa"/>
        <w:tblBorders>
          <w:top w:val="single" w:sz="18" w:space="0" w:color="000000"/>
          <w:left w:val="single" w:sz="18" w:space="0" w:color="000000"/>
          <w:bottom w:val="single" w:sz="18" w:space="0" w:color="000000"/>
          <w:right w:val="single" w:sz="18" w:space="0" w:color="000000"/>
        </w:tblBorders>
        <w:tblCellMar>
          <w:left w:w="0" w:type="dxa"/>
          <w:right w:w="0" w:type="dxa"/>
        </w:tblCellMar>
        <w:tblLook w:val="04A0" w:firstRow="1" w:lastRow="0" w:firstColumn="1" w:lastColumn="0" w:noHBand="0" w:noVBand="1"/>
      </w:tblPr>
      <w:tblGrid>
        <w:gridCol w:w="1824"/>
        <w:gridCol w:w="6506"/>
        <w:gridCol w:w="1811"/>
      </w:tblGrid>
      <w:tr w:rsidR="00375F0D">
        <w:trPr>
          <w:trHeight w:val="289"/>
        </w:trPr>
        <w:tc>
          <w:tcPr>
            <w:tcW w:w="1824" w:type="dxa"/>
            <w:tcBorders>
              <w:bottom w:val="single" w:sz="4" w:space="0" w:color="000000"/>
              <w:right w:val="single" w:sz="18" w:space="0" w:color="000000"/>
            </w:tcBorders>
            <w:shd w:val="clear" w:color="auto" w:fill="C6D9F0"/>
            <w:tcMar>
              <w:top w:w="22" w:type="dxa"/>
              <w:left w:w="108" w:type="dxa"/>
              <w:bottom w:w="8" w:type="dxa"/>
              <w:right w:w="108" w:type="dxa"/>
            </w:tcMar>
            <w:vAlign w:val="center"/>
          </w:tcPr>
          <w:p w:rsidR="00375F0D" w:rsidRDefault="00375F0D">
            <w:pPr>
              <w:rPr>
                <w:color w:val="000000"/>
                <w:sz w:val="22"/>
                <w:szCs w:val="22"/>
              </w:rPr>
            </w:pPr>
          </w:p>
        </w:tc>
        <w:tc>
          <w:tcPr>
            <w:tcW w:w="6506" w:type="dxa"/>
            <w:tcBorders>
              <w:left w:val="single" w:sz="18" w:space="0" w:color="000000"/>
              <w:bottom w:val="single" w:sz="4" w:space="0" w:color="000000"/>
              <w:right w:val="single" w:sz="4" w:space="0" w:color="000000"/>
            </w:tcBorders>
            <w:shd w:val="clear" w:color="auto" w:fill="C6D9F0"/>
            <w:tcMar>
              <w:top w:w="22" w:type="dxa"/>
              <w:left w:w="108" w:type="dxa"/>
              <w:bottom w:w="8" w:type="dxa"/>
              <w:right w:w="108" w:type="dxa"/>
            </w:tcMar>
            <w:vAlign w:val="center"/>
          </w:tcPr>
          <w:p w:rsidR="00375F0D" w:rsidRDefault="00375F0D">
            <w:pPr>
              <w:rPr>
                <w:color w:val="000000"/>
                <w:sz w:val="22"/>
                <w:szCs w:val="22"/>
              </w:rPr>
            </w:pPr>
          </w:p>
        </w:tc>
        <w:tc>
          <w:tcPr>
            <w:tcW w:w="1811" w:type="dxa"/>
            <w:tcBorders>
              <w:left w:val="single" w:sz="18" w:space="0" w:color="000000"/>
              <w:bottom w:val="single" w:sz="4" w:space="0" w:color="000000"/>
            </w:tcBorders>
            <w:tcMar>
              <w:top w:w="22"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E = Essential</w:t>
            </w:r>
          </w:p>
          <w:p w:rsidR="00375F0D" w:rsidRDefault="003B1E19">
            <w:pPr>
              <w:rPr>
                <w:color w:val="000000"/>
                <w:sz w:val="22"/>
                <w:szCs w:val="22"/>
              </w:rPr>
            </w:pPr>
            <w:r>
              <w:rPr>
                <w:rFonts w:ascii="Calibri" w:eastAsia="Calibri" w:hAnsi="Calibri" w:cs="Calibri"/>
                <w:color w:val="000000"/>
                <w:sz w:val="22"/>
                <w:szCs w:val="22"/>
              </w:rPr>
              <w:t>D = Desirable</w:t>
            </w:r>
          </w:p>
        </w:tc>
      </w:tr>
      <w:tr w:rsidR="00375F0D">
        <w:trPr>
          <w:trHeight w:val="289"/>
        </w:trPr>
        <w:tc>
          <w:tcPr>
            <w:tcW w:w="1824" w:type="dxa"/>
            <w:vMerge w:val="restart"/>
            <w:tcBorders>
              <w:top w:val="single" w:sz="4" w:space="0" w:color="000000"/>
              <w:bottom w:val="single" w:sz="4" w:space="0" w:color="000000"/>
              <w:right w:val="single" w:sz="18" w:space="0" w:color="000000"/>
            </w:tcBorders>
            <w:shd w:val="clear" w:color="auto" w:fill="C6D9F0"/>
            <w:tcMar>
              <w:top w:w="8" w:type="dxa"/>
              <w:left w:w="108" w:type="dxa"/>
              <w:bottom w:w="8" w:type="dxa"/>
              <w:right w:w="108" w:type="dxa"/>
            </w:tcMar>
            <w:vAlign w:val="center"/>
            <w:hideMark/>
          </w:tcPr>
          <w:p w:rsidR="00375F0D" w:rsidRDefault="003B1E19">
            <w:pPr>
              <w:rPr>
                <w:color w:val="000000"/>
                <w:sz w:val="22"/>
                <w:szCs w:val="22"/>
              </w:rPr>
            </w:pPr>
            <w:r>
              <w:rPr>
                <w:rFonts w:ascii="Calibri" w:eastAsia="Calibri" w:hAnsi="Calibri" w:cs="Calibri"/>
                <w:b/>
                <w:bCs/>
                <w:color w:val="000000"/>
                <w:sz w:val="22"/>
                <w:szCs w:val="22"/>
              </w:rPr>
              <w:t>Qualifications &amp; Experience</w:t>
            </w: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vAlign w:val="center"/>
            <w:hideMark/>
          </w:tcPr>
          <w:p w:rsidR="00375F0D" w:rsidRDefault="003B1E19">
            <w:pPr>
              <w:rPr>
                <w:color w:val="000000"/>
                <w:sz w:val="22"/>
                <w:szCs w:val="22"/>
              </w:rPr>
            </w:pPr>
            <w:r>
              <w:rPr>
                <w:rFonts w:ascii="Calibri" w:eastAsia="Calibri" w:hAnsi="Calibri" w:cs="Calibri"/>
                <w:color w:val="000000"/>
                <w:sz w:val="22"/>
                <w:szCs w:val="22"/>
              </w:rPr>
              <w:t>Qualified to degree level including Qualified Teacher Status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4" w:space="0" w:color="000000"/>
              <w:bottom w:val="single" w:sz="4"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vAlign w:val="center"/>
            <w:hideMark/>
          </w:tcPr>
          <w:p w:rsidR="00375F0D" w:rsidRDefault="003B1E19">
            <w:pPr>
              <w:rPr>
                <w:color w:val="000000"/>
                <w:sz w:val="22"/>
                <w:szCs w:val="22"/>
              </w:rPr>
            </w:pPr>
            <w:r>
              <w:rPr>
                <w:rFonts w:ascii="Calibri" w:eastAsia="Calibri" w:hAnsi="Calibri" w:cs="Calibri"/>
                <w:color w:val="000000"/>
                <w:sz w:val="22"/>
                <w:szCs w:val="22"/>
              </w:rPr>
              <w:t xml:space="preserve">Recent substantial teaching experience or successful placement in Early Years </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4" w:space="0" w:color="000000"/>
              <w:bottom w:val="single" w:sz="4"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18" w:space="0" w:color="000000"/>
              <w:right w:val="single" w:sz="4" w:space="0" w:color="000000"/>
            </w:tcBorders>
            <w:tcMar>
              <w:top w:w="8" w:type="dxa"/>
              <w:left w:w="108" w:type="dxa"/>
              <w:bottom w:w="22" w:type="dxa"/>
              <w:right w:w="108" w:type="dxa"/>
            </w:tcMar>
            <w:vAlign w:val="center"/>
            <w:hideMark/>
          </w:tcPr>
          <w:p w:rsidR="00375F0D" w:rsidRDefault="003B1E19">
            <w:pPr>
              <w:rPr>
                <w:color w:val="000000"/>
                <w:sz w:val="22"/>
                <w:szCs w:val="22"/>
              </w:rPr>
            </w:pPr>
            <w:r>
              <w:rPr>
                <w:rFonts w:ascii="Calibri" w:eastAsia="Calibri" w:hAnsi="Calibri" w:cs="Calibri"/>
                <w:color w:val="000000"/>
                <w:sz w:val="22"/>
                <w:szCs w:val="22"/>
              </w:rPr>
              <w:t>To have teaching experience of children under 5 and an understanding of transition from pre-school/Nursery to Reception and Reception to Year 1</w:t>
            </w:r>
          </w:p>
        </w:tc>
        <w:tc>
          <w:tcPr>
            <w:tcW w:w="1811" w:type="dxa"/>
            <w:tcBorders>
              <w:top w:val="single" w:sz="4" w:space="0" w:color="000000"/>
              <w:left w:val="single" w:sz="18" w:space="0" w:color="000000"/>
              <w:bottom w:val="single" w:sz="18" w:space="0" w:color="000000"/>
            </w:tcBorders>
            <w:tcMar>
              <w:top w:w="8" w:type="dxa"/>
              <w:left w:w="108" w:type="dxa"/>
              <w:bottom w:w="22"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D</w:t>
            </w:r>
          </w:p>
        </w:tc>
      </w:tr>
      <w:tr w:rsidR="00375F0D">
        <w:trPr>
          <w:trHeight w:val="578"/>
        </w:trPr>
        <w:tc>
          <w:tcPr>
            <w:tcW w:w="1824" w:type="dxa"/>
            <w:vMerge w:val="restart"/>
            <w:tcBorders>
              <w:top w:val="single" w:sz="18" w:space="0" w:color="000000"/>
              <w:bottom w:val="single" w:sz="18" w:space="0" w:color="000000"/>
              <w:right w:val="single" w:sz="18" w:space="0" w:color="000000"/>
            </w:tcBorders>
            <w:shd w:val="clear" w:color="auto" w:fill="C6D9F0"/>
            <w:tcMar>
              <w:top w:w="22" w:type="dxa"/>
              <w:left w:w="108" w:type="dxa"/>
              <w:bottom w:w="22" w:type="dxa"/>
              <w:right w:w="108" w:type="dxa"/>
            </w:tcMar>
            <w:vAlign w:val="center"/>
            <w:hideMark/>
          </w:tcPr>
          <w:p w:rsidR="00375F0D" w:rsidRDefault="003B1E19">
            <w:pPr>
              <w:rPr>
                <w:color w:val="000000"/>
                <w:sz w:val="22"/>
                <w:szCs w:val="22"/>
              </w:rPr>
            </w:pPr>
            <w:r>
              <w:rPr>
                <w:rFonts w:ascii="Calibri" w:eastAsia="Calibri" w:hAnsi="Calibri" w:cs="Calibri"/>
                <w:b/>
                <w:bCs/>
                <w:color w:val="000000"/>
                <w:sz w:val="22"/>
                <w:szCs w:val="22"/>
              </w:rPr>
              <w:t>Professional Knowledge and Experience</w:t>
            </w:r>
          </w:p>
        </w:tc>
        <w:tc>
          <w:tcPr>
            <w:tcW w:w="6506" w:type="dxa"/>
            <w:tcBorders>
              <w:top w:val="single" w:sz="18" w:space="0" w:color="000000"/>
              <w:left w:val="single" w:sz="18" w:space="0" w:color="000000"/>
              <w:bottom w:val="single" w:sz="4" w:space="0" w:color="000000"/>
              <w:right w:val="single" w:sz="4" w:space="0" w:color="000000"/>
            </w:tcBorders>
            <w:tcMar>
              <w:top w:w="22"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Excellent Early Years Practitioner with a thorough understanding of the current Early Years Foundation Stage curriculum and a knowledge of the new reformed EY curriculum.</w:t>
            </w:r>
          </w:p>
        </w:tc>
        <w:tc>
          <w:tcPr>
            <w:tcW w:w="1811" w:type="dxa"/>
            <w:tcBorders>
              <w:top w:val="single" w:sz="18" w:space="0" w:color="000000"/>
              <w:left w:val="single" w:sz="18" w:space="0" w:color="000000"/>
              <w:bottom w:val="single" w:sz="4" w:space="0" w:color="000000"/>
            </w:tcBorders>
            <w:tcMar>
              <w:top w:w="22"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D</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 xml:space="preserve">A clear understanding of how young children learn and the ability to plan for effective and </w:t>
            </w:r>
            <w:r w:rsidR="0076558E">
              <w:rPr>
                <w:rFonts w:ascii="Calibri" w:eastAsia="Calibri" w:hAnsi="Calibri" w:cs="Calibri"/>
                <w:color w:val="000000"/>
                <w:sz w:val="22"/>
                <w:szCs w:val="22"/>
              </w:rPr>
              <w:t>high-quality</w:t>
            </w:r>
            <w:r>
              <w:rPr>
                <w:rFonts w:ascii="Calibri" w:eastAsia="Calibri" w:hAnsi="Calibri" w:cs="Calibri"/>
                <w:color w:val="000000"/>
                <w:sz w:val="22"/>
                <w:szCs w:val="22"/>
              </w:rPr>
              <w:t xml:space="preserve"> teaching and learning in the Early Years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An understanding of the principles and practices of observations, assessment and planning and how these can be used effectively to maximise pupil progress for all groups of children</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have experience and understanding of working with children with SEND</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The ability to meet all children’s needs to ensure every child makes good progress including those with English as an additional language and children with additional or complex needs or disabilities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be able to manage behaviour effectively using a range of positive strategies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Experience of planning and organising an enabling learning environment inside and outside</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p w:rsidR="00375F0D" w:rsidRDefault="00375F0D">
            <w:pPr>
              <w:jc w:val="center"/>
              <w:rPr>
                <w:color w:val="000000"/>
                <w:sz w:val="22"/>
                <w:szCs w:val="22"/>
              </w:rPr>
            </w:pP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A positive approach to the outdoors and the ability to use the outdoor environment to support children across all areas of learning</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75F0D">
            <w:pPr>
              <w:jc w:val="center"/>
              <w:rPr>
                <w:color w:val="000000"/>
                <w:sz w:val="22"/>
                <w:szCs w:val="22"/>
              </w:rPr>
            </w:pPr>
          </w:p>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 xml:space="preserve">To lead by example through consistently </w:t>
            </w:r>
            <w:r w:rsidR="0076558E">
              <w:rPr>
                <w:rFonts w:ascii="Calibri" w:eastAsia="Calibri" w:hAnsi="Calibri" w:cs="Calibri"/>
                <w:color w:val="000000"/>
                <w:sz w:val="22"/>
                <w:szCs w:val="22"/>
              </w:rPr>
              <w:t>high-quality</w:t>
            </w:r>
            <w:r>
              <w:rPr>
                <w:rFonts w:ascii="Calibri" w:eastAsia="Calibri" w:hAnsi="Calibri" w:cs="Calibri"/>
                <w:color w:val="000000"/>
                <w:sz w:val="22"/>
                <w:szCs w:val="22"/>
              </w:rPr>
              <w:t xml:space="preserve"> practice in all areas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D</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The ability to maintain professional and positive relationships with children, staff, parents and external agencies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76558E">
            <w:pPr>
              <w:rPr>
                <w:color w:val="000000"/>
                <w:sz w:val="22"/>
                <w:szCs w:val="22"/>
              </w:rPr>
            </w:pPr>
            <w:r>
              <w:rPr>
                <w:rFonts w:ascii="Calibri" w:eastAsia="Calibri" w:hAnsi="Calibri" w:cs="Calibri"/>
                <w:color w:val="000000"/>
                <w:sz w:val="22"/>
                <w:szCs w:val="22"/>
              </w:rPr>
              <w:t>A</w:t>
            </w:r>
            <w:r w:rsidR="003B1E19">
              <w:rPr>
                <w:rFonts w:ascii="Calibri" w:eastAsia="Calibri" w:hAnsi="Calibri" w:cs="Calibri"/>
                <w:color w:val="000000"/>
                <w:sz w:val="22"/>
                <w:szCs w:val="22"/>
              </w:rPr>
              <w:t xml:space="preserve"> clear understanding of how to teach phonics in the EYFS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D</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An understanding of how to adapt learning to provide appropriate levels of challenge so that all pupils make good progress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The ability to use assessment information effectively to plan next steps for all children.</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work collaboratively and supportively with colleagues within EYFS, the wider school, TTLP schools and outside agencies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be committed to continual personal and professional development. To be reflective and learn from past experiences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be committed to equality, diversity and the inclusion of all</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18" w:space="0" w:color="000000"/>
              <w:right w:val="single" w:sz="4" w:space="0" w:color="000000"/>
            </w:tcBorders>
            <w:tcMar>
              <w:top w:w="8" w:type="dxa"/>
              <w:left w:w="108" w:type="dxa"/>
              <w:bottom w:w="22" w:type="dxa"/>
              <w:right w:w="108" w:type="dxa"/>
            </w:tcMar>
            <w:hideMark/>
          </w:tcPr>
          <w:p w:rsidR="00375F0D" w:rsidRDefault="003B1E19">
            <w:pPr>
              <w:rPr>
                <w:color w:val="000000"/>
                <w:sz w:val="22"/>
                <w:szCs w:val="22"/>
              </w:rPr>
            </w:pPr>
            <w:r>
              <w:rPr>
                <w:rFonts w:ascii="Calibri" w:eastAsia="Calibri" w:hAnsi="Calibri" w:cs="Calibri"/>
                <w:color w:val="000000"/>
                <w:sz w:val="22"/>
                <w:szCs w:val="22"/>
              </w:rPr>
              <w:t>To be able to communicate clearly both orally and in writing</w:t>
            </w:r>
          </w:p>
        </w:tc>
        <w:tc>
          <w:tcPr>
            <w:tcW w:w="1811" w:type="dxa"/>
            <w:tcBorders>
              <w:top w:val="single" w:sz="4" w:space="0" w:color="000000"/>
              <w:left w:val="single" w:sz="18" w:space="0" w:color="000000"/>
              <w:bottom w:val="single" w:sz="18" w:space="0" w:color="000000"/>
            </w:tcBorders>
            <w:tcMar>
              <w:top w:w="8" w:type="dxa"/>
              <w:left w:w="108" w:type="dxa"/>
              <w:bottom w:w="22"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289"/>
        </w:trPr>
        <w:tc>
          <w:tcPr>
            <w:tcW w:w="1824" w:type="dxa"/>
            <w:vMerge w:val="restart"/>
            <w:tcBorders>
              <w:top w:val="single" w:sz="18" w:space="0" w:color="000000"/>
              <w:bottom w:val="single" w:sz="18" w:space="0" w:color="000000"/>
              <w:right w:val="single" w:sz="18" w:space="0" w:color="000000"/>
            </w:tcBorders>
            <w:shd w:val="clear" w:color="auto" w:fill="C6D9F0"/>
            <w:tcMar>
              <w:top w:w="22" w:type="dxa"/>
              <w:left w:w="108" w:type="dxa"/>
              <w:bottom w:w="22" w:type="dxa"/>
              <w:right w:w="108" w:type="dxa"/>
            </w:tcMar>
            <w:vAlign w:val="center"/>
            <w:hideMark/>
          </w:tcPr>
          <w:p w:rsidR="00375F0D" w:rsidRDefault="003B1E19">
            <w:pPr>
              <w:rPr>
                <w:color w:val="000000"/>
                <w:sz w:val="22"/>
                <w:szCs w:val="22"/>
              </w:rPr>
            </w:pPr>
            <w:r>
              <w:rPr>
                <w:rFonts w:ascii="Calibri" w:eastAsia="Calibri" w:hAnsi="Calibri" w:cs="Calibri"/>
                <w:b/>
                <w:bCs/>
                <w:color w:val="000000"/>
                <w:sz w:val="22"/>
                <w:szCs w:val="22"/>
              </w:rPr>
              <w:lastRenderedPageBreak/>
              <w:t>Personal Characteristics</w:t>
            </w:r>
          </w:p>
        </w:tc>
        <w:tc>
          <w:tcPr>
            <w:tcW w:w="6506" w:type="dxa"/>
            <w:tcBorders>
              <w:top w:val="single" w:sz="18" w:space="0" w:color="000000"/>
              <w:left w:val="single" w:sz="18" w:space="0" w:color="000000"/>
              <w:bottom w:val="single" w:sz="4" w:space="0" w:color="000000"/>
              <w:right w:val="single" w:sz="4" w:space="0" w:color="000000"/>
            </w:tcBorders>
            <w:tcMar>
              <w:top w:w="22"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Be reliable with a high degree of integrity</w:t>
            </w:r>
          </w:p>
        </w:tc>
        <w:tc>
          <w:tcPr>
            <w:tcW w:w="1811" w:type="dxa"/>
            <w:tcBorders>
              <w:top w:val="single" w:sz="18" w:space="0" w:color="000000"/>
              <w:left w:val="single" w:sz="18" w:space="0" w:color="000000"/>
              <w:bottom w:val="single" w:sz="4" w:space="0" w:color="000000"/>
            </w:tcBorders>
            <w:tcMar>
              <w:top w:w="22"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Possess excellent interpersonal skills and be able to form effective working relationships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Be well-organised, enthusiastic, energetic and flexible</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 xml:space="preserve">Be resilient and demonstrate the ability to work under pressure. </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Manage time effectively</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Value and respect the views of children</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Self-motivated and able to take initiative and responsibility</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Demonstrate a willingness to learn with and from colleagues</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Be proactive in maintaining own professional development and willing to seek help from others when needed</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bottom w:val="single" w:sz="4" w:space="0" w:color="000000"/>
              <w:right w:val="single" w:sz="4" w:space="0" w:color="000000"/>
            </w:tcBorders>
            <w:tcMar>
              <w:top w:w="8" w:type="dxa"/>
              <w:left w:w="108" w:type="dxa"/>
              <w:bottom w:w="8" w:type="dxa"/>
              <w:right w:w="108" w:type="dxa"/>
            </w:tcMar>
            <w:hideMark/>
          </w:tcPr>
          <w:p w:rsidR="00375F0D" w:rsidRDefault="003B1E19">
            <w:pPr>
              <w:rPr>
                <w:color w:val="000000"/>
                <w:sz w:val="22"/>
                <w:szCs w:val="22"/>
              </w:rPr>
            </w:pPr>
            <w:r>
              <w:rPr>
                <w:rFonts w:ascii="Calibri" w:eastAsia="Calibri" w:hAnsi="Calibri" w:cs="Calibri"/>
                <w:color w:val="000000"/>
                <w:sz w:val="22"/>
                <w:szCs w:val="22"/>
              </w:rPr>
              <w:t>A commitment to take part in all aspects of the life of the School, including meetings, training, special events and other activities as required</w:t>
            </w:r>
          </w:p>
        </w:tc>
        <w:tc>
          <w:tcPr>
            <w:tcW w:w="1811" w:type="dxa"/>
            <w:tcBorders>
              <w:top w:val="single" w:sz="4" w:space="0" w:color="000000"/>
              <w:left w:val="single" w:sz="18" w:space="0" w:color="000000"/>
              <w:bottom w:val="single" w:sz="4" w:space="0" w:color="000000"/>
            </w:tcBorders>
            <w:tcMar>
              <w:top w:w="8" w:type="dxa"/>
              <w:left w:w="108" w:type="dxa"/>
              <w:bottom w:w="8"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r w:rsidR="00375F0D">
        <w:trPr>
          <w:trHeight w:val="158"/>
        </w:trPr>
        <w:tc>
          <w:tcPr>
            <w:tcW w:w="0" w:type="auto"/>
            <w:vMerge/>
            <w:tcBorders>
              <w:top w:val="single" w:sz="18" w:space="0" w:color="000000"/>
              <w:bottom w:val="single" w:sz="18" w:space="0" w:color="000000"/>
              <w:right w:val="single" w:sz="18" w:space="0" w:color="000000"/>
            </w:tcBorders>
            <w:vAlign w:val="center"/>
            <w:hideMark/>
          </w:tcPr>
          <w:p w:rsidR="00375F0D" w:rsidRDefault="00375F0D">
            <w:pPr>
              <w:rPr>
                <w:rFonts w:ascii="Calibri" w:eastAsia="Calibri" w:hAnsi="Calibri" w:cs="Calibri"/>
                <w:color w:val="000000"/>
                <w:sz w:val="22"/>
                <w:szCs w:val="22"/>
              </w:rPr>
            </w:pPr>
          </w:p>
        </w:tc>
        <w:tc>
          <w:tcPr>
            <w:tcW w:w="6506" w:type="dxa"/>
            <w:tcBorders>
              <w:top w:val="single" w:sz="4" w:space="0" w:color="000000"/>
              <w:left w:val="single" w:sz="18" w:space="0" w:color="000000"/>
              <w:right w:val="single" w:sz="4" w:space="0" w:color="000000"/>
            </w:tcBorders>
            <w:tcMar>
              <w:top w:w="8" w:type="dxa"/>
              <w:left w:w="108" w:type="dxa"/>
              <w:bottom w:w="22" w:type="dxa"/>
              <w:right w:w="108" w:type="dxa"/>
            </w:tcMar>
            <w:hideMark/>
          </w:tcPr>
          <w:p w:rsidR="00375F0D" w:rsidRDefault="003B1E19">
            <w:pPr>
              <w:rPr>
                <w:color w:val="000000"/>
                <w:sz w:val="22"/>
                <w:szCs w:val="22"/>
              </w:rPr>
            </w:pPr>
            <w:r>
              <w:rPr>
                <w:rFonts w:ascii="Calibri" w:eastAsia="Calibri" w:hAnsi="Calibri" w:cs="Calibri"/>
                <w:color w:val="000000"/>
                <w:sz w:val="22"/>
                <w:szCs w:val="22"/>
              </w:rPr>
              <w:t>Adhere to the School’s code of conduct</w:t>
            </w:r>
          </w:p>
        </w:tc>
        <w:tc>
          <w:tcPr>
            <w:tcW w:w="1811" w:type="dxa"/>
            <w:tcBorders>
              <w:top w:val="single" w:sz="4" w:space="0" w:color="000000"/>
              <w:left w:val="single" w:sz="18" w:space="0" w:color="000000"/>
            </w:tcBorders>
            <w:tcMar>
              <w:top w:w="8" w:type="dxa"/>
              <w:left w:w="108" w:type="dxa"/>
              <w:bottom w:w="22" w:type="dxa"/>
              <w:right w:w="108" w:type="dxa"/>
            </w:tcMar>
            <w:hideMark/>
          </w:tcPr>
          <w:p w:rsidR="00375F0D" w:rsidRDefault="003B1E19">
            <w:pPr>
              <w:jc w:val="center"/>
              <w:rPr>
                <w:color w:val="000000"/>
                <w:sz w:val="22"/>
                <w:szCs w:val="22"/>
              </w:rPr>
            </w:pPr>
            <w:r>
              <w:rPr>
                <w:rFonts w:ascii="Calibri" w:eastAsia="Calibri" w:hAnsi="Calibri" w:cs="Calibri"/>
                <w:color w:val="000000"/>
                <w:sz w:val="22"/>
                <w:szCs w:val="22"/>
              </w:rPr>
              <w:t>E</w:t>
            </w:r>
          </w:p>
        </w:tc>
      </w:tr>
    </w:tbl>
    <w:p w:rsidR="00375F0D" w:rsidRDefault="00375F0D"/>
    <w:p w:rsidR="00375F0D" w:rsidRDefault="00375F0D"/>
    <w:sectPr w:rsidR="00375F0D">
      <w:footerReference w:type="default" r:id="rId7"/>
      <w:pgSz w:w="12240" w:h="15840"/>
      <w:pgMar w:top="510" w:right="720" w:bottom="397" w:left="125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634" w:rsidRDefault="003B1E19">
      <w:r>
        <w:separator/>
      </w:r>
    </w:p>
  </w:endnote>
  <w:endnote w:type="continuationSeparator" w:id="0">
    <w:p w:rsidR="00472634" w:rsidRDefault="003B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0D" w:rsidRDefault="003B1E19">
    <w:pPr>
      <w:jc w:val="right"/>
    </w:pPr>
    <w:r>
      <w:fldChar w:fldCharType="begin"/>
    </w:r>
    <w:r>
      <w:instrText xml:space="preserve"> PAGE   \* MERGEFORMAT </w:instrText>
    </w:r>
    <w:r>
      <w:fldChar w:fldCharType="separate"/>
    </w:r>
    <w:r>
      <w:t>2</w:t>
    </w:r>
    <w:r>
      <w:fldChar w:fldCharType="end"/>
    </w:r>
  </w:p>
  <w:p w:rsidR="00375F0D" w:rsidRDefault="00375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634" w:rsidRDefault="003B1E19">
      <w:r>
        <w:separator/>
      </w:r>
    </w:p>
  </w:footnote>
  <w:footnote w:type="continuationSeparator" w:id="0">
    <w:p w:rsidR="00472634" w:rsidRDefault="003B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375F0D"/>
    <w:rsid w:val="003B1E19"/>
    <w:rsid w:val="00472634"/>
    <w:rsid w:val="0076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B169"/>
  <w15:docId w15:val="{787E6D44-9BFC-4A5F-876D-DD11FDAE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Ferneyhough</dc:creator>
  <cp:lastModifiedBy>A Ferneyhough</cp:lastModifiedBy>
  <cp:revision>3</cp:revision>
  <cp:lastPrinted>2021-05-05T15:40:00Z</cp:lastPrinted>
  <dcterms:created xsi:type="dcterms:W3CDTF">2021-05-05T15:22:00Z</dcterms:created>
  <dcterms:modified xsi:type="dcterms:W3CDTF">2021-05-05T15:40:00Z</dcterms:modified>
</cp:coreProperties>
</file>