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C1" w:rsidRDefault="008A4BB0">
      <w:r>
        <w:rPr>
          <w:noProof/>
          <w:lang w:val="en-GB" w:eastAsia="en-GB"/>
        </w:rPr>
        <w:drawing>
          <wp:inline distT="0" distB="0" distL="0" distR="0">
            <wp:extent cx="1828800" cy="7036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 Logo.jpg"/>
                    <pic:cNvPicPr/>
                  </pic:nvPicPr>
                  <pic:blipFill>
                    <a:blip r:embed="rId6"/>
                    <a:stretch>
                      <a:fillRect/>
                    </a:stretch>
                  </pic:blipFill>
                  <pic:spPr>
                    <a:xfrm>
                      <a:off x="0" y="0"/>
                      <a:ext cx="1828800" cy="703653"/>
                    </a:xfrm>
                    <a:prstGeom prst="rect">
                      <a:avLst/>
                    </a:prstGeom>
                  </pic:spPr>
                </pic:pic>
              </a:graphicData>
            </a:graphic>
          </wp:inline>
        </w:drawing>
      </w:r>
    </w:p>
    <w:tbl>
      <w:tblPr>
        <w:tblStyle w:val="TableGrid"/>
        <w:tblW w:w="0" w:type="auto"/>
        <w:tblLook w:val="04A0"/>
      </w:tblPr>
      <w:tblGrid>
        <w:gridCol w:w="4320"/>
        <w:gridCol w:w="4320"/>
      </w:tblGrid>
      <w:tr w:rsidR="008A4BB0" w:rsidTr="00D55ED4">
        <w:tc>
          <w:tcPr>
            <w:tcW w:w="4320" w:type="dxa"/>
          </w:tcPr>
          <w:p w:rsidR="008A4BB0" w:rsidRDefault="008A4BB0" w:rsidP="00D55ED4">
            <w:r>
              <w:t>Policy Title</w:t>
            </w:r>
          </w:p>
        </w:tc>
        <w:tc>
          <w:tcPr>
            <w:tcW w:w="4320" w:type="dxa"/>
          </w:tcPr>
          <w:p w:rsidR="008A4BB0" w:rsidRDefault="008A4BB0" w:rsidP="00D55ED4">
            <w:r>
              <w:t>Safeguarding Vulnerable People Policy</w:t>
            </w:r>
          </w:p>
        </w:tc>
      </w:tr>
      <w:tr w:rsidR="008A4BB0" w:rsidTr="00D55ED4">
        <w:tc>
          <w:tcPr>
            <w:tcW w:w="4320" w:type="dxa"/>
          </w:tcPr>
          <w:p w:rsidR="008A4BB0" w:rsidRDefault="008A4BB0" w:rsidP="00D55ED4">
            <w:r>
              <w:t>Version</w:t>
            </w:r>
          </w:p>
        </w:tc>
        <w:tc>
          <w:tcPr>
            <w:tcW w:w="4320" w:type="dxa"/>
          </w:tcPr>
          <w:p w:rsidR="008A4BB0" w:rsidRDefault="001764E6" w:rsidP="00D55ED4">
            <w:r>
              <w:t>2</w:t>
            </w:r>
            <w:r w:rsidR="008A4BB0">
              <w:t>.0</w:t>
            </w:r>
          </w:p>
        </w:tc>
      </w:tr>
      <w:tr w:rsidR="008A4BB0" w:rsidTr="00D55ED4">
        <w:tc>
          <w:tcPr>
            <w:tcW w:w="4320" w:type="dxa"/>
          </w:tcPr>
          <w:p w:rsidR="008A4BB0" w:rsidRDefault="008A4BB0" w:rsidP="00D55ED4">
            <w:r>
              <w:t>Date of Issue</w:t>
            </w:r>
          </w:p>
        </w:tc>
        <w:tc>
          <w:tcPr>
            <w:tcW w:w="4320" w:type="dxa"/>
          </w:tcPr>
          <w:p w:rsidR="008A4BB0" w:rsidRPr="00DB10D8" w:rsidRDefault="00DB10D8" w:rsidP="00D55ED4">
            <w:r w:rsidRPr="00DB10D8">
              <w:t>July</w:t>
            </w:r>
            <w:r w:rsidR="008A4BB0" w:rsidRPr="00DB10D8">
              <w:t xml:space="preserve"> 2025</w:t>
            </w:r>
          </w:p>
        </w:tc>
      </w:tr>
      <w:tr w:rsidR="008A4BB0" w:rsidTr="00D55ED4">
        <w:tc>
          <w:tcPr>
            <w:tcW w:w="4320" w:type="dxa"/>
          </w:tcPr>
          <w:p w:rsidR="008A4BB0" w:rsidRDefault="008A4BB0" w:rsidP="00D55ED4">
            <w:r>
              <w:t>Next Review Date</w:t>
            </w:r>
          </w:p>
        </w:tc>
        <w:tc>
          <w:tcPr>
            <w:tcW w:w="4320" w:type="dxa"/>
          </w:tcPr>
          <w:p w:rsidR="008A4BB0" w:rsidRPr="00DB10D8" w:rsidRDefault="00DB10D8" w:rsidP="00D55ED4">
            <w:r w:rsidRPr="00DB10D8">
              <w:t>July</w:t>
            </w:r>
            <w:r w:rsidR="008A4BB0" w:rsidRPr="00DB10D8">
              <w:t xml:space="preserve"> 2026</w:t>
            </w:r>
          </w:p>
        </w:tc>
      </w:tr>
    </w:tbl>
    <w:p w:rsidR="00F309C1" w:rsidRPr="008A4BB0" w:rsidRDefault="008A4BB0">
      <w:pPr>
        <w:pStyle w:val="Heading1"/>
        <w:rPr>
          <w:rFonts w:ascii="Arial" w:hAnsi="Arial" w:cs="Arial"/>
          <w:color w:val="auto"/>
          <w:sz w:val="24"/>
          <w:szCs w:val="24"/>
        </w:rPr>
      </w:pPr>
      <w:r w:rsidRPr="008A4BB0">
        <w:rPr>
          <w:rFonts w:ascii="Arial" w:hAnsi="Arial" w:cs="Arial"/>
          <w:color w:val="auto"/>
          <w:sz w:val="24"/>
          <w:szCs w:val="24"/>
        </w:rPr>
        <w:t>Safeguarding Vulnerable People Policy</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1. Introduction and Purpose</w:t>
      </w:r>
    </w:p>
    <w:p w:rsidR="00F309C1" w:rsidRPr="008A4BB0" w:rsidRDefault="008A4BB0" w:rsidP="008A4BB0">
      <w:pPr>
        <w:jc w:val="both"/>
        <w:rPr>
          <w:rFonts w:cs="Arial"/>
          <w:sz w:val="24"/>
          <w:szCs w:val="24"/>
        </w:rPr>
      </w:pPr>
      <w:r w:rsidRPr="008A4BB0">
        <w:rPr>
          <w:rFonts w:cs="Arial"/>
          <w:sz w:val="24"/>
          <w:szCs w:val="24"/>
        </w:rPr>
        <w:t xml:space="preserve">This policy sets out how </w:t>
      </w:r>
      <w:proofErr w:type="spellStart"/>
      <w:r w:rsidRPr="008A4BB0">
        <w:rPr>
          <w:rFonts w:cs="Arial"/>
          <w:sz w:val="24"/>
          <w:szCs w:val="24"/>
        </w:rPr>
        <w:t>Abbeyfield</w:t>
      </w:r>
      <w:proofErr w:type="spellEnd"/>
      <w:r w:rsidRPr="008A4BB0">
        <w:rPr>
          <w:rFonts w:cs="Arial"/>
          <w:sz w:val="24"/>
          <w:szCs w:val="24"/>
        </w:rPr>
        <w:t xml:space="preserve"> </w:t>
      </w:r>
      <w:proofErr w:type="spellStart"/>
      <w:r w:rsidR="00DB10D8">
        <w:rPr>
          <w:rFonts w:cs="Arial"/>
          <w:sz w:val="24"/>
          <w:szCs w:val="24"/>
        </w:rPr>
        <w:t>Dulwich</w:t>
      </w:r>
      <w:proofErr w:type="spellEnd"/>
      <w:r w:rsidR="00DB10D8">
        <w:rPr>
          <w:rFonts w:cs="Arial"/>
          <w:sz w:val="24"/>
          <w:szCs w:val="24"/>
        </w:rPr>
        <w:t xml:space="preserve"> Society Limited (The) </w:t>
      </w:r>
      <w:r w:rsidRPr="008A4BB0">
        <w:rPr>
          <w:rFonts w:cs="Arial"/>
          <w:sz w:val="24"/>
          <w:szCs w:val="24"/>
        </w:rPr>
        <w:t>safeguards adults and children who may be at risk of abuse or neglect. It is based on the principles of the Care Act 2014, Public Interest Disclosure Act 1998, and the Mental Capacity Act 2005.</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2. Scope</w:t>
      </w:r>
    </w:p>
    <w:p w:rsidR="00F309C1" w:rsidRPr="008A4BB0" w:rsidRDefault="008A4BB0" w:rsidP="008A4BB0">
      <w:pPr>
        <w:jc w:val="both"/>
        <w:rPr>
          <w:rFonts w:cs="Arial"/>
          <w:sz w:val="24"/>
          <w:szCs w:val="24"/>
        </w:rPr>
      </w:pPr>
      <w:r w:rsidRPr="008A4BB0">
        <w:rPr>
          <w:rFonts w:cs="Arial"/>
          <w:sz w:val="24"/>
          <w:szCs w:val="24"/>
        </w:rPr>
        <w:t>This policy applies to all staff, trustees, and volunteers. It also applies to children visiting our properties and young people volunteering or working with us.</w:t>
      </w:r>
    </w:p>
    <w:p w:rsidR="00F309C1" w:rsidRPr="008A4BB0" w:rsidRDefault="008A4BB0" w:rsidP="008A4BB0">
      <w:pPr>
        <w:pStyle w:val="Heading2"/>
        <w:jc w:val="both"/>
        <w:rPr>
          <w:rFonts w:ascii="Arial" w:hAnsi="Arial" w:cs="Arial"/>
          <w:color w:val="auto"/>
          <w:sz w:val="24"/>
          <w:szCs w:val="24"/>
        </w:rPr>
      </w:pPr>
      <w:r w:rsidRPr="008A4BB0">
        <w:rPr>
          <w:rFonts w:ascii="Arial" w:hAnsi="Arial" w:cs="Arial"/>
          <w:color w:val="auto"/>
          <w:sz w:val="24"/>
          <w:szCs w:val="24"/>
        </w:rPr>
        <w:t>3. Safeguarding Principles</w:t>
      </w:r>
    </w:p>
    <w:p w:rsidR="00F309C1" w:rsidRPr="008A4BB0" w:rsidRDefault="008A4BB0" w:rsidP="008A4BB0">
      <w:pPr>
        <w:jc w:val="both"/>
        <w:rPr>
          <w:rFonts w:cs="Arial"/>
          <w:sz w:val="24"/>
          <w:szCs w:val="24"/>
        </w:rPr>
      </w:pPr>
      <w:r w:rsidRPr="008A4BB0">
        <w:rPr>
          <w:rFonts w:cs="Arial"/>
          <w:sz w:val="24"/>
          <w:szCs w:val="24"/>
        </w:rPr>
        <w:t>We follow the six principles of safeguarding: Empowerment, Prevention, Proportionality, Protection, Partnership, and Accountability.</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4. Definitions</w:t>
      </w:r>
    </w:p>
    <w:p w:rsidR="00F309C1" w:rsidRPr="008A4BB0" w:rsidRDefault="008A4BB0" w:rsidP="008A4BB0">
      <w:pPr>
        <w:jc w:val="both"/>
        <w:rPr>
          <w:rFonts w:cs="Arial"/>
          <w:sz w:val="24"/>
          <w:szCs w:val="24"/>
        </w:rPr>
      </w:pPr>
      <w:r w:rsidRPr="008A4BB0">
        <w:rPr>
          <w:rFonts w:cs="Arial"/>
          <w:sz w:val="24"/>
          <w:szCs w:val="24"/>
        </w:rPr>
        <w:t>Adults at risk are those who have care and support needs and cannot protect themselves from abuse or neglect. Children are defined as those under the age of 18. Abuse may be physical, emotional, sexual, financial, neglect, domestic violence, discriminatory, organisational or self-neglect.</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5. Roles and Responsibilities</w:t>
      </w:r>
    </w:p>
    <w:p w:rsidR="008A4BB0" w:rsidRDefault="008A4BB0" w:rsidP="008A4BB0">
      <w:pPr>
        <w:pStyle w:val="ListParagraph"/>
        <w:numPr>
          <w:ilvl w:val="0"/>
          <w:numId w:val="10"/>
        </w:numPr>
        <w:jc w:val="both"/>
        <w:rPr>
          <w:rFonts w:cs="Arial"/>
          <w:sz w:val="24"/>
          <w:szCs w:val="24"/>
        </w:rPr>
      </w:pPr>
      <w:r w:rsidRPr="008A4BB0">
        <w:rPr>
          <w:rFonts w:cs="Arial"/>
          <w:sz w:val="24"/>
          <w:szCs w:val="24"/>
        </w:rPr>
        <w:t>Board of Trustees: Ensure effective safeguarding arrangements and oversight.</w:t>
      </w:r>
    </w:p>
    <w:p w:rsidR="008A4BB0" w:rsidRDefault="008A4BB0" w:rsidP="008A4BB0">
      <w:pPr>
        <w:pStyle w:val="ListParagraph"/>
        <w:numPr>
          <w:ilvl w:val="0"/>
          <w:numId w:val="10"/>
        </w:numPr>
        <w:jc w:val="both"/>
        <w:rPr>
          <w:rFonts w:cs="Arial"/>
          <w:sz w:val="24"/>
          <w:szCs w:val="24"/>
        </w:rPr>
      </w:pPr>
      <w:r w:rsidRPr="008A4BB0">
        <w:rPr>
          <w:rFonts w:cs="Arial"/>
          <w:sz w:val="24"/>
          <w:szCs w:val="24"/>
        </w:rPr>
        <w:t>Designated Safeguarding Lead (e.g. Chair): Primary contact for safeguarding issues and external liaison.</w:t>
      </w:r>
    </w:p>
    <w:p w:rsidR="008A4BB0" w:rsidRDefault="008A4BB0" w:rsidP="008A4BB0">
      <w:pPr>
        <w:pStyle w:val="ListParagraph"/>
        <w:numPr>
          <w:ilvl w:val="0"/>
          <w:numId w:val="10"/>
        </w:numPr>
        <w:jc w:val="both"/>
        <w:rPr>
          <w:rFonts w:cs="Arial"/>
          <w:sz w:val="24"/>
          <w:szCs w:val="24"/>
        </w:rPr>
      </w:pPr>
      <w:r w:rsidRPr="008A4BB0">
        <w:rPr>
          <w:rFonts w:cs="Arial"/>
          <w:sz w:val="24"/>
          <w:szCs w:val="24"/>
        </w:rPr>
        <w:t>Senior staff: Manage immediate response and support reporting.</w:t>
      </w:r>
    </w:p>
    <w:p w:rsidR="00F309C1" w:rsidRDefault="008A4BB0" w:rsidP="008A4BB0">
      <w:pPr>
        <w:pStyle w:val="ListParagraph"/>
        <w:numPr>
          <w:ilvl w:val="0"/>
          <w:numId w:val="10"/>
        </w:numPr>
        <w:jc w:val="both"/>
        <w:rPr>
          <w:rFonts w:cs="Arial"/>
          <w:sz w:val="24"/>
          <w:szCs w:val="24"/>
        </w:rPr>
      </w:pPr>
      <w:r w:rsidRPr="008A4BB0">
        <w:rPr>
          <w:rFonts w:cs="Arial"/>
          <w:sz w:val="24"/>
          <w:szCs w:val="24"/>
        </w:rPr>
        <w:t>All staff/volunteers: Responsible for recognising and reporting concerns.</w:t>
      </w:r>
    </w:p>
    <w:p w:rsidR="001764E6" w:rsidRPr="001764E6" w:rsidRDefault="001764E6" w:rsidP="001764E6">
      <w:pPr>
        <w:jc w:val="both"/>
        <w:rPr>
          <w:rFonts w:cs="Arial"/>
          <w:i/>
          <w:iCs/>
          <w:sz w:val="24"/>
          <w:szCs w:val="24"/>
        </w:rPr>
      </w:pPr>
      <w:r w:rsidRPr="001764E6">
        <w:rPr>
          <w:rFonts w:cs="Arial"/>
          <w:i/>
          <w:iCs/>
          <w:sz w:val="24"/>
          <w:szCs w:val="24"/>
        </w:rPr>
        <w:t>Note: The Designated Safeguarding Lead (DSL) must be clearly named in each society’s local safeguarding procedure and referenced in staff and volunteer induction materials.</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lastRenderedPageBreak/>
        <w:t>6. Responding to Concerns</w:t>
      </w:r>
    </w:p>
    <w:p w:rsidR="00F309C1" w:rsidRDefault="008A4BB0" w:rsidP="008A4BB0">
      <w:pPr>
        <w:jc w:val="both"/>
        <w:rPr>
          <w:rFonts w:cs="Arial"/>
          <w:sz w:val="24"/>
          <w:szCs w:val="24"/>
        </w:rPr>
      </w:pPr>
      <w:r w:rsidRPr="008A4BB0">
        <w:rPr>
          <w:rFonts w:cs="Arial"/>
          <w:sz w:val="24"/>
          <w:szCs w:val="24"/>
        </w:rPr>
        <w:t>Concerns should be reported immediately to the most senior person on duty, or directly to the Safeguarding Lead if necessary. Detailed factual records should be kept, signed, dated, and stored securely. Referrals may be made to the Local Authority or Police.</w:t>
      </w:r>
    </w:p>
    <w:p w:rsidR="001764E6" w:rsidRPr="001764E6" w:rsidRDefault="001764E6" w:rsidP="008A4BB0">
      <w:pPr>
        <w:jc w:val="both"/>
        <w:rPr>
          <w:rFonts w:cs="Arial"/>
          <w:i/>
          <w:iCs/>
          <w:sz w:val="24"/>
          <w:szCs w:val="24"/>
        </w:rPr>
      </w:pPr>
      <w:r w:rsidRPr="001764E6">
        <w:rPr>
          <w:rFonts w:cs="Arial"/>
          <w:i/>
          <w:iCs/>
          <w:sz w:val="24"/>
          <w:szCs w:val="24"/>
        </w:rPr>
        <w:t>Note: Safeguarding concerns may also arise during housing assessments, tenancy reviews, or day-to-day interaction with residents. Staff should be alert to signs such as changes in behaviour, self-neglect, or risks identified through tenancy risk screening tools or wellbeing conversations.</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7. Information Sharing</w:t>
      </w:r>
    </w:p>
    <w:p w:rsidR="00F309C1" w:rsidRDefault="008A4BB0" w:rsidP="008A4BB0">
      <w:pPr>
        <w:jc w:val="both"/>
        <w:rPr>
          <w:rFonts w:cs="Arial"/>
          <w:sz w:val="24"/>
          <w:szCs w:val="24"/>
        </w:rPr>
      </w:pPr>
      <w:r w:rsidRPr="008A4BB0">
        <w:rPr>
          <w:rFonts w:cs="Arial"/>
          <w:sz w:val="24"/>
          <w:szCs w:val="24"/>
        </w:rPr>
        <w:t>Information will be shared lawfully and proportionately to prevent harm. Consent should be sought where possible. However, safeguarding concerns override confidentiality if there is risk of serious harm.</w:t>
      </w:r>
    </w:p>
    <w:p w:rsidR="001764E6" w:rsidRPr="001764E6" w:rsidRDefault="001764E6" w:rsidP="008A4BB0">
      <w:pPr>
        <w:jc w:val="both"/>
        <w:rPr>
          <w:rFonts w:cs="Arial"/>
          <w:i/>
          <w:iCs/>
          <w:sz w:val="24"/>
          <w:szCs w:val="24"/>
        </w:rPr>
      </w:pPr>
      <w:r w:rsidRPr="001764E6">
        <w:rPr>
          <w:rFonts w:cs="Arial"/>
          <w:i/>
          <w:iCs/>
          <w:sz w:val="24"/>
          <w:szCs w:val="24"/>
        </w:rPr>
        <w:t>Note: Safeguarding records should be created using approved templates (e.g. notes on conversations, incident records), stored securely, and maintained separately from general housing files in accordance with the Data Protection Policy.</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8. Recruitment and DBS</w:t>
      </w:r>
    </w:p>
    <w:p w:rsidR="00F309C1" w:rsidRPr="008A4BB0" w:rsidRDefault="008A4BB0" w:rsidP="008A4BB0">
      <w:pPr>
        <w:jc w:val="both"/>
        <w:rPr>
          <w:rFonts w:cs="Arial"/>
          <w:sz w:val="24"/>
          <w:szCs w:val="24"/>
        </w:rPr>
      </w:pPr>
      <w:r w:rsidRPr="008A4BB0">
        <w:rPr>
          <w:rFonts w:cs="Arial"/>
          <w:sz w:val="24"/>
          <w:szCs w:val="24"/>
        </w:rPr>
        <w:t>All staff and volunteers undergo checks including DBS. Anyone barred by the DBS will not be employed or retained.</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9. Safeguarding Training</w:t>
      </w:r>
    </w:p>
    <w:p w:rsidR="00F309C1" w:rsidRPr="008A4BB0" w:rsidRDefault="008A4BB0" w:rsidP="008A4BB0">
      <w:pPr>
        <w:jc w:val="both"/>
        <w:rPr>
          <w:rFonts w:cs="Arial"/>
          <w:sz w:val="24"/>
          <w:szCs w:val="24"/>
        </w:rPr>
      </w:pPr>
      <w:r w:rsidRPr="008A4BB0">
        <w:rPr>
          <w:rFonts w:cs="Arial"/>
          <w:sz w:val="24"/>
          <w:szCs w:val="24"/>
        </w:rPr>
        <w:t>Safeguarding training is mandatory for all roles and refreshed regularly. Training is adapted to the responsibilities of the role.</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10. Whistleblowing</w:t>
      </w:r>
    </w:p>
    <w:p w:rsidR="00F309C1" w:rsidRPr="008A4BB0" w:rsidRDefault="008A4BB0" w:rsidP="008A4BB0">
      <w:pPr>
        <w:jc w:val="both"/>
        <w:rPr>
          <w:rFonts w:cs="Arial"/>
          <w:sz w:val="24"/>
          <w:szCs w:val="24"/>
        </w:rPr>
      </w:pPr>
      <w:r w:rsidRPr="008A4BB0">
        <w:rPr>
          <w:rFonts w:cs="Arial"/>
          <w:sz w:val="24"/>
          <w:szCs w:val="24"/>
        </w:rPr>
        <w:t>Staff and volunteers are encouraged to report concerns without fear. Our whistleblowing policy supports those who speak up in the public interest.</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11. Safeguarding Children</w:t>
      </w:r>
    </w:p>
    <w:p w:rsidR="00F309C1" w:rsidRPr="008A4BB0" w:rsidRDefault="008A4BB0" w:rsidP="008A4BB0">
      <w:pPr>
        <w:jc w:val="both"/>
        <w:rPr>
          <w:rFonts w:cs="Arial"/>
          <w:sz w:val="24"/>
          <w:szCs w:val="24"/>
        </w:rPr>
      </w:pPr>
      <w:r w:rsidRPr="008A4BB0">
        <w:rPr>
          <w:rFonts w:cs="Arial"/>
          <w:sz w:val="24"/>
          <w:szCs w:val="24"/>
        </w:rPr>
        <w:t>Children visiting must be supervised. Young volunteers require risk assessments, continuous supervision, and (where under 16) parental consent.</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12. Mental Capacity</w:t>
      </w:r>
    </w:p>
    <w:p w:rsidR="00F309C1" w:rsidRPr="008A4BB0" w:rsidRDefault="008A4BB0" w:rsidP="008A4BB0">
      <w:pPr>
        <w:jc w:val="both"/>
        <w:rPr>
          <w:rFonts w:cs="Arial"/>
          <w:sz w:val="24"/>
          <w:szCs w:val="24"/>
        </w:rPr>
      </w:pPr>
      <w:r w:rsidRPr="008A4BB0">
        <w:rPr>
          <w:rFonts w:cs="Arial"/>
          <w:sz w:val="24"/>
          <w:szCs w:val="24"/>
        </w:rPr>
        <w:t>Adults must be assumed to have capacity unless assessed otherwise. Decisions made for them must be in their best interests.</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13. Preventing Abuse</w:t>
      </w:r>
    </w:p>
    <w:p w:rsidR="00F309C1" w:rsidRDefault="008A4BB0" w:rsidP="008A4BB0">
      <w:pPr>
        <w:jc w:val="both"/>
        <w:rPr>
          <w:rFonts w:cs="Arial"/>
          <w:sz w:val="24"/>
          <w:szCs w:val="24"/>
        </w:rPr>
      </w:pPr>
      <w:r w:rsidRPr="008A4BB0">
        <w:rPr>
          <w:rFonts w:cs="Arial"/>
          <w:sz w:val="24"/>
          <w:szCs w:val="24"/>
        </w:rPr>
        <w:t>Each resident has a risk and support plan. We promote an open culture, safe recruitment, clear procedures, and a proactive safeguarding environment.</w:t>
      </w:r>
    </w:p>
    <w:p w:rsidR="001764E6" w:rsidRPr="001764E6" w:rsidRDefault="001764E6" w:rsidP="008A4BB0">
      <w:pPr>
        <w:jc w:val="both"/>
        <w:rPr>
          <w:rFonts w:cs="Arial"/>
          <w:i/>
          <w:iCs/>
          <w:sz w:val="24"/>
          <w:szCs w:val="24"/>
        </w:rPr>
      </w:pPr>
      <w:r w:rsidRPr="001764E6">
        <w:rPr>
          <w:rFonts w:cs="Arial"/>
          <w:i/>
          <w:iCs/>
          <w:sz w:val="24"/>
          <w:szCs w:val="24"/>
        </w:rPr>
        <w:lastRenderedPageBreak/>
        <w:t>Note: Each society must also maintain a local safeguarding procedure or contact sheet with referral information for their Local Authority and Police. This policy must be localised to reflect operational context.</w:t>
      </w:r>
    </w:p>
    <w:p w:rsidR="00F309C1" w:rsidRPr="008A4BB0" w:rsidRDefault="008A4BB0">
      <w:pPr>
        <w:pStyle w:val="Heading2"/>
        <w:rPr>
          <w:rFonts w:ascii="Arial" w:hAnsi="Arial" w:cs="Arial"/>
          <w:color w:val="auto"/>
          <w:sz w:val="24"/>
          <w:szCs w:val="24"/>
        </w:rPr>
      </w:pPr>
      <w:r w:rsidRPr="008A4BB0">
        <w:rPr>
          <w:rFonts w:ascii="Arial" w:hAnsi="Arial" w:cs="Arial"/>
          <w:color w:val="auto"/>
          <w:sz w:val="24"/>
          <w:szCs w:val="24"/>
        </w:rPr>
        <w:t>14. Review</w:t>
      </w:r>
    </w:p>
    <w:p w:rsidR="00F309C1" w:rsidRPr="008A4BB0" w:rsidRDefault="008A4BB0" w:rsidP="008A4BB0">
      <w:pPr>
        <w:jc w:val="both"/>
        <w:rPr>
          <w:rFonts w:cs="Arial"/>
          <w:sz w:val="24"/>
          <w:szCs w:val="24"/>
        </w:rPr>
      </w:pPr>
      <w:r w:rsidRPr="008A4BB0">
        <w:rPr>
          <w:rFonts w:cs="Arial"/>
          <w:sz w:val="24"/>
          <w:szCs w:val="24"/>
        </w:rPr>
        <w:t>This policy will be reviewed annually and whenever there are legislative or organisational changes.</w:t>
      </w:r>
    </w:p>
    <w:p w:rsidR="008A4BB0" w:rsidRDefault="008A4BB0"/>
    <w:sectPr w:rsidR="008A4BB0"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CB65F07"/>
    <w:multiLevelType w:val="hybridMultilevel"/>
    <w:tmpl w:val="CE54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1764E6"/>
    <w:rsid w:val="002223AA"/>
    <w:rsid w:val="00242AA8"/>
    <w:rsid w:val="0029639D"/>
    <w:rsid w:val="00326F90"/>
    <w:rsid w:val="00455BFB"/>
    <w:rsid w:val="008A4BB0"/>
    <w:rsid w:val="00AA1D8D"/>
    <w:rsid w:val="00B47730"/>
    <w:rsid w:val="00C40FF6"/>
    <w:rsid w:val="00CB0664"/>
    <w:rsid w:val="00DB10D8"/>
    <w:rsid w:val="00F309C1"/>
    <w:rsid w:val="00FC693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B1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rogerhumbles@gmail.com</cp:lastModifiedBy>
  <cp:revision>2</cp:revision>
  <dcterms:created xsi:type="dcterms:W3CDTF">2025-07-16T13:08:00Z</dcterms:created>
  <dcterms:modified xsi:type="dcterms:W3CDTF">2025-07-16T13:08:00Z</dcterms:modified>
</cp:coreProperties>
</file>