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C1" w:rsidRDefault="008A4BB0">
      <w:r w:rsidRPr="008A4BB0">
        <w:rPr>
          <w:rFonts w:ascii="Arial" w:hAnsi="Arial" w:cs="Arial"/>
          <w:noProof/>
          <w:lang w:val="en-GB" w:eastAsia="en-GB"/>
        </w:rPr>
        <w:drawing>
          <wp:inline distT="0" distB="0" distL="0" distR="0">
            <wp:extent cx="1828800" cy="703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 Logo.jpg"/>
                    <pic:cNvPicPr/>
                  </pic:nvPicPr>
                  <pic:blipFill>
                    <a:blip r:embed="rId6"/>
                    <a:stretch>
                      <a:fillRect/>
                    </a:stretch>
                  </pic:blipFill>
                  <pic:spPr>
                    <a:xfrm>
                      <a:off x="0" y="0"/>
                      <a:ext cx="1828800" cy="703653"/>
                    </a:xfrm>
                    <a:prstGeom prst="rect">
                      <a:avLst/>
                    </a:prstGeom>
                  </pic:spPr>
                </pic:pic>
              </a:graphicData>
            </a:graphic>
          </wp:inline>
        </w:drawing>
      </w:r>
    </w:p>
    <w:tbl>
      <w:tblPr>
        <w:tblStyle w:val="TableGrid"/>
        <w:tblW w:w="0" w:type="auto"/>
        <w:tblLook w:val="04A0"/>
      </w:tblPr>
      <w:tblGrid>
        <w:gridCol w:w="4320"/>
        <w:gridCol w:w="4320"/>
      </w:tblGrid>
      <w:tr w:rsidR="008A4BB0" w:rsidRPr="008A4BB0" w:rsidTr="003D1BFB">
        <w:tc>
          <w:tcPr>
            <w:tcW w:w="4320" w:type="dxa"/>
          </w:tcPr>
          <w:p w:rsidR="008A4BB0" w:rsidRPr="008A4BB0" w:rsidRDefault="008A4BB0" w:rsidP="003D1BFB">
            <w:pPr>
              <w:rPr>
                <w:rFonts w:ascii="Arial" w:hAnsi="Arial" w:cs="Arial"/>
              </w:rPr>
            </w:pPr>
            <w:r w:rsidRPr="008A4BB0">
              <w:rPr>
                <w:rFonts w:ascii="Arial" w:hAnsi="Arial" w:cs="Arial"/>
              </w:rPr>
              <w:t>Policy Title</w:t>
            </w:r>
          </w:p>
        </w:tc>
        <w:tc>
          <w:tcPr>
            <w:tcW w:w="4320" w:type="dxa"/>
          </w:tcPr>
          <w:p w:rsidR="008A4BB0" w:rsidRPr="008A4BB0" w:rsidRDefault="008A4BB0" w:rsidP="003D1BFB">
            <w:pPr>
              <w:rPr>
                <w:rFonts w:ascii="Arial" w:hAnsi="Arial" w:cs="Arial"/>
              </w:rPr>
            </w:pPr>
            <w:r w:rsidRPr="008A4BB0">
              <w:rPr>
                <w:rFonts w:ascii="Arial" w:hAnsi="Arial" w:cs="Arial"/>
              </w:rPr>
              <w:t>Rent and Charges Policy</w:t>
            </w:r>
          </w:p>
        </w:tc>
      </w:tr>
      <w:tr w:rsidR="008A4BB0" w:rsidRPr="008A4BB0" w:rsidTr="003D1BFB">
        <w:tc>
          <w:tcPr>
            <w:tcW w:w="4320" w:type="dxa"/>
          </w:tcPr>
          <w:p w:rsidR="008A4BB0" w:rsidRPr="008A4BB0" w:rsidRDefault="008A4BB0" w:rsidP="003D1BFB">
            <w:pPr>
              <w:rPr>
                <w:rFonts w:ascii="Arial" w:hAnsi="Arial" w:cs="Arial"/>
              </w:rPr>
            </w:pPr>
            <w:r w:rsidRPr="008A4BB0">
              <w:rPr>
                <w:rFonts w:ascii="Arial" w:hAnsi="Arial" w:cs="Arial"/>
              </w:rPr>
              <w:t>Version</w:t>
            </w:r>
          </w:p>
        </w:tc>
        <w:tc>
          <w:tcPr>
            <w:tcW w:w="4320" w:type="dxa"/>
          </w:tcPr>
          <w:p w:rsidR="008A4BB0" w:rsidRPr="008A4BB0" w:rsidRDefault="008A4BB0" w:rsidP="003D1BFB">
            <w:pPr>
              <w:rPr>
                <w:rFonts w:ascii="Arial" w:hAnsi="Arial" w:cs="Arial"/>
              </w:rPr>
            </w:pPr>
            <w:r w:rsidRPr="008A4BB0">
              <w:rPr>
                <w:rFonts w:ascii="Arial" w:hAnsi="Arial" w:cs="Arial"/>
              </w:rPr>
              <w:t>1.0</w:t>
            </w:r>
          </w:p>
        </w:tc>
      </w:tr>
      <w:tr w:rsidR="008A4BB0" w:rsidRPr="008A4BB0" w:rsidTr="003D1BFB">
        <w:tc>
          <w:tcPr>
            <w:tcW w:w="4320" w:type="dxa"/>
          </w:tcPr>
          <w:p w:rsidR="008A4BB0" w:rsidRPr="008A4BB0" w:rsidRDefault="008A4BB0" w:rsidP="003D1BFB">
            <w:pPr>
              <w:rPr>
                <w:rFonts w:ascii="Arial" w:hAnsi="Arial" w:cs="Arial"/>
              </w:rPr>
            </w:pPr>
            <w:r w:rsidRPr="008A4BB0">
              <w:rPr>
                <w:rFonts w:ascii="Arial" w:hAnsi="Arial" w:cs="Arial"/>
              </w:rPr>
              <w:t>Date of Issue</w:t>
            </w:r>
          </w:p>
        </w:tc>
        <w:tc>
          <w:tcPr>
            <w:tcW w:w="4320" w:type="dxa"/>
          </w:tcPr>
          <w:p w:rsidR="008A4BB0" w:rsidRPr="008A4BB0" w:rsidRDefault="003F19CE" w:rsidP="003D1BFB">
            <w:pPr>
              <w:rPr>
                <w:rFonts w:ascii="Arial" w:hAnsi="Arial" w:cs="Arial"/>
                <w:highlight w:val="yellow"/>
              </w:rPr>
            </w:pPr>
            <w:r>
              <w:rPr>
                <w:rFonts w:ascii="Arial" w:hAnsi="Arial" w:cs="Arial"/>
                <w:highlight w:val="yellow"/>
              </w:rPr>
              <w:t>16 July 025</w:t>
            </w:r>
          </w:p>
        </w:tc>
      </w:tr>
      <w:tr w:rsidR="008A4BB0" w:rsidRPr="008A4BB0" w:rsidTr="003D1BFB">
        <w:tc>
          <w:tcPr>
            <w:tcW w:w="4320" w:type="dxa"/>
          </w:tcPr>
          <w:p w:rsidR="008A4BB0" w:rsidRPr="008A4BB0" w:rsidRDefault="008A4BB0" w:rsidP="003D1BFB">
            <w:pPr>
              <w:rPr>
                <w:rFonts w:ascii="Arial" w:hAnsi="Arial" w:cs="Arial"/>
              </w:rPr>
            </w:pPr>
            <w:r w:rsidRPr="008A4BB0">
              <w:rPr>
                <w:rFonts w:ascii="Arial" w:hAnsi="Arial" w:cs="Arial"/>
              </w:rPr>
              <w:t>Next Review Date</w:t>
            </w:r>
          </w:p>
        </w:tc>
        <w:tc>
          <w:tcPr>
            <w:tcW w:w="4320" w:type="dxa"/>
          </w:tcPr>
          <w:p w:rsidR="008A4BB0" w:rsidRPr="008A4BB0" w:rsidRDefault="003F19CE" w:rsidP="003F19CE">
            <w:pPr>
              <w:rPr>
                <w:rFonts w:ascii="Arial" w:hAnsi="Arial" w:cs="Arial"/>
                <w:highlight w:val="yellow"/>
              </w:rPr>
            </w:pPr>
            <w:r>
              <w:rPr>
                <w:rFonts w:ascii="Arial" w:hAnsi="Arial" w:cs="Arial"/>
                <w:highlight w:val="yellow"/>
              </w:rPr>
              <w:t>16 July 2026</w:t>
            </w:r>
          </w:p>
        </w:tc>
      </w:tr>
    </w:tbl>
    <w:p w:rsidR="00F309C1" w:rsidRPr="008A4BB0" w:rsidRDefault="008A4BB0">
      <w:pPr>
        <w:pStyle w:val="Heading1"/>
        <w:rPr>
          <w:rFonts w:ascii="Arial" w:hAnsi="Arial" w:cs="Arial"/>
          <w:color w:val="auto"/>
          <w:sz w:val="24"/>
          <w:szCs w:val="24"/>
        </w:rPr>
      </w:pPr>
      <w:r w:rsidRPr="008A4BB0">
        <w:rPr>
          <w:rFonts w:ascii="Arial" w:hAnsi="Arial" w:cs="Arial"/>
          <w:color w:val="auto"/>
          <w:sz w:val="24"/>
          <w:szCs w:val="24"/>
        </w:rPr>
        <w:t>Rent and Charges Policy</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1. Introduction and Scope</w:t>
      </w:r>
    </w:p>
    <w:p w:rsidR="00F309C1" w:rsidRPr="008A4BB0" w:rsidRDefault="008A4BB0" w:rsidP="008A4BB0">
      <w:pPr>
        <w:jc w:val="both"/>
        <w:rPr>
          <w:rFonts w:ascii="Arial" w:hAnsi="Arial" w:cs="Arial"/>
          <w:sz w:val="24"/>
          <w:szCs w:val="24"/>
        </w:rPr>
      </w:pPr>
      <w:r w:rsidRPr="008A4BB0">
        <w:rPr>
          <w:rFonts w:ascii="Arial" w:hAnsi="Arial" w:cs="Arial"/>
          <w:sz w:val="24"/>
          <w:szCs w:val="24"/>
        </w:rPr>
        <w:t xml:space="preserve">This policy sets out </w:t>
      </w:r>
      <w:r w:rsidR="003F19CE">
        <w:rPr>
          <w:rFonts w:ascii="Arial" w:hAnsi="Arial" w:cs="Arial"/>
          <w:sz w:val="24"/>
          <w:szCs w:val="24"/>
        </w:rPr>
        <w:t xml:space="preserve">the </w:t>
      </w:r>
      <w:r w:rsidRPr="008A4BB0">
        <w:rPr>
          <w:rFonts w:ascii="Arial" w:hAnsi="Arial" w:cs="Arial"/>
          <w:sz w:val="24"/>
          <w:szCs w:val="24"/>
        </w:rPr>
        <w:t xml:space="preserve">Abbeyfield </w:t>
      </w:r>
      <w:proofErr w:type="spellStart"/>
      <w:r w:rsidR="003F19CE">
        <w:rPr>
          <w:rFonts w:ascii="Arial" w:hAnsi="Arial" w:cs="Arial"/>
          <w:sz w:val="24"/>
          <w:szCs w:val="24"/>
        </w:rPr>
        <w:t>Dulwich</w:t>
      </w:r>
      <w:proofErr w:type="spellEnd"/>
      <w:r w:rsidR="003F19CE">
        <w:rPr>
          <w:rFonts w:ascii="Arial" w:hAnsi="Arial" w:cs="Arial"/>
          <w:sz w:val="24"/>
          <w:szCs w:val="24"/>
        </w:rPr>
        <w:t xml:space="preserve"> Society Limited (The)</w:t>
      </w:r>
      <w:r w:rsidRPr="008A4BB0">
        <w:rPr>
          <w:rFonts w:ascii="Arial" w:hAnsi="Arial" w:cs="Arial"/>
          <w:sz w:val="24"/>
          <w:szCs w:val="24"/>
        </w:rPr>
        <w:t xml:space="preserve"> approach to setting, reviewing, and communicating rents and associated charges for residents. It applies to all societies, whether constituted as a Charitable Incorporated Organisation (CIO), Community Benefit Society (CBS), or registered charity.</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2. Purpose</w:t>
      </w:r>
    </w:p>
    <w:p w:rsidR="00F309C1" w:rsidRPr="008A4BB0" w:rsidRDefault="008A4BB0" w:rsidP="008A4BB0">
      <w:pPr>
        <w:jc w:val="both"/>
        <w:rPr>
          <w:rFonts w:ascii="Arial" w:hAnsi="Arial" w:cs="Arial"/>
          <w:sz w:val="24"/>
          <w:szCs w:val="24"/>
        </w:rPr>
      </w:pPr>
      <w:r w:rsidRPr="008A4BB0">
        <w:rPr>
          <w:rFonts w:ascii="Arial" w:hAnsi="Arial" w:cs="Arial"/>
          <w:sz w:val="24"/>
          <w:szCs w:val="24"/>
        </w:rPr>
        <w:t>To ensure rents and charges are fair, transparent, and set at a level that balances resident affordability with the society’s charitable viability.</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3. Policy Principles</w:t>
      </w:r>
    </w:p>
    <w:p w:rsidR="008A4BB0" w:rsidRPr="008A4BB0" w:rsidRDefault="008A4BB0" w:rsidP="008A4BB0">
      <w:pPr>
        <w:pStyle w:val="ListParagraph"/>
        <w:numPr>
          <w:ilvl w:val="0"/>
          <w:numId w:val="10"/>
        </w:numPr>
        <w:rPr>
          <w:rFonts w:ascii="Arial" w:hAnsi="Arial" w:cs="Arial"/>
          <w:sz w:val="24"/>
          <w:szCs w:val="24"/>
        </w:rPr>
      </w:pPr>
      <w:r w:rsidRPr="008A4BB0">
        <w:rPr>
          <w:rFonts w:ascii="Arial" w:hAnsi="Arial" w:cs="Arial"/>
          <w:sz w:val="24"/>
          <w:szCs w:val="24"/>
        </w:rPr>
        <w:t>Rents will be reviewed annually and set in line with the society’s governing principles, housing legislation, and regulatory expectations.</w:t>
      </w:r>
    </w:p>
    <w:p w:rsidR="00F309C1" w:rsidRPr="008A4BB0" w:rsidRDefault="008A4BB0" w:rsidP="008A4BB0">
      <w:pPr>
        <w:pStyle w:val="ListParagraph"/>
        <w:numPr>
          <w:ilvl w:val="0"/>
          <w:numId w:val="10"/>
        </w:numPr>
        <w:rPr>
          <w:rFonts w:ascii="Arial" w:hAnsi="Arial" w:cs="Arial"/>
          <w:sz w:val="24"/>
          <w:szCs w:val="24"/>
        </w:rPr>
      </w:pPr>
      <w:r w:rsidRPr="008A4BB0">
        <w:rPr>
          <w:rFonts w:ascii="Arial" w:hAnsi="Arial" w:cs="Arial"/>
          <w:sz w:val="24"/>
          <w:szCs w:val="24"/>
        </w:rPr>
        <w:t>The society is committed to openness in the way it sets and communicates all housing-related charges.</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4. Components of Rent and Charges</w:t>
      </w:r>
    </w:p>
    <w:p w:rsidR="008A4BB0" w:rsidRPr="008A4BB0" w:rsidRDefault="008A4BB0">
      <w:pPr>
        <w:rPr>
          <w:rFonts w:ascii="Arial" w:hAnsi="Arial" w:cs="Arial"/>
          <w:sz w:val="24"/>
          <w:szCs w:val="24"/>
        </w:rPr>
      </w:pPr>
      <w:r w:rsidRPr="008A4BB0">
        <w:rPr>
          <w:rFonts w:ascii="Arial" w:hAnsi="Arial" w:cs="Arial"/>
          <w:sz w:val="24"/>
          <w:szCs w:val="24"/>
        </w:rPr>
        <w:t>Resident charges will normally include:</w:t>
      </w:r>
    </w:p>
    <w:p w:rsidR="008A4BB0" w:rsidRPr="008A4BB0" w:rsidRDefault="008A4BB0" w:rsidP="008A4BB0">
      <w:pPr>
        <w:pStyle w:val="ListParagraph"/>
        <w:numPr>
          <w:ilvl w:val="0"/>
          <w:numId w:val="11"/>
        </w:numPr>
        <w:rPr>
          <w:rFonts w:ascii="Arial" w:hAnsi="Arial" w:cs="Arial"/>
          <w:sz w:val="24"/>
          <w:szCs w:val="24"/>
        </w:rPr>
      </w:pPr>
      <w:r w:rsidRPr="008A4BB0">
        <w:rPr>
          <w:rFonts w:ascii="Arial" w:hAnsi="Arial" w:cs="Arial"/>
          <w:sz w:val="24"/>
          <w:szCs w:val="24"/>
        </w:rPr>
        <w:t>Core Rent: linked to property costs such as maintenance, repairs, and loan servicing.</w:t>
      </w:r>
    </w:p>
    <w:p w:rsidR="008A4BB0" w:rsidRPr="008A4BB0" w:rsidRDefault="008A4BB0" w:rsidP="008A4BB0">
      <w:pPr>
        <w:pStyle w:val="ListParagraph"/>
        <w:numPr>
          <w:ilvl w:val="0"/>
          <w:numId w:val="11"/>
        </w:numPr>
        <w:rPr>
          <w:rFonts w:ascii="Arial" w:hAnsi="Arial" w:cs="Arial"/>
          <w:sz w:val="24"/>
          <w:szCs w:val="24"/>
        </w:rPr>
      </w:pPr>
      <w:r w:rsidRPr="008A4BB0">
        <w:rPr>
          <w:rFonts w:ascii="Arial" w:hAnsi="Arial" w:cs="Arial"/>
          <w:sz w:val="24"/>
          <w:szCs w:val="24"/>
        </w:rPr>
        <w:t>Service Charges: divided into eligible and ineligible categories based on Housing Benefit rules. These may include utility costs, communal services, and support functions.</w:t>
      </w:r>
    </w:p>
    <w:p w:rsidR="00F309C1" w:rsidRPr="008A4BB0" w:rsidRDefault="008A4BB0" w:rsidP="008A4BB0">
      <w:pPr>
        <w:pStyle w:val="ListParagraph"/>
        <w:numPr>
          <w:ilvl w:val="0"/>
          <w:numId w:val="11"/>
        </w:numPr>
        <w:rPr>
          <w:rFonts w:ascii="Arial" w:hAnsi="Arial" w:cs="Arial"/>
          <w:sz w:val="24"/>
          <w:szCs w:val="24"/>
        </w:rPr>
      </w:pPr>
      <w:r w:rsidRPr="008A4BB0">
        <w:rPr>
          <w:rFonts w:ascii="Arial" w:hAnsi="Arial" w:cs="Arial"/>
          <w:sz w:val="24"/>
          <w:szCs w:val="24"/>
        </w:rPr>
        <w:t>Other Charges: such as meals, Council Tax, and personal services where applicable.</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5. Rent Reviews and Increases</w:t>
      </w:r>
    </w:p>
    <w:p w:rsidR="008A4BB0" w:rsidRDefault="008A4BB0" w:rsidP="008A4BB0">
      <w:pPr>
        <w:pStyle w:val="ListParagraph"/>
        <w:numPr>
          <w:ilvl w:val="0"/>
          <w:numId w:val="12"/>
        </w:numPr>
        <w:rPr>
          <w:rFonts w:ascii="Arial" w:hAnsi="Arial" w:cs="Arial"/>
          <w:sz w:val="24"/>
          <w:szCs w:val="24"/>
        </w:rPr>
      </w:pPr>
      <w:r w:rsidRPr="008A4BB0">
        <w:rPr>
          <w:rFonts w:ascii="Arial" w:hAnsi="Arial" w:cs="Arial"/>
          <w:sz w:val="24"/>
          <w:szCs w:val="24"/>
        </w:rPr>
        <w:t>Rents are normally reviewed annually with reference to inflation, market comparisons, and operating costs.</w:t>
      </w:r>
    </w:p>
    <w:p w:rsidR="00F309C1" w:rsidRPr="008A4BB0" w:rsidRDefault="008A4BB0" w:rsidP="008A4BB0">
      <w:pPr>
        <w:pStyle w:val="ListParagraph"/>
        <w:numPr>
          <w:ilvl w:val="0"/>
          <w:numId w:val="12"/>
        </w:numPr>
        <w:rPr>
          <w:rFonts w:ascii="Arial" w:hAnsi="Arial" w:cs="Arial"/>
          <w:sz w:val="24"/>
          <w:szCs w:val="24"/>
        </w:rPr>
      </w:pPr>
      <w:r w:rsidRPr="008A4BB0">
        <w:rPr>
          <w:rFonts w:ascii="Arial" w:hAnsi="Arial" w:cs="Arial"/>
          <w:sz w:val="24"/>
          <w:szCs w:val="24"/>
        </w:rPr>
        <w:lastRenderedPageBreak/>
        <w:t>Any changes will be communicated clearly in writing with a minimum of 28 days’ notice.</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6. Affordability and Support</w:t>
      </w:r>
    </w:p>
    <w:p w:rsidR="00F309C1" w:rsidRPr="008A4BB0" w:rsidRDefault="008A4BB0" w:rsidP="008A4BB0">
      <w:pPr>
        <w:jc w:val="both"/>
        <w:rPr>
          <w:rFonts w:ascii="Arial" w:hAnsi="Arial" w:cs="Arial"/>
          <w:sz w:val="24"/>
          <w:szCs w:val="24"/>
        </w:rPr>
      </w:pPr>
      <w:r w:rsidRPr="008A4BB0">
        <w:rPr>
          <w:rFonts w:ascii="Arial" w:hAnsi="Arial" w:cs="Arial"/>
          <w:sz w:val="24"/>
          <w:szCs w:val="24"/>
        </w:rPr>
        <w:t>The society is committed to keeping rents affordable. Residents will be signposted to relevant benefits or support if affordability is an issue. Where applicable, the society will support Housing Benefit applications.</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7. Governance and Oversight</w:t>
      </w:r>
    </w:p>
    <w:p w:rsidR="008A4BB0" w:rsidRDefault="008A4BB0" w:rsidP="008A4BB0">
      <w:pPr>
        <w:pStyle w:val="ListParagraph"/>
        <w:numPr>
          <w:ilvl w:val="0"/>
          <w:numId w:val="13"/>
        </w:numPr>
        <w:rPr>
          <w:rFonts w:ascii="Arial" w:hAnsi="Arial" w:cs="Arial"/>
          <w:sz w:val="24"/>
          <w:szCs w:val="24"/>
        </w:rPr>
      </w:pPr>
      <w:r w:rsidRPr="008A4BB0">
        <w:rPr>
          <w:rFonts w:ascii="Arial" w:hAnsi="Arial" w:cs="Arial"/>
          <w:sz w:val="24"/>
          <w:szCs w:val="24"/>
        </w:rPr>
        <w:t>Rent-setting decisions are overseen by the Board of Trustees.</w:t>
      </w:r>
    </w:p>
    <w:p w:rsidR="008A4BB0" w:rsidRDefault="008A4BB0" w:rsidP="008A4BB0">
      <w:pPr>
        <w:pStyle w:val="ListParagraph"/>
        <w:numPr>
          <w:ilvl w:val="0"/>
          <w:numId w:val="13"/>
        </w:numPr>
        <w:rPr>
          <w:rFonts w:ascii="Arial" w:hAnsi="Arial" w:cs="Arial"/>
          <w:sz w:val="24"/>
          <w:szCs w:val="24"/>
        </w:rPr>
      </w:pPr>
      <w:r w:rsidRPr="008A4BB0">
        <w:rPr>
          <w:rFonts w:ascii="Arial" w:hAnsi="Arial" w:cs="Arial"/>
          <w:sz w:val="24"/>
          <w:szCs w:val="24"/>
        </w:rPr>
        <w:t>A transparent audit trail will be maintained to support the rationale for changes.</w:t>
      </w:r>
    </w:p>
    <w:p w:rsidR="00F309C1" w:rsidRPr="008A4BB0" w:rsidRDefault="008A4BB0" w:rsidP="008A4BB0">
      <w:pPr>
        <w:pStyle w:val="ListParagraph"/>
        <w:numPr>
          <w:ilvl w:val="0"/>
          <w:numId w:val="13"/>
        </w:numPr>
        <w:rPr>
          <w:rFonts w:ascii="Arial" w:hAnsi="Arial" w:cs="Arial"/>
          <w:sz w:val="24"/>
          <w:szCs w:val="24"/>
        </w:rPr>
      </w:pPr>
      <w:r w:rsidRPr="008A4BB0">
        <w:rPr>
          <w:rFonts w:ascii="Arial" w:hAnsi="Arial" w:cs="Arial"/>
          <w:sz w:val="24"/>
          <w:szCs w:val="24"/>
        </w:rPr>
        <w:t>The society’s rent policy aligns with relevant regulatory standards including the Regulator of Social Housing’s value for money principles.</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8. Policy Review</w:t>
      </w:r>
    </w:p>
    <w:p w:rsidR="008A4BB0" w:rsidRDefault="008A4BB0" w:rsidP="008A4BB0">
      <w:pPr>
        <w:jc w:val="both"/>
      </w:pPr>
      <w:r w:rsidRPr="008A4BB0">
        <w:rPr>
          <w:rFonts w:ascii="Arial" w:hAnsi="Arial" w:cs="Arial"/>
          <w:sz w:val="24"/>
          <w:szCs w:val="24"/>
        </w:rPr>
        <w:t>This policy will be reviewed annually or sooner if there is a significant change in legislation, housing regulations, or the society’s operational environment.</w:t>
      </w:r>
    </w:p>
    <w:sectPr w:rsidR="008A4BB0"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4CF05412"/>
    <w:multiLevelType w:val="hybridMultilevel"/>
    <w:tmpl w:val="F968D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23C0B50"/>
    <w:multiLevelType w:val="hybridMultilevel"/>
    <w:tmpl w:val="4A10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3E536A5"/>
    <w:multiLevelType w:val="hybridMultilevel"/>
    <w:tmpl w:val="48E6E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7C3137E"/>
    <w:multiLevelType w:val="hybridMultilevel"/>
    <w:tmpl w:val="F5AED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3F19CE"/>
    <w:rsid w:val="00455BFB"/>
    <w:rsid w:val="0073070E"/>
    <w:rsid w:val="008A4BB0"/>
    <w:rsid w:val="00AA1D8D"/>
    <w:rsid w:val="00B47730"/>
    <w:rsid w:val="00CB0664"/>
    <w:rsid w:val="00F309C1"/>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F1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2</cp:revision>
  <dcterms:created xsi:type="dcterms:W3CDTF">2025-07-16T13:01:00Z</dcterms:created>
  <dcterms:modified xsi:type="dcterms:W3CDTF">2025-07-16T13:01:00Z</dcterms:modified>
</cp:coreProperties>
</file>