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1" w:rsidRDefault="008A4BB0">
      <w:r>
        <w:rPr>
          <w:noProof/>
          <w:lang w:val="en-GB" w:eastAsia="en-GB"/>
        </w:rPr>
        <w:drawing>
          <wp:inline distT="0" distB="0" distL="0" distR="0">
            <wp:extent cx="1828800" cy="703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 Logo.jpg"/>
                    <pic:cNvPicPr/>
                  </pic:nvPicPr>
                  <pic:blipFill>
                    <a:blip r:embed="rId6"/>
                    <a:stretch>
                      <a:fillRect/>
                    </a:stretch>
                  </pic:blipFill>
                  <pic:spPr>
                    <a:xfrm>
                      <a:off x="0" y="0"/>
                      <a:ext cx="1828800" cy="703653"/>
                    </a:xfrm>
                    <a:prstGeom prst="rect">
                      <a:avLst/>
                    </a:prstGeom>
                  </pic:spPr>
                </pic:pic>
              </a:graphicData>
            </a:graphic>
          </wp:inline>
        </w:drawing>
      </w:r>
    </w:p>
    <w:tbl>
      <w:tblPr>
        <w:tblStyle w:val="TableGrid"/>
        <w:tblW w:w="0" w:type="auto"/>
        <w:tblLook w:val="04A0"/>
      </w:tblPr>
      <w:tblGrid>
        <w:gridCol w:w="4320"/>
        <w:gridCol w:w="4320"/>
      </w:tblGrid>
      <w:tr w:rsidR="008A4BB0" w:rsidTr="00C10ACE">
        <w:tc>
          <w:tcPr>
            <w:tcW w:w="4320" w:type="dxa"/>
          </w:tcPr>
          <w:p w:rsidR="008A4BB0" w:rsidRDefault="008A4BB0" w:rsidP="00C10ACE">
            <w:r>
              <w:t>Policy Title</w:t>
            </w:r>
          </w:p>
        </w:tc>
        <w:tc>
          <w:tcPr>
            <w:tcW w:w="4320" w:type="dxa"/>
          </w:tcPr>
          <w:p w:rsidR="008A4BB0" w:rsidRDefault="008A4BB0" w:rsidP="00C10ACE">
            <w:r>
              <w:t>Marketing, PR, Advertising &amp; Digital Media Policy</w:t>
            </w:r>
          </w:p>
        </w:tc>
      </w:tr>
      <w:tr w:rsidR="008A4BB0" w:rsidTr="00C10ACE">
        <w:tc>
          <w:tcPr>
            <w:tcW w:w="4320" w:type="dxa"/>
          </w:tcPr>
          <w:p w:rsidR="008A4BB0" w:rsidRDefault="008A4BB0" w:rsidP="00C10ACE">
            <w:r>
              <w:t>Version</w:t>
            </w:r>
          </w:p>
        </w:tc>
        <w:tc>
          <w:tcPr>
            <w:tcW w:w="4320" w:type="dxa"/>
          </w:tcPr>
          <w:p w:rsidR="008A4BB0" w:rsidRDefault="008A4BB0" w:rsidP="00C10ACE">
            <w:r>
              <w:t>1.0</w:t>
            </w:r>
          </w:p>
        </w:tc>
      </w:tr>
      <w:tr w:rsidR="008A4BB0" w:rsidTr="00C10ACE">
        <w:tc>
          <w:tcPr>
            <w:tcW w:w="4320" w:type="dxa"/>
          </w:tcPr>
          <w:p w:rsidR="008A4BB0" w:rsidRDefault="008A4BB0" w:rsidP="00C10ACE">
            <w:r>
              <w:t>Date of Issue</w:t>
            </w:r>
          </w:p>
        </w:tc>
        <w:tc>
          <w:tcPr>
            <w:tcW w:w="4320" w:type="dxa"/>
          </w:tcPr>
          <w:p w:rsidR="008A4BB0" w:rsidRPr="00EE6335" w:rsidRDefault="00EE6335" w:rsidP="00C10ACE">
            <w:r w:rsidRPr="00EE6335">
              <w:t>16 July 2025</w:t>
            </w:r>
          </w:p>
        </w:tc>
      </w:tr>
      <w:tr w:rsidR="008A4BB0" w:rsidTr="00C10ACE">
        <w:tc>
          <w:tcPr>
            <w:tcW w:w="4320" w:type="dxa"/>
          </w:tcPr>
          <w:p w:rsidR="008A4BB0" w:rsidRDefault="008A4BB0" w:rsidP="00C10ACE">
            <w:r>
              <w:t>Next Review Date</w:t>
            </w:r>
          </w:p>
        </w:tc>
        <w:tc>
          <w:tcPr>
            <w:tcW w:w="4320" w:type="dxa"/>
          </w:tcPr>
          <w:p w:rsidR="008A4BB0" w:rsidRPr="00EE6335" w:rsidRDefault="00EE6335" w:rsidP="00EE6335">
            <w:r w:rsidRPr="00EE6335">
              <w:t>16 July 2025</w:t>
            </w:r>
          </w:p>
        </w:tc>
      </w:tr>
    </w:tbl>
    <w:p w:rsidR="00F309C1" w:rsidRPr="008A4BB0" w:rsidRDefault="008A4BB0">
      <w:pPr>
        <w:pStyle w:val="Heading1"/>
        <w:rPr>
          <w:rFonts w:ascii="Arial" w:hAnsi="Arial" w:cs="Arial"/>
          <w:color w:val="auto"/>
          <w:sz w:val="24"/>
          <w:szCs w:val="24"/>
        </w:rPr>
      </w:pPr>
      <w:r w:rsidRPr="008A4BB0">
        <w:rPr>
          <w:rFonts w:ascii="Arial" w:hAnsi="Arial" w:cs="Arial"/>
          <w:color w:val="auto"/>
          <w:sz w:val="24"/>
          <w:szCs w:val="24"/>
        </w:rPr>
        <w:t>Marketing, PR, Advertising &amp; Digital Media Policy</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Section 1: Policy Framework</w:t>
      </w:r>
    </w:p>
    <w:p w:rsidR="00F309C1" w:rsidRPr="008A4BB0" w:rsidRDefault="008A4BB0">
      <w:pPr>
        <w:pStyle w:val="Heading3"/>
        <w:rPr>
          <w:rFonts w:ascii="Arial" w:hAnsi="Arial" w:cs="Arial"/>
          <w:color w:val="auto"/>
          <w:sz w:val="24"/>
          <w:szCs w:val="24"/>
        </w:rPr>
      </w:pPr>
      <w:r w:rsidRPr="008A4BB0">
        <w:rPr>
          <w:rFonts w:ascii="Arial" w:hAnsi="Arial" w:cs="Arial"/>
          <w:color w:val="auto"/>
          <w:sz w:val="24"/>
          <w:szCs w:val="24"/>
        </w:rPr>
        <w:t>1.1 Purpose</w:t>
      </w:r>
    </w:p>
    <w:p w:rsidR="00F309C1" w:rsidRPr="008A4BB0" w:rsidRDefault="008A4BB0" w:rsidP="008A4BB0">
      <w:pPr>
        <w:jc w:val="both"/>
        <w:rPr>
          <w:rFonts w:cs="Arial"/>
          <w:sz w:val="24"/>
          <w:szCs w:val="24"/>
        </w:rPr>
      </w:pPr>
      <w:r w:rsidRPr="008A4BB0">
        <w:rPr>
          <w:rFonts w:cs="Arial"/>
          <w:sz w:val="24"/>
          <w:szCs w:val="24"/>
        </w:rPr>
        <w:t xml:space="preserve">This policy sets out </w:t>
      </w:r>
      <w:r w:rsidR="00EE6335">
        <w:rPr>
          <w:rFonts w:cs="Arial"/>
          <w:sz w:val="24"/>
          <w:szCs w:val="24"/>
        </w:rPr>
        <w:t xml:space="preserve">the </w:t>
      </w:r>
      <w:r w:rsidRPr="008A4BB0">
        <w:rPr>
          <w:rFonts w:cs="Arial"/>
          <w:sz w:val="24"/>
          <w:szCs w:val="24"/>
        </w:rPr>
        <w:t xml:space="preserve">Abbeyfield </w:t>
      </w:r>
      <w:proofErr w:type="spellStart"/>
      <w:r w:rsidR="00EE6335">
        <w:rPr>
          <w:rFonts w:cs="Arial"/>
          <w:sz w:val="24"/>
          <w:szCs w:val="24"/>
        </w:rPr>
        <w:t>Dulwich</w:t>
      </w:r>
      <w:proofErr w:type="spellEnd"/>
      <w:r w:rsidR="00EE6335">
        <w:rPr>
          <w:rFonts w:cs="Arial"/>
          <w:sz w:val="24"/>
          <w:szCs w:val="24"/>
        </w:rPr>
        <w:t xml:space="preserve"> Society Limited (The)</w:t>
      </w:r>
      <w:r w:rsidRPr="008A4BB0">
        <w:rPr>
          <w:rFonts w:cs="Arial"/>
          <w:sz w:val="24"/>
          <w:szCs w:val="24"/>
        </w:rPr>
        <w:t xml:space="preserve"> approach to using marketing, PR, social media and digital platforms in a way that is ethical, safe, legally compliant, and aligned with the Abbeyfield brand.</w:t>
      </w:r>
    </w:p>
    <w:p w:rsidR="00F309C1" w:rsidRPr="008A4BB0" w:rsidRDefault="008A4BB0">
      <w:pPr>
        <w:pStyle w:val="Heading3"/>
        <w:rPr>
          <w:rFonts w:ascii="Arial" w:hAnsi="Arial" w:cs="Arial"/>
          <w:color w:val="auto"/>
          <w:sz w:val="24"/>
          <w:szCs w:val="24"/>
        </w:rPr>
      </w:pPr>
      <w:r w:rsidRPr="008A4BB0">
        <w:rPr>
          <w:rFonts w:ascii="Arial" w:hAnsi="Arial" w:cs="Arial"/>
          <w:color w:val="auto"/>
          <w:sz w:val="24"/>
          <w:szCs w:val="24"/>
        </w:rPr>
        <w:t>1.2 Scope</w:t>
      </w:r>
    </w:p>
    <w:p w:rsidR="00F309C1" w:rsidRPr="008A4BB0" w:rsidRDefault="008A4BB0" w:rsidP="008A4BB0">
      <w:pPr>
        <w:jc w:val="both"/>
        <w:rPr>
          <w:rFonts w:cs="Arial"/>
          <w:sz w:val="24"/>
          <w:szCs w:val="24"/>
        </w:rPr>
      </w:pPr>
      <w:r w:rsidRPr="008A4BB0">
        <w:rPr>
          <w:rFonts w:cs="Arial"/>
          <w:sz w:val="24"/>
          <w:szCs w:val="24"/>
        </w:rPr>
        <w:t>This policy applies to all online and offline promotional content created by or on behalf of the society. It includes websites, social media, advertising, event promotion, email marketing, and branded materials.</w:t>
      </w:r>
    </w:p>
    <w:p w:rsidR="00F309C1" w:rsidRPr="008A4BB0" w:rsidRDefault="008A4BB0">
      <w:pPr>
        <w:pStyle w:val="Heading3"/>
        <w:rPr>
          <w:rFonts w:ascii="Arial" w:hAnsi="Arial" w:cs="Arial"/>
          <w:color w:val="auto"/>
          <w:sz w:val="24"/>
          <w:szCs w:val="24"/>
        </w:rPr>
      </w:pPr>
      <w:r w:rsidRPr="008A4BB0">
        <w:rPr>
          <w:rFonts w:ascii="Arial" w:hAnsi="Arial" w:cs="Arial"/>
          <w:color w:val="auto"/>
          <w:sz w:val="24"/>
          <w:szCs w:val="24"/>
        </w:rPr>
        <w:t>1.3 Branding and Reputation</w:t>
      </w:r>
    </w:p>
    <w:p w:rsidR="00F309C1" w:rsidRPr="008A4BB0" w:rsidRDefault="008A4BB0" w:rsidP="008A4BB0">
      <w:pPr>
        <w:jc w:val="both"/>
        <w:rPr>
          <w:rFonts w:cs="Arial"/>
          <w:sz w:val="24"/>
          <w:szCs w:val="24"/>
        </w:rPr>
      </w:pPr>
      <w:r w:rsidRPr="008A4BB0">
        <w:rPr>
          <w:rFonts w:cs="Arial"/>
          <w:sz w:val="24"/>
          <w:szCs w:val="24"/>
        </w:rPr>
        <w:t xml:space="preserve">The Abbeyfield brand must be used consistently and with care. Logos, templates, and style guidance must follow materials available via Abbeyfield Connect. All use of the brand reflects on the national Abbeyfield </w:t>
      </w:r>
      <w:r>
        <w:rPr>
          <w:rFonts w:cs="Arial"/>
          <w:sz w:val="24"/>
          <w:szCs w:val="24"/>
        </w:rPr>
        <w:t>family</w:t>
      </w:r>
      <w:r w:rsidRPr="008A4BB0">
        <w:rPr>
          <w:rFonts w:cs="Arial"/>
          <w:sz w:val="24"/>
          <w:szCs w:val="24"/>
        </w:rPr>
        <w:t>.</w:t>
      </w:r>
    </w:p>
    <w:p w:rsidR="00F309C1" w:rsidRPr="008A4BB0" w:rsidRDefault="008A4BB0">
      <w:pPr>
        <w:pStyle w:val="Heading3"/>
        <w:rPr>
          <w:rFonts w:ascii="Arial" w:hAnsi="Arial" w:cs="Arial"/>
          <w:color w:val="auto"/>
          <w:sz w:val="24"/>
          <w:szCs w:val="24"/>
        </w:rPr>
      </w:pPr>
      <w:r w:rsidRPr="008A4BB0">
        <w:rPr>
          <w:rFonts w:ascii="Arial" w:hAnsi="Arial" w:cs="Arial"/>
          <w:color w:val="auto"/>
          <w:sz w:val="24"/>
          <w:szCs w:val="24"/>
        </w:rPr>
        <w:t>1.4 Legal and Regulatory Compliance</w:t>
      </w:r>
    </w:p>
    <w:p w:rsidR="00F309C1" w:rsidRPr="008A4BB0" w:rsidRDefault="008A4BB0" w:rsidP="008A4BB0">
      <w:pPr>
        <w:jc w:val="both"/>
        <w:rPr>
          <w:rFonts w:cs="Arial"/>
          <w:sz w:val="24"/>
          <w:szCs w:val="24"/>
        </w:rPr>
      </w:pPr>
      <w:r w:rsidRPr="008A4BB0">
        <w:rPr>
          <w:rFonts w:cs="Arial"/>
          <w:sz w:val="24"/>
          <w:szCs w:val="24"/>
        </w:rPr>
        <w:t>All digital media activity must comply with relevant laws (e.g., GDPR, copyright, fundraising regulations) and policies such as safeguarding, privacy, and equality.</w:t>
      </w:r>
    </w:p>
    <w:p w:rsidR="00F309C1" w:rsidRPr="008A4BB0" w:rsidRDefault="008A4BB0">
      <w:pPr>
        <w:pStyle w:val="Heading3"/>
        <w:rPr>
          <w:rFonts w:ascii="Arial" w:hAnsi="Arial" w:cs="Arial"/>
          <w:color w:val="auto"/>
          <w:sz w:val="24"/>
          <w:szCs w:val="24"/>
        </w:rPr>
      </w:pPr>
      <w:r w:rsidRPr="008A4BB0">
        <w:rPr>
          <w:rFonts w:ascii="Arial" w:hAnsi="Arial" w:cs="Arial"/>
          <w:color w:val="auto"/>
          <w:sz w:val="24"/>
          <w:szCs w:val="24"/>
        </w:rPr>
        <w:t>1.5 Risk Management and Escalation</w:t>
      </w:r>
    </w:p>
    <w:p w:rsidR="00F309C1" w:rsidRPr="008A4BB0" w:rsidRDefault="008A4BB0" w:rsidP="008A4BB0">
      <w:pPr>
        <w:jc w:val="both"/>
        <w:rPr>
          <w:rFonts w:cs="Arial"/>
          <w:sz w:val="24"/>
          <w:szCs w:val="24"/>
        </w:rPr>
      </w:pPr>
      <w:r w:rsidRPr="008A4BB0">
        <w:rPr>
          <w:rFonts w:cs="Arial"/>
          <w:sz w:val="24"/>
          <w:szCs w:val="24"/>
        </w:rPr>
        <w:t>If any post, content or digital activity might generate significant media, reputational or safeguarding risk, it must be escalated to Abbeyfield England immediately for coordinated response planning.</w:t>
      </w:r>
    </w:p>
    <w:p w:rsidR="00F309C1" w:rsidRPr="008A4BB0" w:rsidRDefault="008A4BB0">
      <w:pPr>
        <w:pStyle w:val="Heading3"/>
        <w:rPr>
          <w:rFonts w:ascii="Arial" w:hAnsi="Arial" w:cs="Arial"/>
          <w:color w:val="auto"/>
          <w:sz w:val="24"/>
          <w:szCs w:val="24"/>
        </w:rPr>
      </w:pPr>
      <w:r w:rsidRPr="008A4BB0">
        <w:rPr>
          <w:rFonts w:ascii="Arial" w:hAnsi="Arial" w:cs="Arial"/>
          <w:color w:val="auto"/>
          <w:sz w:val="24"/>
          <w:szCs w:val="24"/>
        </w:rPr>
        <w:t>1.6 Policy Review</w:t>
      </w:r>
    </w:p>
    <w:p w:rsidR="00F309C1" w:rsidRPr="008A4BB0" w:rsidRDefault="008A4BB0" w:rsidP="008A4BB0">
      <w:pPr>
        <w:jc w:val="both"/>
        <w:rPr>
          <w:rFonts w:cs="Arial"/>
          <w:sz w:val="24"/>
          <w:szCs w:val="24"/>
        </w:rPr>
      </w:pPr>
      <w:r w:rsidRPr="008A4BB0">
        <w:rPr>
          <w:rFonts w:cs="Arial"/>
          <w:sz w:val="24"/>
          <w:szCs w:val="24"/>
        </w:rPr>
        <w:t xml:space="preserve">This policy is reviewed annually or in response to major incidents, regulatory updates, or changes in national Abbeyfield </w:t>
      </w:r>
      <w:r>
        <w:rPr>
          <w:rFonts w:cs="Arial"/>
          <w:sz w:val="24"/>
          <w:szCs w:val="24"/>
        </w:rPr>
        <w:t xml:space="preserve">England </w:t>
      </w:r>
      <w:r w:rsidRPr="008A4BB0">
        <w:rPr>
          <w:rFonts w:cs="Arial"/>
          <w:sz w:val="24"/>
          <w:szCs w:val="24"/>
        </w:rPr>
        <w:t>digital strategy.</w:t>
      </w:r>
    </w:p>
    <w:p w:rsidR="008A4BB0" w:rsidRPr="008A4BB0" w:rsidRDefault="008A4BB0">
      <w:pPr>
        <w:rPr>
          <w:rFonts w:cs="Arial"/>
          <w:sz w:val="24"/>
          <w:szCs w:val="24"/>
        </w:rPr>
      </w:pPr>
    </w:p>
    <w:sectPr w:rsidR="008A4BB0" w:rsidRPr="008A4BB0"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455BFB"/>
    <w:rsid w:val="008A4BB0"/>
    <w:rsid w:val="00AA1D8D"/>
    <w:rsid w:val="00B47730"/>
    <w:rsid w:val="00CB0664"/>
    <w:rsid w:val="00DA2B4E"/>
    <w:rsid w:val="00EE6335"/>
    <w:rsid w:val="00F309C1"/>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E6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2</cp:revision>
  <dcterms:created xsi:type="dcterms:W3CDTF">2025-07-16T12:55:00Z</dcterms:created>
  <dcterms:modified xsi:type="dcterms:W3CDTF">2025-07-16T12:55:00Z</dcterms:modified>
</cp:coreProperties>
</file>