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1" w:rsidRDefault="008A4BB0">
      <w:r>
        <w:rPr>
          <w:noProof/>
          <w:lang w:val="en-GB" w:eastAsia="en-GB"/>
        </w:rPr>
        <w:drawing>
          <wp:inline distT="0" distB="0" distL="0" distR="0">
            <wp:extent cx="1828800" cy="7036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A4BB0" w:rsidTr="00893091">
        <w:tc>
          <w:tcPr>
            <w:tcW w:w="4320" w:type="dxa"/>
          </w:tcPr>
          <w:p w:rsidR="008A4BB0" w:rsidRDefault="008A4BB0" w:rsidP="00893091">
            <w:r>
              <w:t>Policy Title</w:t>
            </w:r>
          </w:p>
        </w:tc>
        <w:tc>
          <w:tcPr>
            <w:tcW w:w="4320" w:type="dxa"/>
          </w:tcPr>
          <w:p w:rsidR="008A4BB0" w:rsidRDefault="008A4BB0" w:rsidP="00893091">
            <w:r>
              <w:t>Whistleblowing Policy</w:t>
            </w:r>
          </w:p>
        </w:tc>
      </w:tr>
      <w:tr w:rsidR="008A4BB0" w:rsidTr="00893091">
        <w:tc>
          <w:tcPr>
            <w:tcW w:w="4320" w:type="dxa"/>
          </w:tcPr>
          <w:p w:rsidR="008A4BB0" w:rsidRDefault="008A4BB0" w:rsidP="00893091">
            <w:r>
              <w:t>Version</w:t>
            </w:r>
          </w:p>
        </w:tc>
        <w:tc>
          <w:tcPr>
            <w:tcW w:w="4320" w:type="dxa"/>
          </w:tcPr>
          <w:p w:rsidR="008A4BB0" w:rsidRDefault="008A4BB0" w:rsidP="00893091">
            <w:r>
              <w:t>1.0</w:t>
            </w:r>
          </w:p>
        </w:tc>
      </w:tr>
      <w:tr w:rsidR="008A4BB0" w:rsidTr="00893091">
        <w:tc>
          <w:tcPr>
            <w:tcW w:w="4320" w:type="dxa"/>
          </w:tcPr>
          <w:p w:rsidR="008A4BB0" w:rsidRDefault="008A4BB0" w:rsidP="00893091">
            <w:r>
              <w:t>Date of Issue</w:t>
            </w:r>
          </w:p>
        </w:tc>
        <w:tc>
          <w:tcPr>
            <w:tcW w:w="4320" w:type="dxa"/>
          </w:tcPr>
          <w:p w:rsidR="008A4BB0" w:rsidRPr="008A4BB0" w:rsidRDefault="00942ABF" w:rsidP="00893091">
            <w:pPr>
              <w:rPr>
                <w:highlight w:val="yellow"/>
              </w:rPr>
            </w:pPr>
            <w:r>
              <w:rPr>
                <w:highlight w:val="yellow"/>
              </w:rPr>
              <w:t>July</w:t>
            </w:r>
            <w:r w:rsidR="008A4BB0" w:rsidRPr="008A4BB0">
              <w:rPr>
                <w:highlight w:val="yellow"/>
              </w:rPr>
              <w:t xml:space="preserve"> 2025</w:t>
            </w:r>
          </w:p>
        </w:tc>
      </w:tr>
      <w:tr w:rsidR="008A4BB0" w:rsidTr="00893091">
        <w:tc>
          <w:tcPr>
            <w:tcW w:w="4320" w:type="dxa"/>
          </w:tcPr>
          <w:p w:rsidR="008A4BB0" w:rsidRDefault="008A4BB0" w:rsidP="00893091">
            <w:r>
              <w:t>Next Review Date</w:t>
            </w:r>
          </w:p>
        </w:tc>
        <w:tc>
          <w:tcPr>
            <w:tcW w:w="4320" w:type="dxa"/>
          </w:tcPr>
          <w:p w:rsidR="008A4BB0" w:rsidRPr="008A4BB0" w:rsidRDefault="00942ABF" w:rsidP="00893091">
            <w:pPr>
              <w:rPr>
                <w:highlight w:val="yellow"/>
              </w:rPr>
            </w:pPr>
            <w:r>
              <w:rPr>
                <w:highlight w:val="yellow"/>
              </w:rPr>
              <w:t>July</w:t>
            </w:r>
            <w:r w:rsidR="008A4BB0" w:rsidRPr="008A4BB0">
              <w:rPr>
                <w:highlight w:val="yellow"/>
              </w:rPr>
              <w:t xml:space="preserve"> 2026</w:t>
            </w:r>
          </w:p>
        </w:tc>
      </w:tr>
    </w:tbl>
    <w:p w:rsidR="00F309C1" w:rsidRPr="008A4BB0" w:rsidRDefault="008A4BB0" w:rsidP="008A4BB0">
      <w:pPr>
        <w:pStyle w:val="Heading1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Whistleblowing Policy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1. Purpose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proofErr w:type="spellStart"/>
      <w:r w:rsidRPr="008A4BB0">
        <w:rPr>
          <w:rFonts w:cs="Arial"/>
          <w:sz w:val="24"/>
          <w:szCs w:val="24"/>
        </w:rPr>
        <w:t>Abbeyfield</w:t>
      </w:r>
      <w:proofErr w:type="spellEnd"/>
      <w:r w:rsidRPr="008A4BB0">
        <w:rPr>
          <w:rFonts w:cs="Arial"/>
          <w:sz w:val="24"/>
          <w:szCs w:val="24"/>
        </w:rPr>
        <w:t xml:space="preserve"> </w:t>
      </w:r>
      <w:proofErr w:type="spellStart"/>
      <w:r w:rsidR="00942ABF">
        <w:rPr>
          <w:rFonts w:cs="Arial"/>
          <w:sz w:val="24"/>
          <w:szCs w:val="24"/>
        </w:rPr>
        <w:t>Dulwich</w:t>
      </w:r>
      <w:proofErr w:type="spellEnd"/>
      <w:r w:rsidR="00942ABF">
        <w:rPr>
          <w:rFonts w:cs="Arial"/>
          <w:sz w:val="24"/>
          <w:szCs w:val="24"/>
        </w:rPr>
        <w:t xml:space="preserve"> Society Limited (The)</w:t>
      </w:r>
      <w:r w:rsidRPr="008A4BB0">
        <w:rPr>
          <w:rFonts w:cs="Arial"/>
          <w:sz w:val="24"/>
          <w:szCs w:val="24"/>
        </w:rPr>
        <w:t xml:space="preserve"> is committed to the highest standards of openness, accountability and integrity. This policy outlines the process for employees, trustees and volunteers to raise genuine concerns about possible wrongdoing.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2. Scope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 xml:space="preserve">This policy applies to all employees, trustees, volunteers, contractors and others working on behalf of </w:t>
      </w:r>
      <w:proofErr w:type="spellStart"/>
      <w:r w:rsidRPr="008A4BB0">
        <w:rPr>
          <w:rFonts w:cs="Arial"/>
          <w:sz w:val="24"/>
          <w:szCs w:val="24"/>
        </w:rPr>
        <w:t>Abbeyfield</w:t>
      </w:r>
      <w:proofErr w:type="spellEnd"/>
      <w:r w:rsidRPr="008A4BB0">
        <w:rPr>
          <w:rFonts w:cs="Arial"/>
          <w:sz w:val="24"/>
          <w:szCs w:val="24"/>
        </w:rPr>
        <w:t xml:space="preserve"> </w:t>
      </w:r>
      <w:proofErr w:type="spellStart"/>
      <w:r w:rsidR="00942ABF">
        <w:rPr>
          <w:rFonts w:cs="Arial"/>
          <w:sz w:val="24"/>
          <w:szCs w:val="24"/>
        </w:rPr>
        <w:t>Dulwich</w:t>
      </w:r>
      <w:proofErr w:type="spellEnd"/>
      <w:r w:rsidR="00942ABF">
        <w:rPr>
          <w:rFonts w:cs="Arial"/>
          <w:sz w:val="24"/>
          <w:szCs w:val="24"/>
        </w:rPr>
        <w:t xml:space="preserve"> Society Limited (The)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3. What is Whistleblowing?</w:t>
      </w:r>
    </w:p>
    <w:p w:rsidR="008A4BB0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Whistleblowing is the disclosure of information which relates to suspected wrongdoing or dangers at work. Disclosures may include: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Criminal offences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Miscarriages of justice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Breaches of legal obligations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Health and safety dangers</w:t>
      </w:r>
    </w:p>
    <w:p w:rsidR="00F309C1" w:rsidRP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Environmental damage</w:t>
      </w:r>
      <w:r w:rsidRPr="008A4BB0">
        <w:rPr>
          <w:rFonts w:cs="Arial"/>
          <w:sz w:val="24"/>
          <w:szCs w:val="24"/>
        </w:rPr>
        <w:br/>
        <w:t>Deliberate concealment of any of the above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4. Legal Protection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Under the Public Interest Disclosure Act 1998, individuals who make qualifying disclosures are protected from detriment or dismissal. Disclosures must be made in good faith and in the public interest.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5. Reporting Concerns Internally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Concerns should be raised with your line manager, another senior colleague, or a Trustee. Disclosures may be made verbally or in writing. No absolute proof is required, but the concern must be raised honestly and reasonably.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lastRenderedPageBreak/>
        <w:t>6. Reporting Concerns Externally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If internal reporting is not appropriate, you may contact an external prescribed person such as the Charity Commission or seek confidential advice from Protect (www.protect-advice.org.uk | 020 3117 2520).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7. Procedure Following a Report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We will acknowledge whistleblowing reports within 7 days and assess whether a full investigation is required. You will be kept informed of the outcome where possible, and your identity will be protected as far as is reasonable.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8. Protection and Confidentiality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proofErr w:type="spellStart"/>
      <w:r w:rsidRPr="008A4BB0">
        <w:rPr>
          <w:rFonts w:cs="Arial"/>
          <w:sz w:val="24"/>
          <w:szCs w:val="24"/>
        </w:rPr>
        <w:t>Abbeyfield</w:t>
      </w:r>
      <w:proofErr w:type="spellEnd"/>
      <w:r w:rsidRPr="008A4BB0">
        <w:rPr>
          <w:rFonts w:cs="Arial"/>
          <w:sz w:val="24"/>
          <w:szCs w:val="24"/>
        </w:rPr>
        <w:t xml:space="preserve"> </w:t>
      </w:r>
      <w:proofErr w:type="spellStart"/>
      <w:r w:rsidR="00942ABF">
        <w:rPr>
          <w:rFonts w:cs="Arial"/>
          <w:sz w:val="24"/>
          <w:szCs w:val="24"/>
        </w:rPr>
        <w:t>Dulwich</w:t>
      </w:r>
      <w:proofErr w:type="spellEnd"/>
      <w:r w:rsidR="00942ABF">
        <w:rPr>
          <w:rFonts w:cs="Arial"/>
          <w:sz w:val="24"/>
          <w:szCs w:val="24"/>
        </w:rPr>
        <w:t xml:space="preserve"> Society Limited (The)</w:t>
      </w:r>
      <w:r w:rsidRPr="008A4BB0">
        <w:rPr>
          <w:rFonts w:cs="Arial"/>
          <w:sz w:val="24"/>
          <w:szCs w:val="24"/>
        </w:rPr>
        <w:t xml:space="preserve"> will not tolerate any harassment or victimisation of whistleblowers. All concerns will be treated in confidence, and identities will not be disclosed without consent unless required by law.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9. False Allegations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Disciplinary action may be taken against anyone who makes allegations maliciously or for personal gain.</w:t>
      </w:r>
    </w:p>
    <w:p w:rsidR="00F309C1" w:rsidRPr="008A4BB0" w:rsidRDefault="008A4BB0" w:rsidP="008A4BB0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10. Review of the Policy</w:t>
      </w:r>
    </w:p>
    <w:p w:rsidR="008A4BB0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This policy will be reviewed annually by the Board of Trustees and updated as necessary to reflect best practice and legal requirements.</w:t>
      </w:r>
    </w:p>
    <w:sectPr w:rsidR="008A4BB0" w:rsidRPr="008A4B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D34E36"/>
    <w:multiLevelType w:val="hybridMultilevel"/>
    <w:tmpl w:val="8C32C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27582"/>
    <w:rsid w:val="00034616"/>
    <w:rsid w:val="0006063C"/>
    <w:rsid w:val="0015074B"/>
    <w:rsid w:val="0029639D"/>
    <w:rsid w:val="00326F90"/>
    <w:rsid w:val="00455BFB"/>
    <w:rsid w:val="008A4BB0"/>
    <w:rsid w:val="00942ABF"/>
    <w:rsid w:val="00AA1D8D"/>
    <w:rsid w:val="00B47730"/>
    <w:rsid w:val="00CB0664"/>
    <w:rsid w:val="00F309C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rogerhumbles@gmail.com</cp:lastModifiedBy>
  <cp:revision>2</cp:revision>
  <dcterms:created xsi:type="dcterms:W3CDTF">2025-07-19T07:11:00Z</dcterms:created>
  <dcterms:modified xsi:type="dcterms:W3CDTF">2025-07-19T07:11:00Z</dcterms:modified>
</cp:coreProperties>
</file>