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76AF6" w14:textId="2241C33B" w:rsidR="00185776" w:rsidRDefault="00000000">
      <w:pPr>
        <w:pStyle w:val="Title"/>
      </w:pPr>
      <w:r>
        <w:t>Companion Guide: Completing the CMS-1500 for Workers' Compensation Cases</w:t>
      </w:r>
      <w:r w:rsidR="006F5C08">
        <w:t xml:space="preserve"> for Billing</w:t>
      </w:r>
    </w:p>
    <w:p w14:paraId="6B6F29C5" w14:textId="77777777" w:rsidR="00185776" w:rsidRDefault="00000000">
      <w:pPr>
        <w:pStyle w:val="IntenseQuote"/>
      </w:pPr>
      <w:r>
        <w:t xml:space="preserve">This guide is designed for billing and administrative staff in an independent physician practice handling workers’ compensation </w:t>
      </w:r>
      <w:proofErr w:type="gramStart"/>
      <w:r>
        <w:t>claims</w:t>
      </w:r>
      <w:proofErr w:type="gramEnd"/>
      <w:r>
        <w:t>. It provides box-by-box instructions specific to WC billing.</w:t>
      </w:r>
    </w:p>
    <w:p w14:paraId="22A25292" w14:textId="77777777" w:rsidR="00185776" w:rsidRDefault="00000000">
      <w:pPr>
        <w:pStyle w:val="Heading2"/>
      </w:pPr>
      <w:r>
        <w:t>Box 1</w:t>
      </w:r>
    </w:p>
    <w:p w14:paraId="48466303" w14:textId="77777777" w:rsidR="00185776" w:rsidRDefault="00000000">
      <w:r>
        <w:t>Check ‘Other’ to indicate Workers’ Compensation insurance.</w:t>
      </w:r>
    </w:p>
    <w:p w14:paraId="4F5137DD" w14:textId="77777777" w:rsidR="00185776" w:rsidRDefault="00000000">
      <w:pPr>
        <w:pStyle w:val="Heading2"/>
      </w:pPr>
      <w:r>
        <w:t>Box 1a</w:t>
      </w:r>
    </w:p>
    <w:p w14:paraId="79D907F3" w14:textId="77777777" w:rsidR="00185776" w:rsidRDefault="00000000">
      <w:r>
        <w:t>Enter the WC Claim Number assigned by the carrier.</w:t>
      </w:r>
    </w:p>
    <w:p w14:paraId="16130059" w14:textId="77777777" w:rsidR="00185776" w:rsidRDefault="00000000">
      <w:pPr>
        <w:pStyle w:val="Heading2"/>
      </w:pPr>
      <w:r>
        <w:t>Box 2</w:t>
      </w:r>
    </w:p>
    <w:p w14:paraId="72010E9A" w14:textId="77777777" w:rsidR="00185776" w:rsidRDefault="00000000">
      <w:r>
        <w:t>Patient’s full name (as reported to employer or WC insurer).</w:t>
      </w:r>
    </w:p>
    <w:p w14:paraId="2D9A1398" w14:textId="77777777" w:rsidR="00185776" w:rsidRDefault="00000000">
      <w:pPr>
        <w:pStyle w:val="Heading2"/>
      </w:pPr>
      <w:r>
        <w:t>Box 3</w:t>
      </w:r>
    </w:p>
    <w:p w14:paraId="0AEE8C68" w14:textId="77777777" w:rsidR="00185776" w:rsidRDefault="00000000">
      <w:r>
        <w:t>Patient’s date of birth and sex.</w:t>
      </w:r>
    </w:p>
    <w:p w14:paraId="7C8D319E" w14:textId="77777777" w:rsidR="00185776" w:rsidRDefault="00000000">
      <w:pPr>
        <w:pStyle w:val="Heading2"/>
      </w:pPr>
      <w:r>
        <w:t>Box 5</w:t>
      </w:r>
    </w:p>
    <w:p w14:paraId="4FB5714F" w14:textId="77777777" w:rsidR="00185776" w:rsidRDefault="00000000">
      <w:r>
        <w:t>Patient’s mailing address.</w:t>
      </w:r>
    </w:p>
    <w:p w14:paraId="7EC8C7BA" w14:textId="77777777" w:rsidR="00185776" w:rsidRDefault="00000000">
      <w:pPr>
        <w:pStyle w:val="Heading2"/>
      </w:pPr>
      <w:r>
        <w:t>Box 6</w:t>
      </w:r>
    </w:p>
    <w:p w14:paraId="77A31737" w14:textId="77777777" w:rsidR="00185776" w:rsidRDefault="00000000">
      <w:r>
        <w:t>Check ‘Self’ (as the patient is the injured employee).</w:t>
      </w:r>
    </w:p>
    <w:p w14:paraId="46BE815B" w14:textId="77777777" w:rsidR="00185776" w:rsidRDefault="00000000">
      <w:pPr>
        <w:pStyle w:val="Heading2"/>
      </w:pPr>
      <w:r>
        <w:t>Box 7</w:t>
      </w:r>
    </w:p>
    <w:p w14:paraId="15755AF3" w14:textId="77777777" w:rsidR="00185776" w:rsidRDefault="00000000">
      <w:r>
        <w:t>Leave blank unless employer address is specifically required.</w:t>
      </w:r>
    </w:p>
    <w:p w14:paraId="522EDC6A" w14:textId="77777777" w:rsidR="00185776" w:rsidRDefault="00000000">
      <w:pPr>
        <w:pStyle w:val="Heading2"/>
      </w:pPr>
      <w:r>
        <w:t>Box 9</w:t>
      </w:r>
    </w:p>
    <w:p w14:paraId="6ACABAED" w14:textId="77777777" w:rsidR="00185776" w:rsidRDefault="00000000">
      <w:r>
        <w:t>Leave blank. Not applicable for WC.</w:t>
      </w:r>
    </w:p>
    <w:p w14:paraId="7E720FED" w14:textId="77777777" w:rsidR="00185776" w:rsidRDefault="00000000">
      <w:pPr>
        <w:pStyle w:val="Heading2"/>
      </w:pPr>
      <w:r>
        <w:t>Box 10a–c</w:t>
      </w:r>
    </w:p>
    <w:p w14:paraId="78DA04A2" w14:textId="77777777" w:rsidR="00185776" w:rsidRDefault="00000000">
      <w:r>
        <w:t>Check ‘Yes’ only for 10a (Work-related). Leave b and c blank.</w:t>
      </w:r>
    </w:p>
    <w:p w14:paraId="5EF0BFB3" w14:textId="77777777" w:rsidR="00185776" w:rsidRDefault="00000000">
      <w:pPr>
        <w:pStyle w:val="Heading2"/>
      </w:pPr>
      <w:r>
        <w:t>Box 11</w:t>
      </w:r>
    </w:p>
    <w:p w14:paraId="54F711D0" w14:textId="77777777" w:rsidR="00185776" w:rsidRDefault="00000000">
      <w:r>
        <w:t>Enter the WC Claim Number again.</w:t>
      </w:r>
    </w:p>
    <w:p w14:paraId="257345F6" w14:textId="77777777" w:rsidR="00185776" w:rsidRDefault="00000000">
      <w:pPr>
        <w:pStyle w:val="Heading2"/>
      </w:pPr>
      <w:r>
        <w:t>Box 11c</w:t>
      </w:r>
    </w:p>
    <w:p w14:paraId="524FA956" w14:textId="77777777" w:rsidR="00185776" w:rsidRDefault="00000000">
      <w:r>
        <w:t>Enter the Workers’ Compensation insurance carrier name.</w:t>
      </w:r>
    </w:p>
    <w:p w14:paraId="55202035" w14:textId="77777777" w:rsidR="00185776" w:rsidRDefault="00000000">
      <w:pPr>
        <w:pStyle w:val="Heading2"/>
      </w:pPr>
      <w:r>
        <w:lastRenderedPageBreak/>
        <w:t>Box 14</w:t>
      </w:r>
    </w:p>
    <w:p w14:paraId="4C807489" w14:textId="77777777" w:rsidR="00185776" w:rsidRDefault="00000000">
      <w:r>
        <w:t>Enter date of injury.</w:t>
      </w:r>
    </w:p>
    <w:p w14:paraId="77037918" w14:textId="77777777" w:rsidR="00185776" w:rsidRDefault="00000000">
      <w:pPr>
        <w:pStyle w:val="Heading2"/>
      </w:pPr>
      <w:r>
        <w:t>Box 17</w:t>
      </w:r>
    </w:p>
    <w:p w14:paraId="5B4978F1" w14:textId="77777777" w:rsidR="00185776" w:rsidRDefault="00000000">
      <w:r>
        <w:t>Enter referring physician’s name if a referral was required.</w:t>
      </w:r>
    </w:p>
    <w:p w14:paraId="2CB18CB2" w14:textId="77777777" w:rsidR="00185776" w:rsidRDefault="00000000">
      <w:pPr>
        <w:pStyle w:val="Heading2"/>
      </w:pPr>
      <w:r>
        <w:t>Box 21</w:t>
      </w:r>
    </w:p>
    <w:p w14:paraId="326F45A8" w14:textId="77777777" w:rsidR="00185776" w:rsidRDefault="00000000">
      <w:r>
        <w:t>Enter up to 12 ICD-10 codes related to the injury.</w:t>
      </w:r>
    </w:p>
    <w:p w14:paraId="71D01253" w14:textId="77777777" w:rsidR="00185776" w:rsidRDefault="00000000">
      <w:pPr>
        <w:pStyle w:val="Heading2"/>
      </w:pPr>
      <w:r>
        <w:t>Box 24A–24J</w:t>
      </w:r>
    </w:p>
    <w:p w14:paraId="565BE141" w14:textId="77777777" w:rsidR="00185776" w:rsidRDefault="00000000">
      <w:r>
        <w:t>Complete for each service:</w:t>
      </w:r>
      <w:r>
        <w:br/>
        <w:t xml:space="preserve">  - A: Date of service</w:t>
      </w:r>
      <w:r>
        <w:br/>
        <w:t xml:space="preserve">  - B: Place of service (e.g., 11 for office)</w:t>
      </w:r>
      <w:r>
        <w:br/>
        <w:t xml:space="preserve">  - D: CPT/HCPCS code</w:t>
      </w:r>
      <w:r>
        <w:br/>
        <w:t xml:space="preserve">  - E: Diagnosis pointer (match ICD code from Box 21)</w:t>
      </w:r>
      <w:r>
        <w:br/>
        <w:t xml:space="preserve">  - F: Charge amount</w:t>
      </w:r>
      <w:r>
        <w:br/>
        <w:t xml:space="preserve">  - G: Number of units</w:t>
      </w:r>
      <w:r>
        <w:br/>
        <w:t xml:space="preserve">  - J: Rendering provider NPI</w:t>
      </w:r>
    </w:p>
    <w:p w14:paraId="1DDD520F" w14:textId="77777777" w:rsidR="00185776" w:rsidRDefault="00000000">
      <w:pPr>
        <w:pStyle w:val="Heading2"/>
      </w:pPr>
      <w:r>
        <w:t>Box 25</w:t>
      </w:r>
    </w:p>
    <w:p w14:paraId="4EA1BBF3" w14:textId="77777777" w:rsidR="00185776" w:rsidRDefault="00000000">
      <w:r>
        <w:t>Enter provider’s Tax ID (EIN or SSN).</w:t>
      </w:r>
    </w:p>
    <w:p w14:paraId="2DB44374" w14:textId="77777777" w:rsidR="00185776" w:rsidRDefault="00000000">
      <w:pPr>
        <w:pStyle w:val="Heading2"/>
      </w:pPr>
      <w:r>
        <w:t>Box 26</w:t>
      </w:r>
    </w:p>
    <w:p w14:paraId="778C7B60" w14:textId="77777777" w:rsidR="00185776" w:rsidRDefault="00000000">
      <w:r>
        <w:t>Internal account number (optional).</w:t>
      </w:r>
    </w:p>
    <w:p w14:paraId="63660197" w14:textId="77777777" w:rsidR="00185776" w:rsidRDefault="00000000">
      <w:pPr>
        <w:pStyle w:val="Heading2"/>
      </w:pPr>
      <w:r>
        <w:t>Box 27</w:t>
      </w:r>
    </w:p>
    <w:p w14:paraId="5B57F776" w14:textId="77777777" w:rsidR="00185776" w:rsidRDefault="00000000">
      <w:r>
        <w:t>Check ‘Yes’ to accept assignment.</w:t>
      </w:r>
    </w:p>
    <w:p w14:paraId="58BD6280" w14:textId="77777777" w:rsidR="00185776" w:rsidRDefault="00000000">
      <w:pPr>
        <w:pStyle w:val="Heading2"/>
      </w:pPr>
      <w:r>
        <w:t>Box 28</w:t>
      </w:r>
    </w:p>
    <w:p w14:paraId="7478B345" w14:textId="77777777" w:rsidR="00185776" w:rsidRDefault="00000000">
      <w:r>
        <w:t>Total charges for the claim.</w:t>
      </w:r>
    </w:p>
    <w:p w14:paraId="5582580C" w14:textId="77777777" w:rsidR="00185776" w:rsidRDefault="00000000">
      <w:pPr>
        <w:pStyle w:val="Heading2"/>
      </w:pPr>
      <w:r>
        <w:t>Box 31</w:t>
      </w:r>
    </w:p>
    <w:p w14:paraId="0478B97A" w14:textId="77777777" w:rsidR="00185776" w:rsidRDefault="00000000">
      <w:r>
        <w:t>Physician’s name and signature with date.</w:t>
      </w:r>
    </w:p>
    <w:p w14:paraId="26702D20" w14:textId="77777777" w:rsidR="00185776" w:rsidRDefault="00000000">
      <w:pPr>
        <w:pStyle w:val="Heading2"/>
      </w:pPr>
      <w:r>
        <w:t>Box 32</w:t>
      </w:r>
    </w:p>
    <w:p w14:paraId="387FFA1E" w14:textId="77777777" w:rsidR="00185776" w:rsidRDefault="00000000">
      <w:r>
        <w:t>Service facility address (if different from Box 33).</w:t>
      </w:r>
    </w:p>
    <w:p w14:paraId="20AB3468" w14:textId="77777777" w:rsidR="00185776" w:rsidRDefault="00000000">
      <w:pPr>
        <w:pStyle w:val="Heading2"/>
      </w:pPr>
      <w:r>
        <w:t>Box 33</w:t>
      </w:r>
    </w:p>
    <w:p w14:paraId="630635A6" w14:textId="77777777" w:rsidR="00185776" w:rsidRDefault="00000000">
      <w:r>
        <w:t>Billing provider’s name, address, NPI, and phone number.</w:t>
      </w:r>
    </w:p>
    <w:p w14:paraId="0045002B" w14:textId="77777777" w:rsidR="00185776" w:rsidRDefault="00000000">
      <w:pPr>
        <w:pStyle w:val="Heading1"/>
      </w:pPr>
      <w:r>
        <w:t>Common Mistakes to Avoid</w:t>
      </w:r>
    </w:p>
    <w:p w14:paraId="72242372" w14:textId="77777777" w:rsidR="00185776" w:rsidRDefault="00000000">
      <w:r>
        <w:t>- Using incorrect diagnosis or CPT codes not authorized by the carrier.</w:t>
      </w:r>
    </w:p>
    <w:p w14:paraId="6F70C499" w14:textId="77777777" w:rsidR="00185776" w:rsidRDefault="00000000">
      <w:r>
        <w:lastRenderedPageBreak/>
        <w:t>- Forgetting to include the WC claim number in Boxes 1a and 11.</w:t>
      </w:r>
    </w:p>
    <w:p w14:paraId="5433174B" w14:textId="77777777" w:rsidR="00185776" w:rsidRDefault="00000000">
      <w:r>
        <w:t>- Omitting work-related checkbox in Box 10a.</w:t>
      </w:r>
    </w:p>
    <w:p w14:paraId="47117FDF" w14:textId="77777777" w:rsidR="00185776" w:rsidRDefault="00000000">
      <w:r>
        <w:t>- Submitting incomplete or mismatched provider information (Boxes 24J, 33).</w:t>
      </w:r>
    </w:p>
    <w:p w14:paraId="05636FDF" w14:textId="77777777" w:rsidR="00185776" w:rsidRDefault="00000000">
      <w:r>
        <w:t>- Delaying submission beyond required billing timeframes.</w:t>
      </w:r>
    </w:p>
    <w:sectPr w:rsidR="0018577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60716946">
    <w:abstractNumId w:val="8"/>
  </w:num>
  <w:num w:numId="2" w16cid:durableId="1837066166">
    <w:abstractNumId w:val="6"/>
  </w:num>
  <w:num w:numId="3" w16cid:durableId="238755241">
    <w:abstractNumId w:val="5"/>
  </w:num>
  <w:num w:numId="4" w16cid:durableId="1712261296">
    <w:abstractNumId w:val="4"/>
  </w:num>
  <w:num w:numId="5" w16cid:durableId="754522779">
    <w:abstractNumId w:val="7"/>
  </w:num>
  <w:num w:numId="6" w16cid:durableId="1017854189">
    <w:abstractNumId w:val="3"/>
  </w:num>
  <w:num w:numId="7" w16cid:durableId="730470749">
    <w:abstractNumId w:val="2"/>
  </w:num>
  <w:num w:numId="8" w16cid:durableId="1065104865">
    <w:abstractNumId w:val="1"/>
  </w:num>
  <w:num w:numId="9" w16cid:durableId="966854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85776"/>
    <w:rsid w:val="0029639D"/>
    <w:rsid w:val="00326F90"/>
    <w:rsid w:val="006F5C08"/>
    <w:rsid w:val="00AA1D8D"/>
    <w:rsid w:val="00B47730"/>
    <w:rsid w:val="00CB0664"/>
    <w:rsid w:val="00F2701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D4188E"/>
  <w14:defaultImageDpi w14:val="300"/>
  <w15:docId w15:val="{D47AA31E-F445-A54A-A1BA-157992F9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Kurt Schroeder</cp:lastModifiedBy>
  <cp:revision>2</cp:revision>
  <dcterms:created xsi:type="dcterms:W3CDTF">2025-04-04T11:49:00Z</dcterms:created>
  <dcterms:modified xsi:type="dcterms:W3CDTF">2025-04-04T11:49:00Z</dcterms:modified>
  <cp:category/>
</cp:coreProperties>
</file>