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5D9D" w14:textId="25281EBB" w:rsidR="008E0EA7" w:rsidRDefault="00DA2300">
      <w:pPr>
        <w:pStyle w:val="Title"/>
      </w:pPr>
      <w:r>
        <w:t xml:space="preserve">Workers Compensation </w:t>
      </w:r>
      <w:r w:rsidR="00000000">
        <w:t>Training Manual for Independent Practice Physicians in Florida</w:t>
      </w:r>
    </w:p>
    <w:p w14:paraId="09D11E57" w14:textId="77777777" w:rsidR="008E0EA7" w:rsidRDefault="00000000">
      <w:pPr>
        <w:pStyle w:val="Heading1"/>
      </w:pPr>
      <w:r>
        <w:t>Proper Completion of Workers’ Compensation Forms</w:t>
      </w:r>
    </w:p>
    <w:p w14:paraId="36859BF7" w14:textId="77777777" w:rsidR="008E0EA7" w:rsidRDefault="00000000">
      <w:pPr>
        <w:pStyle w:val="Heading2"/>
      </w:pPr>
      <w:r>
        <w:t>Section 1: Introduction to Workers’ Compensation in Florida</w:t>
      </w:r>
    </w:p>
    <w:p w14:paraId="3EBD1A96" w14:textId="77777777" w:rsidR="008E0EA7" w:rsidRDefault="00000000">
      <w:pPr>
        <w:pStyle w:val="Heading3"/>
      </w:pPr>
      <w:r>
        <w:t>1.1 Overview</w:t>
      </w:r>
    </w:p>
    <w:p w14:paraId="77B1CDBF" w14:textId="77777777" w:rsidR="008E0EA7" w:rsidRDefault="00000000">
      <w:r>
        <w:t>Florida’s Workers’ Compensation system provides medical care and wage replacement benefits to employees injured in the course of employment. As a physician in independent practice, your role is crucial in initiating treatment, documenting medical progress, and communicating with the insurer.</w:t>
      </w:r>
    </w:p>
    <w:p w14:paraId="7B2F0FBF" w14:textId="77777777" w:rsidR="008E0EA7" w:rsidRDefault="00000000">
      <w:pPr>
        <w:pStyle w:val="Heading3"/>
      </w:pPr>
      <w:r>
        <w:t>1.2 Your Role as an Authorized Treating Provider</w:t>
      </w:r>
    </w:p>
    <w:p w14:paraId="577BF9DD" w14:textId="77777777" w:rsidR="008E0EA7" w:rsidRDefault="00000000">
      <w:r>
        <w:t>- Evaluate and treat the injured worker.</w:t>
      </w:r>
      <w:r>
        <w:br/>
        <w:t>- Document the relationship between injury and work.</w:t>
      </w:r>
      <w:r>
        <w:br/>
        <w:t>- Clearly define work status.</w:t>
      </w:r>
      <w:r>
        <w:br/>
        <w:t>- Coordinate with case managers, insurers, and employers.</w:t>
      </w:r>
      <w:r>
        <w:br/>
        <w:t>- Complete and submit required forms in a timely and compliant manner.</w:t>
      </w:r>
    </w:p>
    <w:p w14:paraId="4A2D6748" w14:textId="77777777" w:rsidR="008E0EA7" w:rsidRDefault="00000000">
      <w:pPr>
        <w:pStyle w:val="Heading2"/>
      </w:pPr>
      <w:r>
        <w:t>Section 2: Required Forms for Independent Practices</w:t>
      </w:r>
    </w:p>
    <w:p w14:paraId="4AE00062" w14:textId="77777777" w:rsidR="008E0EA7" w:rsidRDefault="00000000">
      <w:pPr>
        <w:pStyle w:val="Heading3"/>
      </w:pPr>
      <w:r>
        <w:t>2.1 DWC-25 Form</w:t>
      </w:r>
    </w:p>
    <w:p w14:paraId="0E7B9788" w14:textId="77777777" w:rsidR="008E0EA7" w:rsidRDefault="00000000">
      <w:r>
        <w:t>Florida Workers’ Compensation Uniform Medical Treatment/Status Reporting Form</w:t>
      </w:r>
    </w:p>
    <w:p w14:paraId="3670ED69" w14:textId="77777777" w:rsidR="008E0EA7" w:rsidRDefault="00000000">
      <w:pPr>
        <w:pStyle w:val="ListBullet"/>
      </w:pPr>
      <w:r>
        <w:t>When to Use:</w:t>
      </w:r>
    </w:p>
    <w:p w14:paraId="2550A70B" w14:textId="77777777" w:rsidR="008E0EA7" w:rsidRDefault="00000000">
      <w:r>
        <w:t>- At initial visit</w:t>
      </w:r>
      <w:r>
        <w:br/>
        <w:t>- At each follow-up visit</w:t>
      </w:r>
      <w:r>
        <w:br/>
        <w:t>- When there is a change in treatment, diagnosis, or work status</w:t>
      </w:r>
    </w:p>
    <w:p w14:paraId="222518EE" w14:textId="77777777" w:rsidR="008E0EA7" w:rsidRDefault="00000000">
      <w:pPr>
        <w:pStyle w:val="ListBullet"/>
      </w:pPr>
      <w:r>
        <w:t>How to Complete:</w:t>
      </w:r>
    </w:p>
    <w:p w14:paraId="043A2454" w14:textId="77777777" w:rsidR="008E0EA7" w:rsidRDefault="00000000">
      <w:r>
        <w:t>- Section I: Employee details and insurance information</w:t>
      </w:r>
      <w:r>
        <w:br/>
        <w:t>- Section II: Diagnoses (use ICD-10 codes), objective findings, and treatment rendered</w:t>
      </w:r>
      <w:r>
        <w:br/>
        <w:t>- Section III: Work status – MUST include whether the patient can return to work and under what restrictions</w:t>
      </w:r>
      <w:r>
        <w:br/>
        <w:t>- Section IV: Treatment plan, referrals, next appointment</w:t>
      </w:r>
    </w:p>
    <w:p w14:paraId="45905107" w14:textId="77777777" w:rsidR="008E0EA7" w:rsidRDefault="00000000">
      <w:pPr>
        <w:pStyle w:val="ListBullet"/>
      </w:pPr>
      <w:r>
        <w:t>Best Practice Tips:</w:t>
      </w:r>
    </w:p>
    <w:p w14:paraId="4C816151" w14:textId="77777777" w:rsidR="008E0EA7" w:rsidRDefault="00000000">
      <w:r>
        <w:lastRenderedPageBreak/>
        <w:t>- Be clear with restrictions (e.g., “no lifting over 10 lbs,” not just “light duty”)</w:t>
      </w:r>
      <w:r>
        <w:br/>
        <w:t>- Submit via electronic means if possible</w:t>
      </w:r>
      <w:r>
        <w:br/>
        <w:t>- Keep a DWC-25 form template accessible in your EHR system</w:t>
      </w:r>
    </w:p>
    <w:p w14:paraId="1A7F5039" w14:textId="77777777" w:rsidR="008E0EA7" w:rsidRDefault="00000000">
      <w:pPr>
        <w:pStyle w:val="Heading3"/>
      </w:pPr>
      <w:r>
        <w:t>2.2 CMS-1500 Billing Form</w:t>
      </w:r>
    </w:p>
    <w:p w14:paraId="21354E7C" w14:textId="77777777" w:rsidR="008E0EA7" w:rsidRDefault="00000000">
      <w:r>
        <w:t>Used for submitting medical charges for reimbursement.</w:t>
      </w:r>
    </w:p>
    <w:p w14:paraId="1510B23B" w14:textId="77777777" w:rsidR="008E0EA7" w:rsidRDefault="00000000">
      <w:pPr>
        <w:pStyle w:val="ListBullet"/>
      </w:pPr>
      <w:r>
        <w:t>Independent Practice Requirements:</w:t>
      </w:r>
    </w:p>
    <w:p w14:paraId="3C924A57" w14:textId="77777777" w:rsidR="008E0EA7" w:rsidRDefault="00000000">
      <w:r>
        <w:t>- Ensure each billed service is authorized by the carrier</w:t>
      </w:r>
      <w:r>
        <w:br/>
        <w:t>- Include: Rendering provider’s NPI, Carrier’s claim number, Authorized CPT/HCPCS codes, ICD-10 diagnosis codes, Modifier codes as needed</w:t>
      </w:r>
    </w:p>
    <w:p w14:paraId="533ABB54" w14:textId="77777777" w:rsidR="008E0EA7" w:rsidRDefault="00000000">
      <w:r>
        <w:t>Tip: Attach medical records or DWC-25 forms to avoid claim denials or delays.</w:t>
      </w:r>
    </w:p>
    <w:p w14:paraId="0F31698C" w14:textId="77777777" w:rsidR="008E0EA7" w:rsidRDefault="00000000">
      <w:pPr>
        <w:pStyle w:val="Heading3"/>
      </w:pPr>
      <w:r>
        <w:t>2.3 Narrative Reports</w:t>
      </w:r>
    </w:p>
    <w:p w14:paraId="75AAE624" w14:textId="77777777" w:rsidR="008E0EA7" w:rsidRDefault="00000000">
      <w:r>
        <w:t>Requested in complex or litigated claims. Often requested by insurers, case managers, or attorneys.</w:t>
      </w:r>
    </w:p>
    <w:p w14:paraId="384BDB74" w14:textId="77777777" w:rsidR="008E0EA7" w:rsidRDefault="00000000">
      <w:pPr>
        <w:pStyle w:val="ListBullet"/>
      </w:pPr>
      <w:r>
        <w:t>Must Include:</w:t>
      </w:r>
    </w:p>
    <w:p w14:paraId="512ECC07" w14:textId="77777777" w:rsidR="008E0EA7" w:rsidRDefault="00000000">
      <w:r>
        <w:t>- Detailed history and mechanism of injury</w:t>
      </w:r>
      <w:r>
        <w:br/>
        <w:t>- Diagnostic findings</w:t>
      </w:r>
      <w:r>
        <w:br/>
        <w:t>- Treatment rationale</w:t>
      </w:r>
      <w:r>
        <w:br/>
        <w:t>- MMI status (if applicable)</w:t>
      </w:r>
      <w:r>
        <w:br/>
        <w:t>- Functional impairments</w:t>
      </w:r>
      <w:r>
        <w:br/>
        <w:t>- Return-to-work recommendations</w:t>
      </w:r>
    </w:p>
    <w:p w14:paraId="0B560F0C" w14:textId="77777777" w:rsidR="008E0EA7" w:rsidRDefault="00000000">
      <w:pPr>
        <w:pStyle w:val="Heading2"/>
      </w:pPr>
      <w:r>
        <w:t>Section 5: Best Practice Tips for a Doctor's Office</w:t>
      </w:r>
    </w:p>
    <w:p w14:paraId="7F8C056A" w14:textId="77777777" w:rsidR="008E0EA7" w:rsidRDefault="00000000">
      <w:r>
        <w:t>Implementing best practices within your office workflow will improve efficiency, compliance, and patient outcomes.</w:t>
      </w:r>
    </w:p>
    <w:p w14:paraId="39B8AD58" w14:textId="77777777" w:rsidR="008E0EA7" w:rsidRDefault="00000000">
      <w:pPr>
        <w:pStyle w:val="ListBullet"/>
      </w:pPr>
      <w:r>
        <w:t>Administrative Best Practices:</w:t>
      </w:r>
    </w:p>
    <w:p w14:paraId="7CDEC9C7" w14:textId="77777777" w:rsidR="008E0EA7" w:rsidRDefault="00000000">
      <w:r>
        <w:t>- Designate a workers’ compensation coordinator or point person.</w:t>
      </w:r>
      <w:r>
        <w:br/>
        <w:t>- Maintain up-to-date contact lists for insurers and case managers.</w:t>
      </w:r>
      <w:r>
        <w:br/>
        <w:t>- Develop a checklist for intake, follow-up, and discharge visits.</w:t>
      </w:r>
      <w:r>
        <w:br/>
        <w:t>- Use standardized templates in your EHR for DWC-25 and narrative reports.</w:t>
      </w:r>
      <w:r>
        <w:br/>
        <w:t>- Keep a log of form submission dates to monitor timeliness.</w:t>
      </w:r>
    </w:p>
    <w:p w14:paraId="09EFDC12" w14:textId="77777777" w:rsidR="008E0EA7" w:rsidRDefault="00000000">
      <w:pPr>
        <w:pStyle w:val="ListBullet"/>
      </w:pPr>
      <w:r>
        <w:t>Clinical Documentation Best Practices:</w:t>
      </w:r>
    </w:p>
    <w:p w14:paraId="51DA4CEB" w14:textId="77777777" w:rsidR="008E0EA7" w:rsidRDefault="00000000">
      <w:r>
        <w:t>- Clearly document the mechanism of injury.</w:t>
      </w:r>
      <w:r>
        <w:br/>
        <w:t>- Use functional, task-specific language for work restrictions (e.g., “no repetitive wrist motion” vs. “no work”).</w:t>
      </w:r>
      <w:r>
        <w:br/>
        <w:t>- Keep progress notes concise, objective, and tied to the injury.</w:t>
      </w:r>
      <w:r>
        <w:br/>
        <w:t>- Always update the treatment plan and work status at every visit.</w:t>
      </w:r>
    </w:p>
    <w:p w14:paraId="3EC5BDEB" w14:textId="77777777" w:rsidR="008E0EA7" w:rsidRDefault="00000000">
      <w:pPr>
        <w:pStyle w:val="ListBullet"/>
      </w:pPr>
      <w:r>
        <w:lastRenderedPageBreak/>
        <w:t>Communication Best Practices:</w:t>
      </w:r>
    </w:p>
    <w:p w14:paraId="4313C573" w14:textId="77777777" w:rsidR="008E0EA7" w:rsidRDefault="00000000">
      <w:r>
        <w:t>- Provide prompt updates to adjusters and case managers.</w:t>
      </w:r>
      <w:r>
        <w:br/>
        <w:t>- Clarify with insurers whether additional services require pre-authorization.</w:t>
      </w:r>
      <w:r>
        <w:br/>
        <w:t>- Set expectations with patients about their responsibilities, including attending follow-ups.</w:t>
      </w:r>
      <w:r>
        <w:br/>
        <w:t>- Ensure all team members are trained in WC documentation protocols.</w:t>
      </w:r>
    </w:p>
    <w:p w14:paraId="688AA7E3" w14:textId="77777777" w:rsidR="008E0EA7" w:rsidRDefault="00000000">
      <w:pPr>
        <w:pStyle w:val="Heading2"/>
      </w:pPr>
      <w:r>
        <w:t>Section 6: Working Smoothly with Workers’ Compensation Adjusters and Case Managers</w:t>
      </w:r>
    </w:p>
    <w:p w14:paraId="2A57AAE0" w14:textId="77777777" w:rsidR="008E0EA7" w:rsidRDefault="00000000">
      <w:r>
        <w:t>Maintaining a collaborative and professional relationship with adjusters and case managers ensures smoother claim handling, timely authorizations, and better patient outcomes. Here are tips for effective communication and coordination:</w:t>
      </w:r>
    </w:p>
    <w:p w14:paraId="00430D13" w14:textId="77777777" w:rsidR="008E0EA7" w:rsidRDefault="00000000">
      <w:pPr>
        <w:pStyle w:val="ListBullet"/>
      </w:pPr>
      <w:r>
        <w:t>Communication Strategies:</w:t>
      </w:r>
    </w:p>
    <w:p w14:paraId="27594023" w14:textId="77777777" w:rsidR="008E0EA7" w:rsidRDefault="00000000">
      <w:r>
        <w:t>- Respond promptly to emails, calls, and documentation requests.</w:t>
      </w:r>
      <w:r>
        <w:br/>
        <w:t>- Use secure methods for sharing patient records (fax, encrypted email, or portal).</w:t>
      </w:r>
      <w:r>
        <w:br/>
        <w:t>- Clarify expectations around report timing, especially after key events like MMI or surgery.</w:t>
      </w:r>
      <w:r>
        <w:br/>
        <w:t>- Be clear and consistent with terminology used in forms and reports.</w:t>
      </w:r>
    </w:p>
    <w:p w14:paraId="25FE34F7" w14:textId="77777777" w:rsidR="008E0EA7" w:rsidRDefault="00000000">
      <w:pPr>
        <w:pStyle w:val="ListBullet"/>
      </w:pPr>
      <w:r>
        <w:t>Documentation and Reporting Tips:</w:t>
      </w:r>
    </w:p>
    <w:p w14:paraId="2442BD13" w14:textId="77777777" w:rsidR="008E0EA7" w:rsidRDefault="00000000">
      <w:r>
        <w:t>- Submit DWC-25 and CMS-1500 promptly and ensure completeness.</w:t>
      </w:r>
      <w:r>
        <w:br/>
        <w:t>- Provide detailed, objective narrative reports upon request.</w:t>
      </w:r>
      <w:r>
        <w:br/>
        <w:t>- Keep records organized and accessible for quick reference during audits or disputes.</w:t>
      </w:r>
    </w:p>
    <w:p w14:paraId="2F5C5779" w14:textId="77777777" w:rsidR="008E0EA7" w:rsidRDefault="00000000">
      <w:pPr>
        <w:pStyle w:val="ListBullet"/>
      </w:pPr>
      <w:r>
        <w:t>Building Long-Term Relationships:</w:t>
      </w:r>
    </w:p>
    <w:p w14:paraId="04948112" w14:textId="77777777" w:rsidR="008E0EA7" w:rsidRDefault="00000000">
      <w:r>
        <w:t>- Maintain professionalism and mutual respect in all interactions.</w:t>
      </w:r>
      <w:r>
        <w:br/>
        <w:t>- Invite feedback on form quality and timeliness.</w:t>
      </w:r>
      <w:r>
        <w:br/>
        <w:t>- Understand each adjuster’s or case manager’s preferences for communication and reporting.</w:t>
      </w:r>
      <w:r>
        <w:br/>
        <w:t>- Be proactive—notify them of changes in diagnosis, treatment plan, or patient compliance issues.</w:t>
      </w:r>
    </w:p>
    <w:sectPr w:rsidR="008E0E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501831">
    <w:abstractNumId w:val="8"/>
  </w:num>
  <w:num w:numId="2" w16cid:durableId="1929077837">
    <w:abstractNumId w:val="6"/>
  </w:num>
  <w:num w:numId="3" w16cid:durableId="1389190203">
    <w:abstractNumId w:val="5"/>
  </w:num>
  <w:num w:numId="4" w16cid:durableId="880631417">
    <w:abstractNumId w:val="4"/>
  </w:num>
  <w:num w:numId="5" w16cid:durableId="239408615">
    <w:abstractNumId w:val="7"/>
  </w:num>
  <w:num w:numId="6" w16cid:durableId="366682981">
    <w:abstractNumId w:val="3"/>
  </w:num>
  <w:num w:numId="7" w16cid:durableId="2085911009">
    <w:abstractNumId w:val="2"/>
  </w:num>
  <w:num w:numId="8" w16cid:durableId="1432892825">
    <w:abstractNumId w:val="1"/>
  </w:num>
  <w:num w:numId="9" w16cid:durableId="162080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772D"/>
    <w:rsid w:val="0029639D"/>
    <w:rsid w:val="00326F90"/>
    <w:rsid w:val="008E0EA7"/>
    <w:rsid w:val="00AA1D8D"/>
    <w:rsid w:val="00B47730"/>
    <w:rsid w:val="00CB0664"/>
    <w:rsid w:val="00DA2300"/>
    <w:rsid w:val="00F270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4B2C9"/>
  <w14:defaultImageDpi w14:val="300"/>
  <w15:docId w15:val="{D47AA31E-F445-A54A-A1BA-157992F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Kurt Schroeder</cp:lastModifiedBy>
  <cp:revision>3</cp:revision>
  <dcterms:created xsi:type="dcterms:W3CDTF">2025-04-04T11:29:00Z</dcterms:created>
  <dcterms:modified xsi:type="dcterms:W3CDTF">2025-04-04T11:50:00Z</dcterms:modified>
  <cp:category/>
</cp:coreProperties>
</file>