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C4FF" w14:textId="77777777" w:rsidR="00C96C7B" w:rsidRDefault="00C96C7B" w:rsidP="00C96C7B">
      <w:pPr>
        <w:shd w:val="clear" w:color="auto" w:fill="FFFFFF"/>
        <w:spacing w:after="0" w:line="240" w:lineRule="auto"/>
        <w:textAlignment w:val="baseline"/>
        <w:rPr>
          <w:rFonts w:ascii="Lora" w:eastAsia="Times New Roman" w:hAnsi="Lora" w:cs="Times New Roman"/>
          <w:color w:val="000000"/>
          <w:kern w:val="0"/>
          <w:sz w:val="24"/>
          <w:szCs w:val="24"/>
          <w:lang w:eastAsia="en-AU"/>
          <w14:ligatures w14:val="none"/>
        </w:rPr>
      </w:pPr>
      <w:r w:rsidRPr="00C96C7B">
        <w:rPr>
          <w:rFonts w:ascii="Lora" w:eastAsia="Times New Roman" w:hAnsi="Lora" w:cs="Times New Roman"/>
          <w:color w:val="000000"/>
          <w:kern w:val="0"/>
          <w:sz w:val="24"/>
          <w:szCs w:val="24"/>
          <w:lang w:eastAsia="en-AU"/>
          <w14:ligatures w14:val="none"/>
        </w:rPr>
        <w:t>For </w:t>
      </w:r>
      <w:r w:rsidRPr="00C96C7B">
        <w:rPr>
          <w:rFonts w:ascii="inherit" w:eastAsia="Times New Roman" w:hAnsi="inherit" w:cs="Times New Roman"/>
          <w:b/>
          <w:bCs/>
          <w:color w:val="000000"/>
          <w:kern w:val="0"/>
          <w:sz w:val="24"/>
          <w:szCs w:val="24"/>
          <w:bdr w:val="none" w:sz="0" w:space="0" w:color="auto" w:frame="1"/>
          <w:lang w:eastAsia="en-AU"/>
          <w14:ligatures w14:val="none"/>
        </w:rPr>
        <w:t>Telehealth consultations</w:t>
      </w:r>
      <w:r w:rsidRPr="00C96C7B">
        <w:rPr>
          <w:rFonts w:ascii="Lora" w:eastAsia="Times New Roman" w:hAnsi="Lora" w:cs="Times New Roman"/>
          <w:color w:val="000000"/>
          <w:kern w:val="0"/>
          <w:sz w:val="24"/>
          <w:szCs w:val="24"/>
          <w:lang w:eastAsia="en-AU"/>
          <w14:ligatures w14:val="none"/>
        </w:rPr>
        <w:t> patients pay by credit card over the phone with Reception or by a secure link. An EFTPOS transaction surcharge paid by the patient applies to all transactions. The patient uses their receipt to claim their Medicare rebate themselves either by mail or in person at a Services Australia office or by the mobile MYGOV Medicare app. The practice does not process the Medicare rebate for Telehealth consultations.</w:t>
      </w:r>
    </w:p>
    <w:p w14:paraId="19EFA8D4" w14:textId="77777777" w:rsidR="00C96C7B" w:rsidRPr="00C96C7B" w:rsidRDefault="00C96C7B" w:rsidP="00C96C7B">
      <w:pPr>
        <w:shd w:val="clear" w:color="auto" w:fill="FFFFFF"/>
        <w:spacing w:after="0" w:line="240" w:lineRule="auto"/>
        <w:textAlignment w:val="baseline"/>
        <w:rPr>
          <w:rFonts w:ascii="Lora" w:eastAsia="Times New Roman" w:hAnsi="Lora" w:cs="Times New Roman"/>
          <w:color w:val="000000"/>
          <w:kern w:val="0"/>
          <w:sz w:val="24"/>
          <w:szCs w:val="24"/>
          <w:lang w:eastAsia="en-AU"/>
          <w14:ligatures w14:val="none"/>
        </w:rPr>
      </w:pPr>
    </w:p>
    <w:p w14:paraId="29815184" w14:textId="0C86BA71" w:rsidR="00C96C7B" w:rsidRDefault="00C96C7B" w:rsidP="00C96C7B">
      <w:pPr>
        <w:shd w:val="clear" w:color="auto" w:fill="FFFFFF"/>
        <w:spacing w:after="0" w:line="240" w:lineRule="auto"/>
        <w:textAlignment w:val="baseline"/>
        <w:rPr>
          <w:rFonts w:ascii="Lora" w:eastAsia="Times New Roman" w:hAnsi="Lora" w:cs="Times New Roman"/>
          <w:color w:val="000000"/>
          <w:kern w:val="0"/>
          <w:sz w:val="24"/>
          <w:szCs w:val="24"/>
          <w:lang w:eastAsia="en-AU"/>
          <w14:ligatures w14:val="none"/>
        </w:rPr>
      </w:pPr>
      <w:r w:rsidRPr="00C96C7B">
        <w:rPr>
          <w:rFonts w:ascii="Lora" w:eastAsia="Times New Roman" w:hAnsi="Lora" w:cs="Times New Roman"/>
          <w:color w:val="000000"/>
          <w:kern w:val="0"/>
          <w:sz w:val="24"/>
          <w:szCs w:val="24"/>
          <w:lang w:eastAsia="en-AU"/>
          <w14:ligatures w14:val="none"/>
        </w:rPr>
        <w:t xml:space="preserve">We work by appointments and reserve the appointment especially for the booked patient. We have a wait list and like to fill all appointments times. If you do not arrive without notice to </w:t>
      </w:r>
      <w:proofErr w:type="gramStart"/>
      <w:r w:rsidRPr="00C96C7B">
        <w:rPr>
          <w:rFonts w:ascii="Lora" w:eastAsia="Times New Roman" w:hAnsi="Lora" w:cs="Times New Roman"/>
          <w:color w:val="000000"/>
          <w:kern w:val="0"/>
          <w:sz w:val="24"/>
          <w:szCs w:val="24"/>
          <w:lang w:eastAsia="en-AU"/>
          <w14:ligatures w14:val="none"/>
        </w:rPr>
        <w:t>us</w:t>
      </w:r>
      <w:proofErr w:type="gramEnd"/>
      <w:r w:rsidRPr="00C96C7B">
        <w:rPr>
          <w:rFonts w:ascii="Lora" w:eastAsia="Times New Roman" w:hAnsi="Lora" w:cs="Times New Roman"/>
          <w:color w:val="000000"/>
          <w:kern w:val="0"/>
          <w:sz w:val="24"/>
          <w:szCs w:val="24"/>
          <w:lang w:eastAsia="en-AU"/>
          <w14:ligatures w14:val="none"/>
        </w:rPr>
        <w:t xml:space="preserve"> you may be charged. From 1 </w:t>
      </w:r>
      <w:r w:rsidR="00816C40">
        <w:rPr>
          <w:rFonts w:ascii="Lora" w:eastAsia="Times New Roman" w:hAnsi="Lora" w:cs="Times New Roman"/>
          <w:color w:val="000000"/>
          <w:kern w:val="0"/>
          <w:sz w:val="24"/>
          <w:szCs w:val="24"/>
          <w:lang w:eastAsia="en-AU"/>
          <w14:ligatures w14:val="none"/>
        </w:rPr>
        <w:t>January 2024</w:t>
      </w:r>
      <w:r w:rsidRPr="00C96C7B">
        <w:rPr>
          <w:rFonts w:ascii="Lora" w:eastAsia="Times New Roman" w:hAnsi="Lora" w:cs="Times New Roman"/>
          <w:color w:val="000000"/>
          <w:kern w:val="0"/>
          <w:sz w:val="24"/>
          <w:szCs w:val="24"/>
          <w:lang w:eastAsia="en-AU"/>
          <w14:ligatures w14:val="none"/>
        </w:rPr>
        <w:t xml:space="preserve"> we have a Did Not Attend Policy with a</w:t>
      </w:r>
      <w:r w:rsidRPr="00C96C7B">
        <w:rPr>
          <w:rFonts w:ascii="inherit" w:eastAsia="Times New Roman" w:hAnsi="inherit" w:cs="Times New Roman"/>
          <w:b/>
          <w:bCs/>
          <w:color w:val="000000"/>
          <w:kern w:val="0"/>
          <w:sz w:val="24"/>
          <w:szCs w:val="24"/>
          <w:bdr w:val="none" w:sz="0" w:space="0" w:color="auto" w:frame="1"/>
          <w:lang w:eastAsia="en-AU"/>
          <w14:ligatures w14:val="none"/>
        </w:rPr>
        <w:t> Did Not Arrive/Attend Fee of $4</w:t>
      </w:r>
      <w:r w:rsidR="00816C40">
        <w:rPr>
          <w:rFonts w:ascii="inherit" w:eastAsia="Times New Roman" w:hAnsi="inherit" w:cs="Times New Roman"/>
          <w:b/>
          <w:bCs/>
          <w:color w:val="000000"/>
          <w:kern w:val="0"/>
          <w:sz w:val="24"/>
          <w:szCs w:val="24"/>
          <w:bdr w:val="none" w:sz="0" w:space="0" w:color="auto" w:frame="1"/>
          <w:lang w:eastAsia="en-AU"/>
          <w14:ligatures w14:val="none"/>
        </w:rPr>
        <w:t>0</w:t>
      </w:r>
      <w:r w:rsidRPr="00C96C7B">
        <w:rPr>
          <w:rFonts w:ascii="inherit" w:eastAsia="Times New Roman" w:hAnsi="inherit" w:cs="Times New Roman"/>
          <w:b/>
          <w:bCs/>
          <w:color w:val="000000"/>
          <w:kern w:val="0"/>
          <w:sz w:val="24"/>
          <w:szCs w:val="24"/>
          <w:bdr w:val="none" w:sz="0" w:space="0" w:color="auto" w:frame="1"/>
          <w:lang w:eastAsia="en-AU"/>
          <w14:ligatures w14:val="none"/>
        </w:rPr>
        <w:t>.00 applicable to both Concessional and Non-Concessional patients with an EFTPOS transaction surcharge paid by the patient. </w:t>
      </w:r>
      <w:r w:rsidRPr="00C96C7B">
        <w:rPr>
          <w:rFonts w:ascii="Lora" w:eastAsia="Times New Roman" w:hAnsi="Lora" w:cs="Times New Roman"/>
          <w:color w:val="000000"/>
          <w:kern w:val="0"/>
          <w:sz w:val="24"/>
          <w:szCs w:val="24"/>
          <w:lang w:eastAsia="en-AU"/>
          <w14:ligatures w14:val="none"/>
        </w:rPr>
        <w:t xml:space="preserve">Please refer to the </w:t>
      </w:r>
      <w:r w:rsidR="00816C40">
        <w:rPr>
          <w:rFonts w:ascii="Lora" w:eastAsia="Times New Roman" w:hAnsi="Lora" w:cs="Times New Roman"/>
          <w:color w:val="000000"/>
          <w:kern w:val="0"/>
          <w:sz w:val="24"/>
          <w:szCs w:val="24"/>
          <w:lang w:eastAsia="en-AU"/>
          <w14:ligatures w14:val="none"/>
        </w:rPr>
        <w:t xml:space="preserve">Clinic </w:t>
      </w:r>
      <w:r w:rsidRPr="00C96C7B">
        <w:rPr>
          <w:rFonts w:ascii="Lora" w:eastAsia="Times New Roman" w:hAnsi="Lora" w:cs="Times New Roman"/>
          <w:color w:val="000000"/>
          <w:kern w:val="0"/>
          <w:sz w:val="24"/>
          <w:szCs w:val="24"/>
          <w:lang w:eastAsia="en-AU"/>
          <w14:ligatures w14:val="none"/>
        </w:rPr>
        <w:t>Policy for more information. There is no Medicare rebate for a Did Not Arrive/Attend fee.</w:t>
      </w:r>
      <w:r w:rsidRPr="00C96C7B">
        <w:rPr>
          <w:rFonts w:ascii="Lora" w:eastAsia="Times New Roman" w:hAnsi="Lora" w:cs="Times New Roman"/>
          <w:color w:val="000000"/>
          <w:kern w:val="0"/>
          <w:sz w:val="24"/>
          <w:szCs w:val="24"/>
          <w:lang w:eastAsia="en-AU"/>
          <w14:ligatures w14:val="none"/>
        </w:rPr>
        <w:br/>
      </w:r>
      <w:r w:rsidRPr="00C96C7B">
        <w:rPr>
          <w:rFonts w:ascii="Lora" w:eastAsia="Times New Roman" w:hAnsi="Lora" w:cs="Times New Roman"/>
          <w:color w:val="000000"/>
          <w:kern w:val="0"/>
          <w:sz w:val="24"/>
          <w:szCs w:val="24"/>
          <w:lang w:eastAsia="en-AU"/>
          <w14:ligatures w14:val="none"/>
        </w:rPr>
        <w:br/>
        <w:t>The list of most common service item numbers and fees are listed below. A longer list will be available at Reception. The fees will reflect the time taken and the degree of complexity for each consultation. The fees are applicable per patient, not per family. The list of fees and list of patients eligible to be Bulk Billed is subject to change. Non-Concessional patients will need to pay in full on the day of service.</w:t>
      </w:r>
    </w:p>
    <w:p w14:paraId="3C214737" w14:textId="77777777" w:rsidR="00C96C7B" w:rsidRPr="00C96C7B" w:rsidRDefault="00C96C7B" w:rsidP="00C96C7B">
      <w:pPr>
        <w:shd w:val="clear" w:color="auto" w:fill="FFFFFF"/>
        <w:spacing w:after="0" w:line="240" w:lineRule="auto"/>
        <w:textAlignment w:val="baseline"/>
        <w:rPr>
          <w:rFonts w:ascii="Lora" w:eastAsia="Times New Roman" w:hAnsi="Lora" w:cs="Times New Roman"/>
          <w:color w:val="000000"/>
          <w:kern w:val="0"/>
          <w:sz w:val="24"/>
          <w:szCs w:val="24"/>
          <w:lang w:eastAsia="en-AU"/>
          <w14:ligatures w14:val="none"/>
        </w:rPr>
      </w:pPr>
    </w:p>
    <w:tbl>
      <w:tblPr>
        <w:tblW w:w="9681"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625"/>
        <w:gridCol w:w="2266"/>
        <w:gridCol w:w="1610"/>
        <w:gridCol w:w="2180"/>
      </w:tblGrid>
      <w:tr w:rsidR="00C96C7B" w:rsidRPr="00C96C7B" w14:paraId="72BF6BAB" w14:textId="77777777" w:rsidTr="00C96C7B">
        <w:trPr>
          <w:trHeight w:val="528"/>
        </w:trPr>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6120F77D" w14:textId="323F3303" w:rsidR="00C96C7B" w:rsidRPr="00C96C7B" w:rsidRDefault="00C96C7B" w:rsidP="00C96C7B">
            <w:pPr>
              <w:spacing w:after="0" w:line="240" w:lineRule="auto"/>
              <w:rPr>
                <w:rFonts w:ascii="inherit" w:eastAsia="Times New Roman" w:hAnsi="inherit" w:cs="Times New Roman"/>
                <w:kern w:val="0"/>
                <w:sz w:val="24"/>
                <w:szCs w:val="24"/>
                <w:lang w:eastAsia="en-AU"/>
                <w14:ligatures w14:val="none"/>
              </w:rPr>
            </w:pP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48C35BA3" w14:textId="77777777" w:rsidR="00C96C7B" w:rsidRPr="00C96C7B" w:rsidRDefault="00C96C7B" w:rsidP="00C96C7B">
            <w:pPr>
              <w:spacing w:after="0" w:line="240" w:lineRule="auto"/>
              <w:rPr>
                <w:rFonts w:ascii="inherit" w:eastAsia="Times New Roman" w:hAnsi="inherit" w:cs="Times New Roman"/>
                <w:kern w:val="0"/>
                <w:sz w:val="24"/>
                <w:szCs w:val="24"/>
                <w:lang w:eastAsia="en-AU"/>
                <w14:ligatures w14:val="none"/>
              </w:rPr>
            </w:pPr>
            <w:r w:rsidRPr="00C96C7B">
              <w:rPr>
                <w:rFonts w:ascii="inherit" w:eastAsia="Times New Roman" w:hAnsi="inherit" w:cs="Times New Roman"/>
                <w:kern w:val="0"/>
                <w:sz w:val="24"/>
                <w:szCs w:val="24"/>
                <w:lang w:eastAsia="en-AU"/>
                <w14:ligatures w14:val="none"/>
              </w:rPr>
              <w:t>Patient pays on day of service</w:t>
            </w: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099F6545" w14:textId="77777777" w:rsidR="00C96C7B" w:rsidRPr="00C96C7B" w:rsidRDefault="00C96C7B" w:rsidP="00C96C7B">
            <w:pPr>
              <w:spacing w:after="0" w:line="240" w:lineRule="auto"/>
              <w:rPr>
                <w:rFonts w:ascii="inherit" w:eastAsia="Times New Roman" w:hAnsi="inherit" w:cs="Times New Roman"/>
                <w:kern w:val="0"/>
                <w:sz w:val="24"/>
                <w:szCs w:val="24"/>
                <w:lang w:eastAsia="en-AU"/>
                <w14:ligatures w14:val="none"/>
              </w:rPr>
            </w:pPr>
            <w:r w:rsidRPr="00C96C7B">
              <w:rPr>
                <w:rFonts w:ascii="inherit" w:eastAsia="Times New Roman" w:hAnsi="inherit" w:cs="Times New Roman"/>
                <w:kern w:val="0"/>
                <w:sz w:val="24"/>
                <w:szCs w:val="24"/>
                <w:lang w:eastAsia="en-AU"/>
                <w14:ligatures w14:val="none"/>
              </w:rPr>
              <w:t>Medicare rebate</w:t>
            </w: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42FCAE81" w14:textId="77777777" w:rsidR="00C96C7B" w:rsidRPr="00C96C7B" w:rsidRDefault="00C96C7B" w:rsidP="00C96C7B">
            <w:pPr>
              <w:spacing w:after="0" w:line="240" w:lineRule="auto"/>
              <w:rPr>
                <w:rFonts w:ascii="inherit" w:eastAsia="Times New Roman" w:hAnsi="inherit" w:cs="Times New Roman"/>
                <w:kern w:val="0"/>
                <w:sz w:val="24"/>
                <w:szCs w:val="24"/>
                <w:lang w:eastAsia="en-AU"/>
                <w14:ligatures w14:val="none"/>
              </w:rPr>
            </w:pPr>
            <w:r w:rsidRPr="00C96C7B">
              <w:rPr>
                <w:rFonts w:ascii="inherit" w:eastAsia="Times New Roman" w:hAnsi="inherit" w:cs="Times New Roman"/>
                <w:kern w:val="0"/>
                <w:sz w:val="24"/>
                <w:szCs w:val="24"/>
                <w:lang w:eastAsia="en-AU"/>
                <w14:ligatures w14:val="none"/>
              </w:rPr>
              <w:t>Patient out of pocket amount</w:t>
            </w:r>
          </w:p>
        </w:tc>
      </w:tr>
      <w:tr w:rsidR="00C96C7B" w:rsidRPr="00C96C7B" w14:paraId="1D50BDE4" w14:textId="77777777" w:rsidTr="00C96C7B">
        <w:trPr>
          <w:trHeight w:val="1057"/>
        </w:trPr>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34927309" w14:textId="29E98893" w:rsidR="00C96C7B" w:rsidRPr="00C96C7B" w:rsidRDefault="00816C40" w:rsidP="00C96C7B">
            <w:pPr>
              <w:spacing w:after="0" w:line="240" w:lineRule="auto"/>
              <w:rPr>
                <w:rFonts w:ascii="inherit" w:eastAsia="Times New Roman" w:hAnsi="inherit" w:cs="Times New Roman"/>
                <w:kern w:val="0"/>
                <w:sz w:val="24"/>
                <w:szCs w:val="24"/>
                <w:lang w:eastAsia="en-AU"/>
                <w14:ligatures w14:val="none"/>
              </w:rPr>
            </w:pPr>
            <w:r>
              <w:rPr>
                <w:rFonts w:ascii="inherit" w:eastAsia="Times New Roman" w:hAnsi="inherit" w:cs="Times New Roman"/>
                <w:b/>
                <w:bCs/>
                <w:kern w:val="0"/>
                <w:sz w:val="24"/>
                <w:szCs w:val="24"/>
                <w:bdr w:val="none" w:sz="0" w:space="0" w:color="auto" w:frame="1"/>
                <w:lang w:eastAsia="en-AU"/>
                <w14:ligatures w14:val="none"/>
              </w:rPr>
              <w:t>SHORT</w:t>
            </w:r>
            <w:r w:rsidR="00C96C7B" w:rsidRPr="00C96C7B">
              <w:rPr>
                <w:rFonts w:ascii="inherit" w:eastAsia="Times New Roman" w:hAnsi="inherit" w:cs="Times New Roman"/>
                <w:b/>
                <w:bCs/>
                <w:kern w:val="0"/>
                <w:sz w:val="24"/>
                <w:szCs w:val="24"/>
                <w:bdr w:val="none" w:sz="0" w:space="0" w:color="auto" w:frame="1"/>
                <w:lang w:eastAsia="en-AU"/>
                <w14:ligatures w14:val="none"/>
              </w:rPr>
              <w:t xml:space="preserve"> CONSULT, </w:t>
            </w:r>
            <w:r w:rsidR="00C96C7B" w:rsidRPr="00C96C7B">
              <w:rPr>
                <w:rFonts w:ascii="inherit" w:eastAsia="Times New Roman" w:hAnsi="inherit" w:cs="Times New Roman"/>
                <w:kern w:val="0"/>
                <w:sz w:val="24"/>
                <w:szCs w:val="24"/>
                <w:lang w:eastAsia="en-AU"/>
                <w14:ligatures w14:val="none"/>
              </w:rPr>
              <w:t xml:space="preserve">MBS Item </w:t>
            </w:r>
            <w:r>
              <w:rPr>
                <w:rFonts w:ascii="inherit" w:eastAsia="Times New Roman" w:hAnsi="inherit" w:cs="Times New Roman"/>
                <w:kern w:val="0"/>
                <w:sz w:val="24"/>
                <w:szCs w:val="24"/>
                <w:lang w:eastAsia="en-AU"/>
                <w14:ligatures w14:val="none"/>
              </w:rPr>
              <w:t>91178 / 91189</w:t>
            </w:r>
            <w:r w:rsidR="00C96C7B" w:rsidRPr="00C96C7B">
              <w:rPr>
                <w:rFonts w:ascii="inherit" w:eastAsia="Times New Roman" w:hAnsi="inherit" w:cs="Times New Roman"/>
                <w:kern w:val="0"/>
                <w:sz w:val="24"/>
                <w:szCs w:val="24"/>
                <w:lang w:eastAsia="en-AU"/>
                <w14:ligatures w14:val="none"/>
              </w:rPr>
              <w:br/>
            </w: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7153FA1B" w14:textId="3DC96CCB" w:rsidR="00C96C7B" w:rsidRPr="00C96C7B" w:rsidRDefault="00C96C7B" w:rsidP="00C96C7B">
            <w:pPr>
              <w:spacing w:after="0" w:line="240" w:lineRule="auto"/>
              <w:rPr>
                <w:rFonts w:ascii="inherit" w:eastAsia="Times New Roman" w:hAnsi="inherit" w:cs="Times New Roman"/>
                <w:kern w:val="0"/>
                <w:sz w:val="24"/>
                <w:szCs w:val="24"/>
                <w:lang w:eastAsia="en-AU"/>
                <w14:ligatures w14:val="none"/>
              </w:rPr>
            </w:pPr>
            <w:r w:rsidRPr="00C96C7B">
              <w:rPr>
                <w:rFonts w:ascii="inherit" w:eastAsia="Times New Roman" w:hAnsi="inherit" w:cs="Times New Roman"/>
                <w:b/>
                <w:bCs/>
                <w:kern w:val="0"/>
                <w:sz w:val="24"/>
                <w:szCs w:val="24"/>
                <w:bdr w:val="none" w:sz="0" w:space="0" w:color="auto" w:frame="1"/>
                <w:lang w:eastAsia="en-AU"/>
                <w14:ligatures w14:val="none"/>
              </w:rPr>
              <w:t>$</w:t>
            </w:r>
            <w:r w:rsidR="00816C40">
              <w:rPr>
                <w:rFonts w:ascii="inherit" w:eastAsia="Times New Roman" w:hAnsi="inherit" w:cs="Times New Roman"/>
                <w:b/>
                <w:bCs/>
                <w:kern w:val="0"/>
                <w:sz w:val="24"/>
                <w:szCs w:val="24"/>
                <w:bdr w:val="none" w:sz="0" w:space="0" w:color="auto" w:frame="1"/>
                <w:lang w:eastAsia="en-AU"/>
                <w14:ligatures w14:val="none"/>
              </w:rPr>
              <w:t>60.00</w:t>
            </w: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3DAED5D8" w14:textId="7216F4E6" w:rsidR="00C96C7B" w:rsidRPr="00C96C7B" w:rsidRDefault="00C96C7B" w:rsidP="00C96C7B">
            <w:pPr>
              <w:spacing w:after="0" w:line="240" w:lineRule="auto"/>
              <w:rPr>
                <w:rFonts w:ascii="inherit" w:eastAsia="Times New Roman" w:hAnsi="inherit" w:cs="Times New Roman"/>
                <w:kern w:val="0"/>
                <w:sz w:val="24"/>
                <w:szCs w:val="24"/>
                <w:lang w:eastAsia="en-AU"/>
                <w14:ligatures w14:val="none"/>
              </w:rPr>
            </w:pPr>
            <w:r w:rsidRPr="00C96C7B">
              <w:rPr>
                <w:rFonts w:ascii="inherit" w:eastAsia="Times New Roman" w:hAnsi="inherit" w:cs="Times New Roman"/>
                <w:kern w:val="0"/>
                <w:sz w:val="24"/>
                <w:szCs w:val="24"/>
                <w:lang w:eastAsia="en-AU"/>
                <w14:ligatures w14:val="none"/>
              </w:rPr>
              <w:t>$</w:t>
            </w:r>
            <w:r w:rsidR="00816C40">
              <w:rPr>
                <w:rFonts w:ascii="inherit" w:eastAsia="Times New Roman" w:hAnsi="inherit" w:cs="Times New Roman"/>
                <w:kern w:val="0"/>
                <w:sz w:val="24"/>
                <w:szCs w:val="24"/>
                <w:lang w:eastAsia="en-AU"/>
                <w14:ligatures w14:val="none"/>
              </w:rPr>
              <w:t>19.60</w:t>
            </w: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774E9901" w14:textId="617E7D08" w:rsidR="00C96C7B" w:rsidRPr="00C96C7B" w:rsidRDefault="00C96C7B" w:rsidP="00C96C7B">
            <w:pPr>
              <w:spacing w:after="0" w:line="240" w:lineRule="auto"/>
              <w:rPr>
                <w:rFonts w:ascii="inherit" w:eastAsia="Times New Roman" w:hAnsi="inherit" w:cs="Times New Roman"/>
                <w:kern w:val="0"/>
                <w:sz w:val="24"/>
                <w:szCs w:val="24"/>
                <w:lang w:eastAsia="en-AU"/>
                <w14:ligatures w14:val="none"/>
              </w:rPr>
            </w:pPr>
            <w:r w:rsidRPr="00C96C7B">
              <w:rPr>
                <w:rFonts w:ascii="inherit" w:eastAsia="Times New Roman" w:hAnsi="inherit" w:cs="Times New Roman"/>
                <w:b/>
                <w:bCs/>
                <w:kern w:val="0"/>
                <w:sz w:val="24"/>
                <w:szCs w:val="24"/>
                <w:bdr w:val="none" w:sz="0" w:space="0" w:color="auto" w:frame="1"/>
                <w:lang w:eastAsia="en-AU"/>
                <w14:ligatures w14:val="none"/>
              </w:rPr>
              <w:t>$</w:t>
            </w:r>
            <w:r w:rsidR="00816C40">
              <w:rPr>
                <w:rFonts w:ascii="inherit" w:eastAsia="Times New Roman" w:hAnsi="inherit" w:cs="Times New Roman"/>
                <w:b/>
                <w:bCs/>
                <w:kern w:val="0"/>
                <w:sz w:val="24"/>
                <w:szCs w:val="24"/>
                <w:bdr w:val="none" w:sz="0" w:space="0" w:color="auto" w:frame="1"/>
                <w:lang w:eastAsia="en-AU"/>
                <w14:ligatures w14:val="none"/>
              </w:rPr>
              <w:t>40.40</w:t>
            </w:r>
          </w:p>
        </w:tc>
      </w:tr>
      <w:tr w:rsidR="00C96C7B" w:rsidRPr="00C96C7B" w14:paraId="6A09DF14" w14:textId="77777777" w:rsidTr="00C96C7B">
        <w:trPr>
          <w:trHeight w:val="799"/>
        </w:trPr>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3D91977D" w14:textId="2C1330BE" w:rsidR="00C96C7B" w:rsidRPr="00C96C7B" w:rsidRDefault="00816C40" w:rsidP="00C96C7B">
            <w:pPr>
              <w:spacing w:after="0" w:line="240" w:lineRule="auto"/>
              <w:rPr>
                <w:rFonts w:ascii="inherit" w:eastAsia="Times New Roman" w:hAnsi="inherit" w:cs="Times New Roman"/>
                <w:kern w:val="0"/>
                <w:sz w:val="24"/>
                <w:szCs w:val="24"/>
                <w:lang w:eastAsia="en-AU"/>
                <w14:ligatures w14:val="none"/>
              </w:rPr>
            </w:pPr>
            <w:r>
              <w:rPr>
                <w:rFonts w:ascii="inherit" w:eastAsia="Times New Roman" w:hAnsi="inherit" w:cs="Times New Roman"/>
                <w:b/>
                <w:bCs/>
                <w:kern w:val="0"/>
                <w:sz w:val="24"/>
                <w:szCs w:val="24"/>
                <w:bdr w:val="none" w:sz="0" w:space="0" w:color="auto" w:frame="1"/>
                <w:lang w:eastAsia="en-AU"/>
                <w14:ligatures w14:val="none"/>
              </w:rPr>
              <w:t>STANDARD</w:t>
            </w:r>
            <w:r w:rsidR="00C96C7B" w:rsidRPr="00C96C7B">
              <w:rPr>
                <w:rFonts w:ascii="inherit" w:eastAsia="Times New Roman" w:hAnsi="inherit" w:cs="Times New Roman"/>
                <w:b/>
                <w:bCs/>
                <w:kern w:val="0"/>
                <w:sz w:val="24"/>
                <w:szCs w:val="24"/>
                <w:bdr w:val="none" w:sz="0" w:space="0" w:color="auto" w:frame="1"/>
                <w:lang w:eastAsia="en-AU"/>
                <w14:ligatures w14:val="none"/>
              </w:rPr>
              <w:t xml:space="preserve"> CONSULT, </w:t>
            </w:r>
            <w:r w:rsidR="00C96C7B" w:rsidRPr="00C96C7B">
              <w:rPr>
                <w:rFonts w:ascii="inherit" w:eastAsia="Times New Roman" w:hAnsi="inherit" w:cs="Times New Roman"/>
                <w:kern w:val="0"/>
                <w:sz w:val="24"/>
                <w:szCs w:val="24"/>
                <w:lang w:eastAsia="en-AU"/>
                <w14:ligatures w14:val="none"/>
              </w:rPr>
              <w:t xml:space="preserve">MBS Item </w:t>
            </w:r>
            <w:r>
              <w:rPr>
                <w:rFonts w:ascii="inherit" w:eastAsia="Times New Roman" w:hAnsi="inherit" w:cs="Times New Roman"/>
                <w:kern w:val="0"/>
                <w:sz w:val="24"/>
                <w:szCs w:val="24"/>
                <w:lang w:eastAsia="en-AU"/>
                <w14:ligatures w14:val="none"/>
              </w:rPr>
              <w:t>91179 / 91190</w:t>
            </w: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156D7114" w14:textId="2683BDCF" w:rsidR="00C96C7B" w:rsidRPr="00C96C7B" w:rsidRDefault="00C96C7B" w:rsidP="00C96C7B">
            <w:pPr>
              <w:spacing w:after="0" w:line="240" w:lineRule="auto"/>
              <w:rPr>
                <w:rFonts w:ascii="inherit" w:eastAsia="Times New Roman" w:hAnsi="inherit" w:cs="Times New Roman"/>
                <w:kern w:val="0"/>
                <w:sz w:val="24"/>
                <w:szCs w:val="24"/>
                <w:lang w:eastAsia="en-AU"/>
                <w14:ligatures w14:val="none"/>
              </w:rPr>
            </w:pPr>
            <w:r w:rsidRPr="00C96C7B">
              <w:rPr>
                <w:rFonts w:ascii="inherit" w:eastAsia="Times New Roman" w:hAnsi="inherit" w:cs="Times New Roman"/>
                <w:b/>
                <w:bCs/>
                <w:kern w:val="0"/>
                <w:sz w:val="24"/>
                <w:szCs w:val="24"/>
                <w:bdr w:val="none" w:sz="0" w:space="0" w:color="auto" w:frame="1"/>
                <w:lang w:eastAsia="en-AU"/>
                <w14:ligatures w14:val="none"/>
              </w:rPr>
              <w:t>$</w:t>
            </w:r>
            <w:r w:rsidR="00816C40">
              <w:rPr>
                <w:rFonts w:ascii="inherit" w:eastAsia="Times New Roman" w:hAnsi="inherit" w:cs="Times New Roman"/>
                <w:b/>
                <w:bCs/>
                <w:kern w:val="0"/>
                <w:sz w:val="24"/>
                <w:szCs w:val="24"/>
                <w:bdr w:val="none" w:sz="0" w:space="0" w:color="auto" w:frame="1"/>
                <w:lang w:eastAsia="en-AU"/>
                <w14:ligatures w14:val="none"/>
              </w:rPr>
              <w:t>80</w:t>
            </w:r>
            <w:r w:rsidRPr="00C96C7B">
              <w:rPr>
                <w:rFonts w:ascii="inherit" w:eastAsia="Times New Roman" w:hAnsi="inherit" w:cs="Times New Roman"/>
                <w:b/>
                <w:bCs/>
                <w:kern w:val="0"/>
                <w:sz w:val="24"/>
                <w:szCs w:val="24"/>
                <w:bdr w:val="none" w:sz="0" w:space="0" w:color="auto" w:frame="1"/>
                <w:lang w:eastAsia="en-AU"/>
                <w14:ligatures w14:val="none"/>
              </w:rPr>
              <w:t>.00</w:t>
            </w: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2297B780" w14:textId="41C4915E" w:rsidR="00C96C7B" w:rsidRPr="00C96C7B" w:rsidRDefault="00C96C7B" w:rsidP="00C96C7B">
            <w:pPr>
              <w:spacing w:after="0" w:line="240" w:lineRule="auto"/>
              <w:rPr>
                <w:rFonts w:ascii="inherit" w:eastAsia="Times New Roman" w:hAnsi="inherit" w:cs="Times New Roman"/>
                <w:kern w:val="0"/>
                <w:sz w:val="24"/>
                <w:szCs w:val="24"/>
                <w:lang w:eastAsia="en-AU"/>
                <w14:ligatures w14:val="none"/>
              </w:rPr>
            </w:pPr>
            <w:r w:rsidRPr="00C96C7B">
              <w:rPr>
                <w:rFonts w:ascii="inherit" w:eastAsia="Times New Roman" w:hAnsi="inherit" w:cs="Times New Roman"/>
                <w:kern w:val="0"/>
                <w:sz w:val="24"/>
                <w:szCs w:val="24"/>
                <w:lang w:eastAsia="en-AU"/>
                <w14:ligatures w14:val="none"/>
              </w:rPr>
              <w:t>$</w:t>
            </w:r>
            <w:r w:rsidR="00816C40">
              <w:rPr>
                <w:rFonts w:ascii="inherit" w:eastAsia="Times New Roman" w:hAnsi="inherit" w:cs="Times New Roman"/>
                <w:kern w:val="0"/>
                <w:sz w:val="24"/>
                <w:szCs w:val="24"/>
                <w:lang w:eastAsia="en-AU"/>
                <w14:ligatures w14:val="none"/>
              </w:rPr>
              <w:t>37.15</w:t>
            </w: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31677BEC" w14:textId="5242EE16" w:rsidR="00C96C7B" w:rsidRPr="00C96C7B" w:rsidRDefault="00C96C7B" w:rsidP="00C96C7B">
            <w:pPr>
              <w:spacing w:after="0" w:line="240" w:lineRule="auto"/>
              <w:rPr>
                <w:rFonts w:ascii="inherit" w:eastAsia="Times New Roman" w:hAnsi="inherit" w:cs="Times New Roman"/>
                <w:kern w:val="0"/>
                <w:sz w:val="24"/>
                <w:szCs w:val="24"/>
                <w:lang w:eastAsia="en-AU"/>
                <w14:ligatures w14:val="none"/>
              </w:rPr>
            </w:pPr>
            <w:r w:rsidRPr="00C96C7B">
              <w:rPr>
                <w:rFonts w:ascii="inherit" w:eastAsia="Times New Roman" w:hAnsi="inherit" w:cs="Times New Roman"/>
                <w:b/>
                <w:bCs/>
                <w:kern w:val="0"/>
                <w:sz w:val="24"/>
                <w:szCs w:val="24"/>
                <w:bdr w:val="none" w:sz="0" w:space="0" w:color="auto" w:frame="1"/>
                <w:lang w:eastAsia="en-AU"/>
                <w14:ligatures w14:val="none"/>
              </w:rPr>
              <w:t>$</w:t>
            </w:r>
            <w:r w:rsidR="00816C40">
              <w:rPr>
                <w:rFonts w:ascii="inherit" w:eastAsia="Times New Roman" w:hAnsi="inherit" w:cs="Times New Roman"/>
                <w:b/>
                <w:bCs/>
                <w:kern w:val="0"/>
                <w:sz w:val="24"/>
                <w:szCs w:val="24"/>
                <w:bdr w:val="none" w:sz="0" w:space="0" w:color="auto" w:frame="1"/>
                <w:lang w:eastAsia="en-AU"/>
                <w14:ligatures w14:val="none"/>
              </w:rPr>
              <w:t>42.85</w:t>
            </w:r>
          </w:p>
        </w:tc>
      </w:tr>
      <w:tr w:rsidR="00C96C7B" w:rsidRPr="00C96C7B" w14:paraId="10D23C74" w14:textId="77777777" w:rsidTr="00C96C7B">
        <w:trPr>
          <w:trHeight w:val="786"/>
        </w:trPr>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17BFF402" w14:textId="4A17455E" w:rsidR="00C96C7B" w:rsidRPr="00C96C7B" w:rsidRDefault="00816C40" w:rsidP="00C96C7B">
            <w:pPr>
              <w:spacing w:after="0" w:line="240" w:lineRule="auto"/>
              <w:rPr>
                <w:rFonts w:ascii="inherit" w:eastAsia="Times New Roman" w:hAnsi="inherit" w:cs="Times New Roman"/>
                <w:kern w:val="0"/>
                <w:sz w:val="24"/>
                <w:szCs w:val="24"/>
                <w:lang w:eastAsia="en-AU"/>
                <w14:ligatures w14:val="none"/>
              </w:rPr>
            </w:pPr>
            <w:r w:rsidRPr="00816C40">
              <w:rPr>
                <w:rFonts w:ascii="inherit" w:eastAsia="Times New Roman" w:hAnsi="inherit" w:cs="Times New Roman"/>
                <w:b/>
                <w:bCs/>
                <w:kern w:val="0"/>
                <w:sz w:val="24"/>
                <w:szCs w:val="24"/>
                <w:lang w:eastAsia="en-AU"/>
                <w14:ligatures w14:val="none"/>
              </w:rPr>
              <w:t>LONG</w:t>
            </w:r>
            <w:r w:rsidR="00C96C7B" w:rsidRPr="00C96C7B">
              <w:rPr>
                <w:rFonts w:ascii="inherit" w:eastAsia="Times New Roman" w:hAnsi="inherit" w:cs="Times New Roman"/>
                <w:b/>
                <w:bCs/>
                <w:kern w:val="0"/>
                <w:sz w:val="24"/>
                <w:szCs w:val="24"/>
                <w:lang w:eastAsia="en-AU"/>
                <w14:ligatures w14:val="none"/>
              </w:rPr>
              <w:t xml:space="preserve"> CONSULT</w:t>
            </w:r>
            <w:r w:rsidR="00C96C7B" w:rsidRPr="00C96C7B">
              <w:rPr>
                <w:rFonts w:ascii="inherit" w:eastAsia="Times New Roman" w:hAnsi="inherit" w:cs="Times New Roman"/>
                <w:kern w:val="0"/>
                <w:sz w:val="24"/>
                <w:szCs w:val="24"/>
                <w:lang w:eastAsia="en-AU"/>
                <w14:ligatures w14:val="none"/>
              </w:rPr>
              <w:t xml:space="preserve">, MBS Item </w:t>
            </w:r>
            <w:r>
              <w:rPr>
                <w:rFonts w:ascii="inherit" w:eastAsia="Times New Roman" w:hAnsi="inherit" w:cs="Times New Roman"/>
                <w:kern w:val="0"/>
                <w:sz w:val="24"/>
                <w:szCs w:val="24"/>
                <w:lang w:eastAsia="en-AU"/>
                <w14:ligatures w14:val="none"/>
              </w:rPr>
              <w:t>91180 / 91</w:t>
            </w:r>
            <w:r w:rsidR="00C96C7B" w:rsidRPr="00C96C7B">
              <w:rPr>
                <w:rFonts w:ascii="inherit" w:eastAsia="Times New Roman" w:hAnsi="inherit" w:cs="Times New Roman"/>
                <w:kern w:val="0"/>
                <w:sz w:val="24"/>
                <w:szCs w:val="24"/>
                <w:lang w:eastAsia="en-AU"/>
                <w14:ligatures w14:val="none"/>
              </w:rPr>
              <w:br/>
            </w: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3A00C03A" w14:textId="4A42AE42" w:rsidR="00C96C7B" w:rsidRPr="00C96C7B" w:rsidRDefault="00C96C7B" w:rsidP="00C96C7B">
            <w:pPr>
              <w:spacing w:after="0" w:line="240" w:lineRule="auto"/>
              <w:rPr>
                <w:rFonts w:ascii="inherit" w:eastAsia="Times New Roman" w:hAnsi="inherit" w:cs="Times New Roman"/>
                <w:b/>
                <w:bCs/>
                <w:kern w:val="0"/>
                <w:sz w:val="24"/>
                <w:szCs w:val="24"/>
                <w:lang w:eastAsia="en-AU"/>
                <w14:ligatures w14:val="none"/>
              </w:rPr>
            </w:pPr>
            <w:r w:rsidRPr="00C96C7B">
              <w:rPr>
                <w:rFonts w:ascii="inherit" w:eastAsia="Times New Roman" w:hAnsi="inherit" w:cs="Times New Roman"/>
                <w:b/>
                <w:bCs/>
                <w:kern w:val="0"/>
                <w:sz w:val="24"/>
                <w:szCs w:val="24"/>
                <w:lang w:eastAsia="en-AU"/>
                <w14:ligatures w14:val="none"/>
              </w:rPr>
              <w:t>$1</w:t>
            </w:r>
            <w:r w:rsidR="00816C40" w:rsidRPr="00816C40">
              <w:rPr>
                <w:rFonts w:ascii="inherit" w:eastAsia="Times New Roman" w:hAnsi="inherit" w:cs="Times New Roman"/>
                <w:b/>
                <w:bCs/>
                <w:kern w:val="0"/>
                <w:sz w:val="24"/>
                <w:szCs w:val="24"/>
                <w:lang w:eastAsia="en-AU"/>
                <w14:ligatures w14:val="none"/>
              </w:rPr>
              <w:t>0</w:t>
            </w:r>
            <w:r w:rsidRPr="00C96C7B">
              <w:rPr>
                <w:rFonts w:ascii="inherit" w:eastAsia="Times New Roman" w:hAnsi="inherit" w:cs="Times New Roman"/>
                <w:b/>
                <w:bCs/>
                <w:kern w:val="0"/>
                <w:sz w:val="24"/>
                <w:szCs w:val="24"/>
                <w:lang w:eastAsia="en-AU"/>
                <w14:ligatures w14:val="none"/>
              </w:rPr>
              <w:t>0.00</w:t>
            </w: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49DB4032" w14:textId="11C4524E" w:rsidR="00C96C7B" w:rsidRPr="00C96C7B" w:rsidRDefault="00C96C7B" w:rsidP="00C96C7B">
            <w:pPr>
              <w:spacing w:after="0" w:line="240" w:lineRule="auto"/>
              <w:rPr>
                <w:rFonts w:ascii="inherit" w:eastAsia="Times New Roman" w:hAnsi="inherit" w:cs="Times New Roman"/>
                <w:kern w:val="0"/>
                <w:sz w:val="24"/>
                <w:szCs w:val="24"/>
                <w:lang w:eastAsia="en-AU"/>
                <w14:ligatures w14:val="none"/>
              </w:rPr>
            </w:pPr>
            <w:r w:rsidRPr="00C96C7B">
              <w:rPr>
                <w:rFonts w:ascii="inherit" w:eastAsia="Times New Roman" w:hAnsi="inherit" w:cs="Times New Roman"/>
                <w:kern w:val="0"/>
                <w:sz w:val="24"/>
                <w:szCs w:val="24"/>
                <w:lang w:eastAsia="en-AU"/>
                <w14:ligatures w14:val="none"/>
              </w:rPr>
              <w:t>$</w:t>
            </w:r>
            <w:r w:rsidR="00816C40">
              <w:rPr>
                <w:rFonts w:ascii="inherit" w:eastAsia="Times New Roman" w:hAnsi="inherit" w:cs="Times New Roman"/>
                <w:kern w:val="0"/>
                <w:sz w:val="24"/>
                <w:szCs w:val="24"/>
                <w:lang w:eastAsia="en-AU"/>
                <w14:ligatures w14:val="none"/>
              </w:rPr>
              <w:t>54.85</w:t>
            </w:r>
          </w:p>
        </w:tc>
        <w:tc>
          <w:tcPr>
            <w:tcW w:w="0" w:type="auto"/>
            <w:tcBorders>
              <w:top w:val="single" w:sz="2" w:space="0" w:color="auto"/>
              <w:left w:val="single" w:sz="2" w:space="0" w:color="auto"/>
              <w:bottom w:val="single" w:sz="6" w:space="0" w:color="auto"/>
              <w:right w:val="single" w:sz="6" w:space="0" w:color="auto"/>
            </w:tcBorders>
            <w:tcMar>
              <w:top w:w="75" w:type="dxa"/>
              <w:left w:w="150" w:type="dxa"/>
              <w:bottom w:w="75" w:type="dxa"/>
              <w:right w:w="150" w:type="dxa"/>
            </w:tcMar>
            <w:vAlign w:val="bottom"/>
            <w:hideMark/>
          </w:tcPr>
          <w:p w14:paraId="7B3A90CF" w14:textId="11E54061" w:rsidR="00C96C7B" w:rsidRPr="00C96C7B" w:rsidRDefault="00C96C7B" w:rsidP="00C96C7B">
            <w:pPr>
              <w:spacing w:after="0" w:line="240" w:lineRule="auto"/>
              <w:rPr>
                <w:rFonts w:ascii="inherit" w:eastAsia="Times New Roman" w:hAnsi="inherit" w:cs="Times New Roman"/>
                <w:b/>
                <w:bCs/>
                <w:kern w:val="0"/>
                <w:sz w:val="24"/>
                <w:szCs w:val="24"/>
                <w:lang w:eastAsia="en-AU"/>
                <w14:ligatures w14:val="none"/>
              </w:rPr>
            </w:pPr>
            <w:r w:rsidRPr="00C96C7B">
              <w:rPr>
                <w:rFonts w:ascii="inherit" w:eastAsia="Times New Roman" w:hAnsi="inherit" w:cs="Times New Roman"/>
                <w:b/>
                <w:bCs/>
                <w:kern w:val="0"/>
                <w:sz w:val="24"/>
                <w:szCs w:val="24"/>
                <w:lang w:eastAsia="en-AU"/>
                <w14:ligatures w14:val="none"/>
              </w:rPr>
              <w:t>$4</w:t>
            </w:r>
            <w:r w:rsidR="00816C40" w:rsidRPr="00816C40">
              <w:rPr>
                <w:rFonts w:ascii="inherit" w:eastAsia="Times New Roman" w:hAnsi="inherit" w:cs="Times New Roman"/>
                <w:b/>
                <w:bCs/>
                <w:kern w:val="0"/>
                <w:sz w:val="24"/>
                <w:szCs w:val="24"/>
                <w:lang w:eastAsia="en-AU"/>
                <w14:ligatures w14:val="none"/>
              </w:rPr>
              <w:t>5.15</w:t>
            </w:r>
          </w:p>
        </w:tc>
      </w:tr>
    </w:tbl>
    <w:p w14:paraId="61B5469A" w14:textId="77777777" w:rsidR="00C96C7B" w:rsidRDefault="00C96C7B"/>
    <w:sectPr w:rsidR="00C96C7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6BD7" w14:textId="77777777" w:rsidR="00504B9E" w:rsidRDefault="00504B9E" w:rsidP="00C96C7B">
      <w:pPr>
        <w:spacing w:after="0" w:line="240" w:lineRule="auto"/>
      </w:pPr>
      <w:r>
        <w:separator/>
      </w:r>
    </w:p>
  </w:endnote>
  <w:endnote w:type="continuationSeparator" w:id="0">
    <w:p w14:paraId="7317FAFA" w14:textId="77777777" w:rsidR="00504B9E" w:rsidRDefault="00504B9E" w:rsidP="00C9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B113" w14:textId="77777777" w:rsidR="00504B9E" w:rsidRDefault="00504B9E" w:rsidP="00C96C7B">
      <w:pPr>
        <w:spacing w:after="0" w:line="240" w:lineRule="auto"/>
      </w:pPr>
      <w:r>
        <w:separator/>
      </w:r>
    </w:p>
  </w:footnote>
  <w:footnote w:type="continuationSeparator" w:id="0">
    <w:p w14:paraId="5C777FBE" w14:textId="77777777" w:rsidR="00504B9E" w:rsidRDefault="00504B9E" w:rsidP="00C9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4643" w14:textId="77777777" w:rsidR="00C96C7B" w:rsidRDefault="00C96C7B" w:rsidP="00C96C7B">
    <w:pPr>
      <w:pStyle w:val="Heading1"/>
      <w:jc w:val="center"/>
    </w:pPr>
    <w:r>
      <w:rPr>
        <w:noProof/>
      </w:rPr>
      <w:drawing>
        <wp:anchor distT="0" distB="0" distL="114300" distR="114300" simplePos="0" relativeHeight="251659264" behindDoc="1" locked="0" layoutInCell="1" allowOverlap="1" wp14:anchorId="2E936882" wp14:editId="681D15CC">
          <wp:simplePos x="0" y="0"/>
          <wp:positionH relativeFrom="column">
            <wp:posOffset>4819650</wp:posOffset>
          </wp:positionH>
          <wp:positionV relativeFrom="paragraph">
            <wp:posOffset>-287655</wp:posOffset>
          </wp:positionV>
          <wp:extent cx="1552575" cy="887407"/>
          <wp:effectExtent l="0" t="0" r="0" b="8255"/>
          <wp:wrapNone/>
          <wp:docPr id="846149367" name="Picture 1"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49367" name="Picture 1" descr="A logo with green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887407"/>
                  </a:xfrm>
                  <a:prstGeom prst="rect">
                    <a:avLst/>
                  </a:prstGeom>
                </pic:spPr>
              </pic:pic>
            </a:graphicData>
          </a:graphic>
          <wp14:sizeRelH relativeFrom="page">
            <wp14:pctWidth>0</wp14:pctWidth>
          </wp14:sizeRelH>
          <wp14:sizeRelV relativeFrom="page">
            <wp14:pctHeight>0</wp14:pctHeight>
          </wp14:sizeRelV>
        </wp:anchor>
      </w:drawing>
    </w:r>
    <w:r>
      <w:t xml:space="preserve">TRANQUILIT HC </w:t>
    </w:r>
  </w:p>
  <w:p w14:paraId="27B1345C" w14:textId="679651BA" w:rsidR="00C96C7B" w:rsidRDefault="00C96C7B" w:rsidP="00C96C7B">
    <w:pPr>
      <w:pStyle w:val="Heading1"/>
      <w:jc w:val="center"/>
    </w:pPr>
    <w:r>
      <w:t>BILLING</w:t>
    </w:r>
    <w:r>
      <w:t xml:space="preserve"> POLICY - </w:t>
    </w:r>
  </w:p>
  <w:p w14:paraId="543273DB" w14:textId="77777777" w:rsidR="00C96C7B" w:rsidRPr="00C56B3A" w:rsidRDefault="00C96C7B" w:rsidP="00C96C7B">
    <w:pPr>
      <w:pStyle w:val="Heading1"/>
      <w:jc w:val="center"/>
      <w:rPr>
        <w:rFonts w:ascii="Arial" w:hAnsi="Arial" w:cs="Arial"/>
        <w:sz w:val="20"/>
        <w:szCs w:val="20"/>
      </w:rPr>
    </w:pPr>
    <w:r w:rsidRPr="00C56B3A">
      <w:rPr>
        <w:rFonts w:ascii="Arial" w:hAnsi="Arial" w:cs="Arial"/>
        <w:sz w:val="20"/>
        <w:szCs w:val="20"/>
      </w:rPr>
      <w:t xml:space="preserve">04 </w:t>
    </w:r>
    <w:proofErr w:type="gramStart"/>
    <w:r w:rsidRPr="00C56B3A">
      <w:rPr>
        <w:rFonts w:ascii="Arial" w:hAnsi="Arial" w:cs="Arial"/>
        <w:sz w:val="20"/>
        <w:szCs w:val="20"/>
      </w:rPr>
      <w:t>January  2024</w:t>
    </w:r>
    <w:proofErr w:type="gramEnd"/>
  </w:p>
  <w:p w14:paraId="10E8C5D8" w14:textId="77777777" w:rsidR="00C96C7B" w:rsidRPr="00C96C7B" w:rsidRDefault="00C96C7B" w:rsidP="00C96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7B"/>
    <w:rsid w:val="00504B9E"/>
    <w:rsid w:val="00816C40"/>
    <w:rsid w:val="00C81B37"/>
    <w:rsid w:val="00C96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9795"/>
  <w15:chartTrackingRefBased/>
  <w15:docId w15:val="{DAA17A98-59D8-4CF9-ABD4-AB470F75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C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C7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C96C7B"/>
    <w:rPr>
      <w:b/>
      <w:bCs/>
    </w:rPr>
  </w:style>
  <w:style w:type="paragraph" w:styleId="Header">
    <w:name w:val="header"/>
    <w:basedOn w:val="Normal"/>
    <w:link w:val="HeaderChar"/>
    <w:uiPriority w:val="99"/>
    <w:unhideWhenUsed/>
    <w:rsid w:val="00C96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C7B"/>
  </w:style>
  <w:style w:type="paragraph" w:styleId="Footer">
    <w:name w:val="footer"/>
    <w:basedOn w:val="Normal"/>
    <w:link w:val="FooterChar"/>
    <w:uiPriority w:val="99"/>
    <w:unhideWhenUsed/>
    <w:rsid w:val="00C96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C7B"/>
  </w:style>
  <w:style w:type="character" w:customStyle="1" w:styleId="Heading1Char">
    <w:name w:val="Heading 1 Char"/>
    <w:basedOn w:val="DefaultParagraphFont"/>
    <w:link w:val="Heading1"/>
    <w:uiPriority w:val="9"/>
    <w:rsid w:val="00C96C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Spinks</dc:creator>
  <cp:keywords/>
  <dc:description/>
  <cp:lastModifiedBy>Adam Spinks</cp:lastModifiedBy>
  <cp:revision>3</cp:revision>
  <dcterms:created xsi:type="dcterms:W3CDTF">2024-01-04T07:13:00Z</dcterms:created>
  <dcterms:modified xsi:type="dcterms:W3CDTF">2024-01-04T07:40:00Z</dcterms:modified>
</cp:coreProperties>
</file>