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8C37E" w14:textId="7F65D33C" w:rsidR="00B56EA4" w:rsidRPr="00274B15" w:rsidRDefault="00967C3C">
      <w:pPr>
        <w:rPr>
          <w:b/>
          <w:bCs/>
          <w:u w:val="single"/>
        </w:rPr>
      </w:pPr>
      <w:r w:rsidRPr="00274B15">
        <w:rPr>
          <w:b/>
          <w:bCs/>
          <w:u w:val="single"/>
        </w:rPr>
        <w:t xml:space="preserve">Bitcoin Node Runners - </w:t>
      </w:r>
      <w:r w:rsidR="00B56EA4" w:rsidRPr="00274B15">
        <w:rPr>
          <w:b/>
          <w:bCs/>
          <w:u w:val="single"/>
        </w:rPr>
        <w:t xml:space="preserve">A Fifty State Survey of </w:t>
      </w:r>
      <w:r w:rsidR="00726293" w:rsidRPr="00274B15">
        <w:rPr>
          <w:b/>
          <w:bCs/>
          <w:u w:val="single"/>
        </w:rPr>
        <w:t>Possible</w:t>
      </w:r>
      <w:r w:rsidR="00B56EA4" w:rsidRPr="00274B15">
        <w:rPr>
          <w:b/>
          <w:bCs/>
          <w:u w:val="single"/>
        </w:rPr>
        <w:t xml:space="preserve"> </w:t>
      </w:r>
      <w:r w:rsidR="00726293" w:rsidRPr="00274B15">
        <w:rPr>
          <w:b/>
          <w:bCs/>
          <w:u w:val="single"/>
        </w:rPr>
        <w:t>Criminal Liability</w:t>
      </w:r>
      <w:r w:rsidR="00B56EA4" w:rsidRPr="00274B15">
        <w:rPr>
          <w:b/>
          <w:bCs/>
          <w:u w:val="single"/>
        </w:rPr>
        <w:t xml:space="preserve"> </w:t>
      </w:r>
      <w:r w:rsidRPr="00274B15">
        <w:rPr>
          <w:b/>
          <w:bCs/>
          <w:u w:val="single"/>
        </w:rPr>
        <w:t>Post-Core 30</w:t>
      </w:r>
    </w:p>
    <w:p w14:paraId="03EBC451" w14:textId="6216EA56" w:rsidR="00B56EA4" w:rsidRDefault="00654CDA">
      <w:r w:rsidRPr="00654CDA">
        <w:rPr>
          <w:b/>
          <w:bCs/>
          <w:u w:val="single"/>
        </w:rPr>
        <w:t>Introduction</w:t>
      </w:r>
      <w:r>
        <w:t xml:space="preserve">: </w:t>
      </w:r>
      <w:r w:rsidR="00B56EA4">
        <w:t xml:space="preserve">What a pity that I should even </w:t>
      </w:r>
      <w:r w:rsidR="00EE3F48">
        <w:t>think</w:t>
      </w:r>
      <w:r w:rsidR="00B56EA4">
        <w:t xml:space="preserve"> </w:t>
      </w:r>
      <w:proofErr w:type="gramStart"/>
      <w:r w:rsidR="00B56EA4">
        <w:t>to write</w:t>
      </w:r>
      <w:proofErr w:type="gramEnd"/>
      <w:r w:rsidR="00B56EA4">
        <w:t xml:space="preserve"> this. The OP_RETURN debate has exposed the risk that Bitcoin nodes, particularly those running Core 30, could end up serving as vectors for the electronic </w:t>
      </w:r>
      <w:r w:rsidR="004E463B">
        <w:t>storage</w:t>
      </w:r>
      <w:r w:rsidR="00B56EA4">
        <w:t xml:space="preserve"> and distribution of Child Sexual Abuse Material (CSAM)</w:t>
      </w:r>
      <w:r w:rsidR="00C4794B">
        <w:rPr>
          <w:rStyle w:val="FootnoteReference"/>
        </w:rPr>
        <w:footnoteReference w:id="1"/>
      </w:r>
      <w:r w:rsidR="00B56EA4">
        <w:t xml:space="preserve">. The mere possibility of this occurring disgusts me, and you. </w:t>
      </w:r>
      <w:r w:rsidR="00750333">
        <w:t xml:space="preserve">I really hope that a year from now this article ends up being nothing more than an academic curiosity, </w:t>
      </w:r>
      <w:proofErr w:type="gramStart"/>
      <w:r w:rsidR="00750333">
        <w:t>but,</w:t>
      </w:r>
      <w:proofErr w:type="gramEnd"/>
      <w:r w:rsidR="00750333">
        <w:t xml:space="preserve"> </w:t>
      </w:r>
      <w:r w:rsidR="00B56EA4">
        <w:t>this is the world we live in, and the question we must now answer is, “</w:t>
      </w:r>
      <w:r w:rsidR="00B56EA4" w:rsidRPr="00750333">
        <w:rPr>
          <w:b/>
          <w:bCs/>
          <w:i/>
          <w:iCs/>
        </w:rPr>
        <w:t>will running a Bitcoin node land me in jail</w:t>
      </w:r>
      <w:r w:rsidR="00B56EA4">
        <w:t xml:space="preserve">”? I </w:t>
      </w:r>
      <w:proofErr w:type="gramStart"/>
      <w:r w:rsidR="00B56EA4">
        <w:t>explore</w:t>
      </w:r>
      <w:proofErr w:type="gramEnd"/>
      <w:r w:rsidR="00B56EA4">
        <w:t xml:space="preserve"> </w:t>
      </w:r>
      <w:proofErr w:type="gramStart"/>
      <w:r w:rsidR="00B56EA4">
        <w:t>that</w:t>
      </w:r>
      <w:proofErr w:type="gramEnd"/>
      <w:r w:rsidR="00B56EA4">
        <w:t xml:space="preserve"> question below.</w:t>
      </w:r>
      <w:r w:rsidR="00EF4AF4">
        <w:t xml:space="preserve"> My audience for this piece is </w:t>
      </w:r>
      <w:proofErr w:type="spellStart"/>
      <w:r w:rsidR="00EF4AF4">
        <w:t>bitcoiners</w:t>
      </w:r>
      <w:proofErr w:type="spellEnd"/>
      <w:r w:rsidR="00EF4AF4">
        <w:t xml:space="preserve"> of all stripes, especially </w:t>
      </w:r>
      <w:r w:rsidR="00726293">
        <w:t>node runners</w:t>
      </w:r>
      <w:r w:rsidR="00EF4AF4">
        <w:t xml:space="preserve">. While law, like Bitcoin itself, can get </w:t>
      </w:r>
      <w:proofErr w:type="gramStart"/>
      <w:r w:rsidR="00EF4AF4">
        <w:t>pretty technical</w:t>
      </w:r>
      <w:proofErr w:type="gramEnd"/>
      <w:r w:rsidR="00EF4AF4">
        <w:t>, I will make every effort to break these concepts down into plain English.</w:t>
      </w:r>
    </w:p>
    <w:p w14:paraId="175C0155" w14:textId="37CE7571" w:rsidR="00EF4AF4" w:rsidRDefault="00B56EA4">
      <w:r w:rsidRPr="00654CDA">
        <w:rPr>
          <w:b/>
          <w:bCs/>
          <w:u w:val="single"/>
        </w:rPr>
        <w:t>Background</w:t>
      </w:r>
      <w:r>
        <w:t xml:space="preserve">: I am </w:t>
      </w:r>
      <w:r w:rsidR="00967C3C">
        <w:t xml:space="preserve">an </w:t>
      </w:r>
      <w:r>
        <w:t xml:space="preserve">attorney </w:t>
      </w:r>
      <w:proofErr w:type="gramStart"/>
      <w:r>
        <w:t>of</w:t>
      </w:r>
      <w:proofErr w:type="gramEnd"/>
      <w:r>
        <w:t xml:space="preserve"> </w:t>
      </w:r>
      <w:r w:rsidR="00D6460C">
        <w:t xml:space="preserve">many years </w:t>
      </w:r>
      <w:r>
        <w:t>of experience.</w:t>
      </w:r>
      <w:r w:rsidR="00D6460C">
        <w:t xml:space="preserve"> </w:t>
      </w:r>
      <w:r>
        <w:t>I am good at researching</w:t>
      </w:r>
      <w:r w:rsidR="00EF4AF4">
        <w:t xml:space="preserve"> and understanding</w:t>
      </w:r>
      <w:r>
        <w:t xml:space="preserve"> legal issues. While I am not a </w:t>
      </w:r>
      <w:r w:rsidR="00EF4AF4">
        <w:t>developer,</w:t>
      </w:r>
      <w:r>
        <w:t xml:space="preserve"> I also have a reasonably good understanding of how Bitcoin </w:t>
      </w:r>
      <w:r w:rsidR="00EF4AF4">
        <w:t>works at the technical level. I did a very deep dive on the specifics of OP_</w:t>
      </w:r>
      <w:proofErr w:type="gramStart"/>
      <w:r w:rsidR="00EF4AF4">
        <w:t>RETURN, and</w:t>
      </w:r>
      <w:proofErr w:type="gramEnd"/>
      <w:r w:rsidR="00EF4AF4">
        <w:t xml:space="preserve"> have carefully and objectively considered both sides of the arguments around this change. </w:t>
      </w:r>
    </w:p>
    <w:p w14:paraId="79CDF401" w14:textId="5F6C47BA" w:rsidR="00EF4AF4" w:rsidRDefault="005A367F">
      <w:r w:rsidRPr="00654CDA">
        <w:rPr>
          <w:b/>
          <w:bCs/>
          <w:u w:val="single"/>
        </w:rPr>
        <w:t>Disclaimers</w:t>
      </w:r>
      <w:r>
        <w:t xml:space="preserve">: </w:t>
      </w:r>
      <w:r w:rsidR="00EF4AF4">
        <w:t>That all said, what kind of lawyer would I be without a few disclaimers? The disclaimers are:</w:t>
      </w:r>
    </w:p>
    <w:p w14:paraId="37981DB6" w14:textId="63CD9675" w:rsidR="000356FF" w:rsidRDefault="00EF4AF4" w:rsidP="00EF4AF4">
      <w:pPr>
        <w:pStyle w:val="ListParagraph"/>
        <w:numPr>
          <w:ilvl w:val="0"/>
          <w:numId w:val="1"/>
        </w:numPr>
      </w:pPr>
      <w:r>
        <w:t xml:space="preserve">My analysis considers </w:t>
      </w:r>
      <w:r w:rsidR="00441EDF">
        <w:t xml:space="preserve">the laws of </w:t>
      </w:r>
      <w:r>
        <w:t xml:space="preserve">all fifty states. Nothing in this article is intended to substitute for the opinion </w:t>
      </w:r>
      <w:r w:rsidR="000356FF">
        <w:t xml:space="preserve">and experience of licensed attorneys in each state, especially those who are </w:t>
      </w:r>
      <w:r w:rsidR="00967C3C">
        <w:t>intimately</w:t>
      </w:r>
      <w:r w:rsidR="000356FF">
        <w:t xml:space="preserve"> familiar with each state’s criminal</w:t>
      </w:r>
      <w:r w:rsidR="00247A68">
        <w:rPr>
          <w:rStyle w:val="FootnoteReference"/>
        </w:rPr>
        <w:footnoteReference w:id="2"/>
      </w:r>
      <w:r w:rsidR="000356FF">
        <w:t xml:space="preserve"> </w:t>
      </w:r>
      <w:proofErr w:type="gramStart"/>
      <w:r w:rsidR="000356FF">
        <w:t>code;</w:t>
      </w:r>
      <w:proofErr w:type="gramEnd"/>
    </w:p>
    <w:p w14:paraId="557FE52E" w14:textId="589BCC06" w:rsidR="00B56EA4" w:rsidRDefault="00967C3C" w:rsidP="00EF4AF4">
      <w:pPr>
        <w:pStyle w:val="ListParagraph"/>
        <w:numPr>
          <w:ilvl w:val="0"/>
          <w:numId w:val="1"/>
        </w:numPr>
      </w:pPr>
      <w:r>
        <w:t xml:space="preserve">Nothing in this article should </w:t>
      </w:r>
      <w:proofErr w:type="gramStart"/>
      <w:r>
        <w:t>be considered to be</w:t>
      </w:r>
      <w:proofErr w:type="gramEnd"/>
      <w:r w:rsidR="00441EDF">
        <w:t xml:space="preserve"> any form of</w:t>
      </w:r>
      <w:r>
        <w:t xml:space="preserve"> legal</w:t>
      </w:r>
      <w:r w:rsidR="00441EDF">
        <w:t>, financial or other</w:t>
      </w:r>
      <w:r>
        <w:t xml:space="preserve"> advice. Despite the standard assumptions I discuss below, the facts of every situation will </w:t>
      </w:r>
      <w:proofErr w:type="gramStart"/>
      <w:r>
        <w:t>differ</w:t>
      </w:r>
      <w:r w:rsidR="00726293">
        <w:t>;</w:t>
      </w:r>
      <w:proofErr w:type="gramEnd"/>
    </w:p>
    <w:p w14:paraId="01A716D7" w14:textId="22F884BD" w:rsidR="00967C3C" w:rsidRDefault="00967C3C" w:rsidP="00EF4AF4">
      <w:pPr>
        <w:pStyle w:val="ListParagraph"/>
        <w:numPr>
          <w:ilvl w:val="0"/>
          <w:numId w:val="1"/>
        </w:numPr>
      </w:pPr>
      <w:r>
        <w:t>Nothing in this article, or any</w:t>
      </w:r>
      <w:r w:rsidR="007A7AB5">
        <w:t xml:space="preserve"> related</w:t>
      </w:r>
      <w:r>
        <w:t xml:space="preserve"> interactions with me</w:t>
      </w:r>
      <w:r w:rsidR="00441EDF">
        <w:t xml:space="preserve">, should they occur, </w:t>
      </w:r>
      <w:r>
        <w:t xml:space="preserve">electronically or otherwise, </w:t>
      </w:r>
      <w:proofErr w:type="gramStart"/>
      <w:r>
        <w:t>form</w:t>
      </w:r>
      <w:r w:rsidR="00726293">
        <w:t>s</w:t>
      </w:r>
      <w:proofErr w:type="gramEnd"/>
      <w:r>
        <w:t xml:space="preserve"> or </w:t>
      </w:r>
      <w:proofErr w:type="gramStart"/>
      <w:r>
        <w:t>continue</w:t>
      </w:r>
      <w:r w:rsidR="00726293">
        <w:t>s</w:t>
      </w:r>
      <w:proofErr w:type="gramEnd"/>
      <w:r>
        <w:t xml:space="preserve"> an attorney-client relationship</w:t>
      </w:r>
      <w:r w:rsidR="007A7AB5">
        <w:t xml:space="preserve">, or </w:t>
      </w:r>
      <w:proofErr w:type="gramStart"/>
      <w:r w:rsidR="007A7AB5">
        <w:t>establishes</w:t>
      </w:r>
      <w:proofErr w:type="gramEnd"/>
      <w:r w:rsidR="007A7AB5">
        <w:t xml:space="preserve"> attorney-client privilege or </w:t>
      </w:r>
      <w:proofErr w:type="gramStart"/>
      <w:r w:rsidR="007A7AB5">
        <w:t>confidentiality</w:t>
      </w:r>
      <w:r w:rsidR="00726293">
        <w:t>;</w:t>
      </w:r>
      <w:proofErr w:type="gramEnd"/>
    </w:p>
    <w:p w14:paraId="44257A5B" w14:textId="28056487" w:rsidR="00726293" w:rsidRDefault="00726293" w:rsidP="00EF4AF4">
      <w:pPr>
        <w:pStyle w:val="ListParagraph"/>
        <w:numPr>
          <w:ilvl w:val="0"/>
          <w:numId w:val="1"/>
        </w:numPr>
      </w:pPr>
      <w:r>
        <w:t xml:space="preserve">This article is intended for informational purposes only. Contact a licensed attorney in your state for more definitive, personalized legal </w:t>
      </w:r>
      <w:proofErr w:type="gramStart"/>
      <w:r>
        <w:t>advice;</w:t>
      </w:r>
      <w:proofErr w:type="gramEnd"/>
    </w:p>
    <w:p w14:paraId="5EC51F9B" w14:textId="4243C490" w:rsidR="00726293" w:rsidRDefault="00726293" w:rsidP="00EF4AF4">
      <w:pPr>
        <w:pStyle w:val="ListParagraph"/>
        <w:numPr>
          <w:ilvl w:val="0"/>
          <w:numId w:val="1"/>
        </w:numPr>
      </w:pPr>
      <w:r>
        <w:t xml:space="preserve">While I have been careful to review and verify everything in this article, it is nevertheless likely to contain errors. It is solely the reader’s responsibility to </w:t>
      </w:r>
      <w:r>
        <w:lastRenderedPageBreak/>
        <w:t xml:space="preserve">verify any of the information contained herein. I welcome good faith corrections and respectful, topical </w:t>
      </w:r>
      <w:proofErr w:type="gramStart"/>
      <w:r>
        <w:t>feedback</w:t>
      </w:r>
      <w:r w:rsidR="005F7A9F">
        <w:t>;</w:t>
      </w:r>
      <w:proofErr w:type="gramEnd"/>
    </w:p>
    <w:p w14:paraId="5F89500D" w14:textId="22C84DED" w:rsidR="005F7A9F" w:rsidRDefault="005F7A9F" w:rsidP="00EF4AF4">
      <w:pPr>
        <w:pStyle w:val="ListParagraph"/>
        <w:numPr>
          <w:ilvl w:val="0"/>
          <w:numId w:val="1"/>
        </w:numPr>
      </w:pPr>
      <w:r>
        <w:t xml:space="preserve">I received no sponsorship or payment of any kind from anyone in connection with this </w:t>
      </w:r>
      <w:r w:rsidR="00654CDA">
        <w:t>a</w:t>
      </w:r>
      <w:r>
        <w:t xml:space="preserve">rticle. It is entirely my </w:t>
      </w:r>
      <w:proofErr w:type="gramStart"/>
      <w:r w:rsidR="00654CDA">
        <w:t>thought</w:t>
      </w:r>
      <w:proofErr w:type="gramEnd"/>
      <w:r w:rsidR="00654CDA">
        <w:t xml:space="preserve">, </w:t>
      </w:r>
      <w:r>
        <w:t>work and opinion.</w:t>
      </w:r>
    </w:p>
    <w:p w14:paraId="708BB0EC" w14:textId="4A2676F5" w:rsidR="005A367F" w:rsidRDefault="00EF4AF4" w:rsidP="005A367F">
      <w:r w:rsidRPr="00654CDA">
        <w:rPr>
          <w:b/>
          <w:bCs/>
          <w:u w:val="single"/>
        </w:rPr>
        <w:t>Assumptions</w:t>
      </w:r>
      <w:r>
        <w:t xml:space="preserve">: </w:t>
      </w:r>
      <w:proofErr w:type="gramStart"/>
      <w:r>
        <w:t>In or</w:t>
      </w:r>
      <w:r w:rsidR="005A367F">
        <w:t>der for</w:t>
      </w:r>
      <w:proofErr w:type="gramEnd"/>
      <w:r w:rsidR="005A367F">
        <w:t xml:space="preserve"> us to unpack these issues in a meaningful way, we need to work from some assumptions, that is, we need to conceive of a “typical” node runner (who I will refer to herein as the “User”), as follows:</w:t>
      </w:r>
    </w:p>
    <w:p w14:paraId="7DEAD121" w14:textId="142CD003" w:rsidR="005A367F" w:rsidRDefault="005A367F" w:rsidP="007775B4">
      <w:pPr>
        <w:pStyle w:val="ListParagraph"/>
        <w:numPr>
          <w:ilvl w:val="0"/>
          <w:numId w:val="3"/>
        </w:numPr>
      </w:pPr>
      <w:r>
        <w:t xml:space="preserve">The User is an individual node runner, that is, a human being running a Bitcoin node on his or her computer. While many of the concepts I discuss in this article would apply to all node </w:t>
      </w:r>
      <w:r w:rsidR="005F7A9F">
        <w:t>runners</w:t>
      </w:r>
      <w:r>
        <w:t xml:space="preserve"> (including large pools, mining companies, and so forth), my hypothetical User is an </w:t>
      </w:r>
      <w:proofErr w:type="gramStart"/>
      <w:r>
        <w:t>individual;</w:t>
      </w:r>
      <w:proofErr w:type="gramEnd"/>
    </w:p>
    <w:p w14:paraId="287A23F8" w14:textId="624506A0" w:rsidR="00F05628" w:rsidRDefault="00F05628" w:rsidP="007775B4">
      <w:pPr>
        <w:pStyle w:val="ListParagraph"/>
        <w:numPr>
          <w:ilvl w:val="0"/>
          <w:numId w:val="3"/>
        </w:numPr>
      </w:pPr>
      <w:r>
        <w:t xml:space="preserve">The User is at least 18 years </w:t>
      </w:r>
      <w:proofErr w:type="gramStart"/>
      <w:r>
        <w:t>old;</w:t>
      </w:r>
      <w:proofErr w:type="gramEnd"/>
    </w:p>
    <w:p w14:paraId="4FEC494D" w14:textId="0F8E40E9" w:rsidR="005F7A9F" w:rsidRDefault="005A367F" w:rsidP="007775B4">
      <w:pPr>
        <w:pStyle w:val="ListParagraph"/>
        <w:numPr>
          <w:ilvl w:val="0"/>
          <w:numId w:val="3"/>
        </w:numPr>
      </w:pPr>
      <w:r>
        <w:t xml:space="preserve">The </w:t>
      </w:r>
      <w:r w:rsidR="003A464B">
        <w:t xml:space="preserve">type of </w:t>
      </w:r>
      <w:r>
        <w:t xml:space="preserve">hardware the User is running is irrelevant. It could be the User’s </w:t>
      </w:r>
      <w:r w:rsidR="003A464B">
        <w:t>desktop</w:t>
      </w:r>
      <w:r>
        <w:t xml:space="preserve"> computer</w:t>
      </w:r>
      <w:r w:rsidR="005F7A9F">
        <w:t>, a phone, tablet</w:t>
      </w:r>
      <w:r>
        <w:t xml:space="preserve"> or a dedicated device</w:t>
      </w:r>
      <w:r w:rsidR="005F7A9F">
        <w:t xml:space="preserve"> like a </w:t>
      </w:r>
      <w:proofErr w:type="gramStart"/>
      <w:r w:rsidR="005F7A9F">
        <w:t>Start9;</w:t>
      </w:r>
      <w:proofErr w:type="gramEnd"/>
    </w:p>
    <w:p w14:paraId="62457BC7" w14:textId="1120EF5D" w:rsidR="005A367F" w:rsidRDefault="005F7A9F" w:rsidP="007775B4">
      <w:pPr>
        <w:pStyle w:val="ListParagraph"/>
        <w:numPr>
          <w:ilvl w:val="0"/>
          <w:numId w:val="3"/>
        </w:numPr>
      </w:pPr>
      <w:r>
        <w:t xml:space="preserve">The User </w:t>
      </w:r>
      <w:r w:rsidRPr="005B2E1D">
        <w:rPr>
          <w:i/>
          <w:iCs/>
        </w:rPr>
        <w:t>controls</w:t>
      </w:r>
      <w:r>
        <w:t xml:space="preserve"> the device (that is, </w:t>
      </w:r>
      <w:r w:rsidR="005B2E1D">
        <w:t xml:space="preserve">the User exercises his or her own discretion over what the computer does and has on it, even if the User does not “own” the device (like a work </w:t>
      </w:r>
      <w:r w:rsidR="006E3113">
        <w:t xml:space="preserve">or borrowed </w:t>
      </w:r>
      <w:r w:rsidR="005B2E1D">
        <w:t xml:space="preserve">computer) or </w:t>
      </w:r>
      <w:r w:rsidR="005B2E1D" w:rsidRPr="005B2E1D">
        <w:rPr>
          <w:i/>
          <w:iCs/>
        </w:rPr>
        <w:t>shares</w:t>
      </w:r>
      <w:r w:rsidR="005B2E1D">
        <w:t xml:space="preserve"> ownership or control with, say, family members or friends</w:t>
      </w:r>
      <w:proofErr w:type="gramStart"/>
      <w:r w:rsidR="005B2E1D">
        <w:t>);</w:t>
      </w:r>
      <w:proofErr w:type="gramEnd"/>
    </w:p>
    <w:p w14:paraId="6177F09D" w14:textId="6216DFA0" w:rsidR="005A367F" w:rsidRDefault="005A367F" w:rsidP="007775B4">
      <w:pPr>
        <w:pStyle w:val="ListParagraph"/>
        <w:numPr>
          <w:ilvl w:val="0"/>
          <w:numId w:val="3"/>
        </w:numPr>
      </w:pPr>
      <w:r>
        <w:t xml:space="preserve">The User </w:t>
      </w:r>
      <w:r w:rsidR="005F7A9F">
        <w:t xml:space="preserve">is </w:t>
      </w:r>
      <w:r w:rsidR="005F7A9F" w:rsidRPr="005B2E1D">
        <w:rPr>
          <w:i/>
          <w:iCs/>
        </w:rPr>
        <w:t>voluntarily</w:t>
      </w:r>
      <w:r w:rsidR="005F7A9F">
        <w:t xml:space="preserve"> running a Bitcoin node on the device. In other words, there has been no unauthorized breach or infection of the User’s computer for the purpose of “crypto mining”</w:t>
      </w:r>
      <w:r w:rsidR="00A65AF3">
        <w:t xml:space="preserve">, planting CSAM, or the </w:t>
      </w:r>
      <w:proofErr w:type="gramStart"/>
      <w:r w:rsidR="00A65AF3">
        <w:t>like</w:t>
      </w:r>
      <w:r w:rsidR="005F7A9F">
        <w:t>;</w:t>
      </w:r>
      <w:proofErr w:type="gramEnd"/>
    </w:p>
    <w:p w14:paraId="50A0A124" w14:textId="5056CDB5" w:rsidR="005F7A9F" w:rsidRDefault="005F7A9F" w:rsidP="007775B4">
      <w:pPr>
        <w:pStyle w:val="ListParagraph"/>
        <w:numPr>
          <w:ilvl w:val="0"/>
          <w:numId w:val="3"/>
        </w:numPr>
      </w:pPr>
      <w:r>
        <w:t xml:space="preserve">The User has been following the OP_RETURN debate and understands the basic issues. </w:t>
      </w:r>
      <w:r w:rsidR="005B2E1D">
        <w:t>“Expertise” in every technical specific is not required, however, t</w:t>
      </w:r>
      <w:r>
        <w:t>he user</w:t>
      </w:r>
      <w:r w:rsidR="005B2E1D">
        <w:t xml:space="preserve"> </w:t>
      </w:r>
      <w:r>
        <w:t xml:space="preserve">understands that there is a </w:t>
      </w:r>
      <w:r w:rsidR="00606D20">
        <w:t xml:space="preserve">heightened </w:t>
      </w:r>
      <w:r>
        <w:t xml:space="preserve">risk that, post-Core 30, there </w:t>
      </w:r>
      <w:r w:rsidRPr="007775B4">
        <w:rPr>
          <w:i/>
          <w:iCs/>
        </w:rPr>
        <w:t>could</w:t>
      </w:r>
      <w:r>
        <w:t xml:space="preserve"> be CSAM in the OP_RETURN field</w:t>
      </w:r>
      <w:r w:rsidR="007775B4">
        <w:t xml:space="preserve">, </w:t>
      </w:r>
      <w:r w:rsidR="00606D20">
        <w:t>and elsewhere</w:t>
      </w:r>
      <w:r w:rsidR="007775B4">
        <w:t>,</w:t>
      </w:r>
      <w:r w:rsidR="00606D20">
        <w:t xml:space="preserve"> in Bitcoin transaction data</w:t>
      </w:r>
      <w:r w:rsidR="004E687B">
        <w:t>;</w:t>
      </w:r>
      <w:r w:rsidR="004E687B">
        <w:rPr>
          <w:rStyle w:val="FootnoteReference"/>
        </w:rPr>
        <w:footnoteReference w:id="3"/>
      </w:r>
    </w:p>
    <w:p w14:paraId="38F428CC" w14:textId="1856CFEA" w:rsidR="004E687B" w:rsidRDefault="004E687B" w:rsidP="007775B4">
      <w:pPr>
        <w:pStyle w:val="ListParagraph"/>
        <w:numPr>
          <w:ilvl w:val="0"/>
          <w:numId w:val="3"/>
        </w:numPr>
      </w:pPr>
      <w:r>
        <w:t xml:space="preserve">The User is a normal human being in the sense that he or she has zero desire, or </w:t>
      </w:r>
      <w:r w:rsidRPr="007775B4">
        <w:rPr>
          <w:i/>
          <w:iCs/>
        </w:rPr>
        <w:t>intent</w:t>
      </w:r>
      <w:r>
        <w:t>, to possess</w:t>
      </w:r>
      <w:r w:rsidR="0031201B">
        <w:t>, transmit</w:t>
      </w:r>
      <w:r>
        <w:t xml:space="preserve"> or view CSAM under any circumstances, whether on the User’s computer or </w:t>
      </w:r>
      <w:proofErr w:type="gramStart"/>
      <w:r>
        <w:t>otherwise</w:t>
      </w:r>
      <w:r w:rsidR="00606D20">
        <w:t>;</w:t>
      </w:r>
      <w:proofErr w:type="gramEnd"/>
    </w:p>
    <w:p w14:paraId="59090DC7" w14:textId="283FB2EE" w:rsidR="007775B4" w:rsidRDefault="007775B4" w:rsidP="007775B4">
      <w:pPr>
        <w:pStyle w:val="ListParagraph"/>
        <w:numPr>
          <w:ilvl w:val="0"/>
          <w:numId w:val="3"/>
        </w:numPr>
      </w:pPr>
      <w:r>
        <w:t xml:space="preserve">The User does </w:t>
      </w:r>
      <w:r w:rsidRPr="007775B4">
        <w:rPr>
          <w:b/>
          <w:bCs/>
        </w:rPr>
        <w:t>NOT</w:t>
      </w:r>
      <w:r>
        <w:t xml:space="preserve"> use any tool, indexer, parser, viewer or other software </w:t>
      </w:r>
      <w:r w:rsidR="003A464B">
        <w:t xml:space="preserve">or website </w:t>
      </w:r>
      <w:r>
        <w:t xml:space="preserve">external to the node software itself which is designed to render (that is, make viewable to the human eye) images or videos in the User’s </w:t>
      </w:r>
      <w:proofErr w:type="spellStart"/>
      <w:r>
        <w:t>mempool</w:t>
      </w:r>
      <w:proofErr w:type="spellEnd"/>
      <w:r>
        <w:t>, or on the Bitcoin blockchain</w:t>
      </w:r>
      <w:r w:rsidR="00EE3F48">
        <w:t>; and</w:t>
      </w:r>
    </w:p>
    <w:p w14:paraId="185F0F77" w14:textId="6A308C1F" w:rsidR="00EE3F48" w:rsidRDefault="00EE3F48" w:rsidP="007775B4">
      <w:pPr>
        <w:pStyle w:val="ListParagraph"/>
        <w:numPr>
          <w:ilvl w:val="0"/>
          <w:numId w:val="3"/>
        </w:numPr>
      </w:pPr>
      <w:r>
        <w:lastRenderedPageBreak/>
        <w:t>The release of Core 30 results in materially more CSAM being present on the Bitcoin blockchain than may have been present prior to its release</w:t>
      </w:r>
      <w:r w:rsidR="000B202C">
        <w:t>.</w:t>
      </w:r>
    </w:p>
    <w:p w14:paraId="3DD5FE90" w14:textId="7ACCC088" w:rsidR="000B202C" w:rsidRDefault="000B202C" w:rsidP="000B202C">
      <w:r>
        <w:t>The sensitive issues discussed in this article are already out there, in volume, and the laws I consider are public and easily found online. I was cautious not to give anyone any ideas, any “ways around” the law. If you’re looking for that, you’re in the wrong place.</w:t>
      </w:r>
    </w:p>
    <w:p w14:paraId="4DEE28EB" w14:textId="24ED3ABE" w:rsidR="00EF4AF4" w:rsidRDefault="007775B4">
      <w:r>
        <w:t xml:space="preserve">Change any assumption, and you could change the result of the </w:t>
      </w:r>
      <w:r w:rsidR="00654CDA">
        <w:t>Legal Analysis</w:t>
      </w:r>
      <w:r>
        <w:t>.</w:t>
      </w:r>
    </w:p>
    <w:p w14:paraId="329FB729" w14:textId="215E9A9D" w:rsidR="00654CDA" w:rsidRDefault="00654CDA">
      <w:r w:rsidRPr="00654CDA">
        <w:rPr>
          <w:b/>
          <w:bCs/>
          <w:u w:val="single"/>
        </w:rPr>
        <w:t>Legal Analysis</w:t>
      </w:r>
      <w:r>
        <w:t>:</w:t>
      </w:r>
      <w:r w:rsidR="00A65AF3">
        <w:t xml:space="preserve"> I created a companion table that goes into each state’s laws, and the specifics of what kinds of circumstances could give rise to criminal liability for running a Bitcoin node. Be sure to hover over the column headings for definitions. If you are a </w:t>
      </w:r>
      <w:proofErr w:type="gramStart"/>
      <w:r w:rsidR="00A65AF3">
        <w:t>lawyer,</w:t>
      </w:r>
      <w:r w:rsidR="00C72571">
        <w:t xml:space="preserve"> </w:t>
      </w:r>
      <w:r w:rsidR="00A65AF3">
        <w:t>or</w:t>
      </w:r>
      <w:proofErr w:type="gramEnd"/>
      <w:r w:rsidR="00A65AF3">
        <w:t xml:space="preserve"> just want to skip ahead</w:t>
      </w:r>
      <w:r w:rsidR="00E4720E">
        <w:t xml:space="preserve"> and see for yourself</w:t>
      </w:r>
      <w:r w:rsidR="00A65AF3">
        <w:t>, go there now. If you would like a little background on what I’m talking about here, please read on. The following concepts are common threads that run through many areas of United States law, and the laws of other countries as well.</w:t>
      </w:r>
    </w:p>
    <w:p w14:paraId="6638D472" w14:textId="5A17901E" w:rsidR="00A65AF3" w:rsidRPr="00A45E46" w:rsidRDefault="00A65AF3">
      <w:pPr>
        <w:rPr>
          <w:i/>
          <w:iCs/>
          <w:color w:val="156082" w:themeColor="accent1"/>
        </w:rPr>
      </w:pPr>
      <w:r w:rsidRPr="00A45E46">
        <w:rPr>
          <w:i/>
          <w:iCs/>
          <w:color w:val="156082" w:themeColor="accent1"/>
        </w:rPr>
        <w:t>What makes up a criminal law?</w:t>
      </w:r>
    </w:p>
    <w:p w14:paraId="16811EE3" w14:textId="26E4CD51" w:rsidR="00A65AF3" w:rsidRDefault="00A65AF3">
      <w:r>
        <w:t xml:space="preserve">Law </w:t>
      </w:r>
      <w:proofErr w:type="gramStart"/>
      <w:r>
        <w:t>is a reflection of</w:t>
      </w:r>
      <w:proofErr w:type="gramEnd"/>
      <w:r>
        <w:t xml:space="preserve"> society, its values, its principles, its history. They exist because countries’ elected bodies, whoever that may be, come together and decide to identify conduct, or even ideas (especially these days!) that they deem to be “bad”. They define the conduct to be </w:t>
      </w:r>
      <w:proofErr w:type="gramStart"/>
      <w:r>
        <w:t>punished, and</w:t>
      </w:r>
      <w:proofErr w:type="gramEnd"/>
      <w:r>
        <w:t xml:space="preserve"> specify how severely the offender will be punished. In criminal law, this </w:t>
      </w:r>
      <w:r w:rsidR="004C32C1">
        <w:t>can</w:t>
      </w:r>
      <w:r>
        <w:t xml:space="preserve"> a monetary penalty, </w:t>
      </w:r>
      <w:r w:rsidR="004C32C1">
        <w:t>jail or even death</w:t>
      </w:r>
      <w:r>
        <w:t>.</w:t>
      </w:r>
      <w:r w:rsidR="00A45E46">
        <w:t xml:space="preserve"> A criminal law has </w:t>
      </w:r>
      <w:r w:rsidR="00091302">
        <w:t xml:space="preserve">several </w:t>
      </w:r>
      <w:r w:rsidR="00A45E46">
        <w:t>“ingredients”, as follows:</w:t>
      </w:r>
    </w:p>
    <w:p w14:paraId="5838B2F2" w14:textId="578D25C9" w:rsidR="00A45E46" w:rsidRDefault="00A45E46" w:rsidP="00A45E46">
      <w:pPr>
        <w:pStyle w:val="ListParagraph"/>
        <w:numPr>
          <w:ilvl w:val="0"/>
          <w:numId w:val="4"/>
        </w:numPr>
      </w:pPr>
      <w:r>
        <w:t xml:space="preserve">A </w:t>
      </w:r>
      <w:r w:rsidRPr="00A45E46">
        <w:rPr>
          <w:b/>
          <w:bCs/>
        </w:rPr>
        <w:t>legal</w:t>
      </w:r>
      <w:r>
        <w:t xml:space="preserve"> </w:t>
      </w:r>
      <w:r w:rsidRPr="00A45E46">
        <w:rPr>
          <w:b/>
          <w:bCs/>
        </w:rPr>
        <w:t>definition</w:t>
      </w:r>
      <w:r>
        <w:t xml:space="preserve"> of </w:t>
      </w:r>
      <w:proofErr w:type="gramStart"/>
      <w:r>
        <w:t>the prohibited</w:t>
      </w:r>
      <w:proofErr w:type="gramEnd"/>
      <w:r>
        <w:t xml:space="preserve"> conduct, that is, what behavior or actions must the offender exhibit or undertake </w:t>
      </w:r>
      <w:proofErr w:type="gramStart"/>
      <w:r>
        <w:t>in order to</w:t>
      </w:r>
      <w:proofErr w:type="gramEnd"/>
      <w:r>
        <w:t xml:space="preserve"> be potentially liable? This conduct is referred to as the </w:t>
      </w:r>
      <w:r w:rsidRPr="008C04A1">
        <w:rPr>
          <w:b/>
          <w:bCs/>
          <w:i/>
          <w:iCs/>
        </w:rPr>
        <w:t>actus reus</w:t>
      </w:r>
      <w:r>
        <w:t>, Latin for “guilty act</w:t>
      </w:r>
      <w:proofErr w:type="gramStart"/>
      <w:r>
        <w:t>”;</w:t>
      </w:r>
      <w:proofErr w:type="gramEnd"/>
    </w:p>
    <w:p w14:paraId="26B43AB5" w14:textId="77777777" w:rsidR="00A45E46" w:rsidRDefault="00A45E46" w:rsidP="00A45E46">
      <w:pPr>
        <w:pStyle w:val="ListParagraph"/>
      </w:pPr>
    </w:p>
    <w:p w14:paraId="0F3F1D78" w14:textId="580943D7" w:rsidR="00A45E46" w:rsidRDefault="00A45E46" w:rsidP="00A45E46">
      <w:pPr>
        <w:pStyle w:val="ListParagraph"/>
        <w:numPr>
          <w:ilvl w:val="0"/>
          <w:numId w:val="4"/>
        </w:numPr>
      </w:pPr>
      <w:r>
        <w:t xml:space="preserve">The </w:t>
      </w:r>
      <w:r w:rsidRPr="00A45E46">
        <w:rPr>
          <w:b/>
          <w:bCs/>
        </w:rPr>
        <w:t>state of mind</w:t>
      </w:r>
      <w:r w:rsidRPr="00A45E46">
        <w:t xml:space="preserve">, or </w:t>
      </w:r>
      <w:proofErr w:type="spellStart"/>
      <w:r w:rsidRPr="008C04A1">
        <w:rPr>
          <w:b/>
          <w:bCs/>
          <w:i/>
          <w:iCs/>
        </w:rPr>
        <w:t>mens</w:t>
      </w:r>
      <w:proofErr w:type="spellEnd"/>
      <w:r w:rsidRPr="008C04A1">
        <w:rPr>
          <w:b/>
          <w:bCs/>
          <w:i/>
          <w:iCs/>
        </w:rPr>
        <w:t xml:space="preserve"> rea</w:t>
      </w:r>
      <w:r w:rsidRPr="00A45E46">
        <w:t xml:space="preserve">, </w:t>
      </w:r>
      <w:r>
        <w:t xml:space="preserve">that must be present for the offender to be guilty of the crime. In Western society, we </w:t>
      </w:r>
      <w:r w:rsidR="008C04A1">
        <w:t>often</w:t>
      </w:r>
      <w:r>
        <w:t xml:space="preserve"> make distinctions between different states of mind in assigning criminal liability for the prohibited </w:t>
      </w:r>
      <w:r w:rsidRPr="00A45E46">
        <w:rPr>
          <w:i/>
          <w:iCs/>
        </w:rPr>
        <w:t>actus reus</w:t>
      </w:r>
      <w:r w:rsidR="008C04A1">
        <w:t xml:space="preserve">. For example, we may treat someone deemed to be “legally insane” (more of a popular, rather than a technical, term) differently from someone who is “in their right mind”. </w:t>
      </w:r>
      <w:proofErr w:type="spellStart"/>
      <w:r w:rsidR="008C04A1" w:rsidRPr="008C04A1">
        <w:rPr>
          <w:i/>
          <w:iCs/>
        </w:rPr>
        <w:t>Mens</w:t>
      </w:r>
      <w:proofErr w:type="spellEnd"/>
      <w:r w:rsidR="008C04A1" w:rsidRPr="008C04A1">
        <w:rPr>
          <w:i/>
          <w:iCs/>
        </w:rPr>
        <w:t xml:space="preserve"> rea</w:t>
      </w:r>
      <w:r>
        <w:t xml:space="preserve"> break</w:t>
      </w:r>
      <w:r w:rsidR="008C04A1">
        <w:t>s</w:t>
      </w:r>
      <w:r>
        <w:t xml:space="preserve"> down into four main categories:</w:t>
      </w:r>
    </w:p>
    <w:p w14:paraId="1E9934AA" w14:textId="77777777" w:rsidR="008C04A1" w:rsidRDefault="008C04A1" w:rsidP="008C04A1">
      <w:pPr>
        <w:pStyle w:val="ListParagraph"/>
        <w:ind w:left="1440"/>
      </w:pPr>
    </w:p>
    <w:p w14:paraId="36FF9E3F" w14:textId="767C6E1D" w:rsidR="00A45E46" w:rsidRDefault="00A45E46" w:rsidP="00A45E46">
      <w:pPr>
        <w:pStyle w:val="ListParagraph"/>
        <w:numPr>
          <w:ilvl w:val="1"/>
          <w:numId w:val="4"/>
        </w:numPr>
      </w:pPr>
      <w:r w:rsidRPr="00091302">
        <w:rPr>
          <w:u w:val="single"/>
        </w:rPr>
        <w:t>Intent</w:t>
      </w:r>
      <w:r>
        <w:t xml:space="preserve"> – The actor’s </w:t>
      </w:r>
      <w:r w:rsidRPr="004C32C1">
        <w:rPr>
          <w:i/>
          <w:iCs/>
        </w:rPr>
        <w:t>goal</w:t>
      </w:r>
      <w:r>
        <w:t xml:space="preserve"> is to cause the </w:t>
      </w:r>
      <w:r w:rsidR="004C32C1">
        <w:t>harm</w:t>
      </w:r>
      <w:r>
        <w:t>.</w:t>
      </w:r>
    </w:p>
    <w:p w14:paraId="05DC4C2F" w14:textId="38F58720" w:rsidR="00A45E46" w:rsidRDefault="004C32C1" w:rsidP="00A45E46">
      <w:pPr>
        <w:pStyle w:val="ListParagraph"/>
        <w:numPr>
          <w:ilvl w:val="1"/>
          <w:numId w:val="4"/>
        </w:numPr>
      </w:pPr>
      <w:r w:rsidRPr="00091302">
        <w:rPr>
          <w:u w:val="single"/>
        </w:rPr>
        <w:t>Knowledge</w:t>
      </w:r>
      <w:r>
        <w:t xml:space="preserve"> – The actor is </w:t>
      </w:r>
      <w:r w:rsidR="00A45E46" w:rsidRPr="004C32C1">
        <w:rPr>
          <w:i/>
          <w:iCs/>
        </w:rPr>
        <w:t>aware</w:t>
      </w:r>
      <w:r w:rsidR="00A45E46">
        <w:t xml:space="preserve"> the </w:t>
      </w:r>
      <w:r w:rsidR="008C04A1">
        <w:t>harm</w:t>
      </w:r>
      <w:r w:rsidR="00A45E46">
        <w:t xml:space="preserve"> is </w:t>
      </w:r>
      <w:r w:rsidR="00A45E46" w:rsidRPr="004C32C1">
        <w:rPr>
          <w:i/>
          <w:iCs/>
        </w:rPr>
        <w:t>virtually certain</w:t>
      </w:r>
      <w:r>
        <w:t xml:space="preserve"> </w:t>
      </w:r>
      <w:r w:rsidR="008C04A1">
        <w:t>to occur.</w:t>
      </w:r>
    </w:p>
    <w:p w14:paraId="4F95FBEA" w14:textId="306C5BA7" w:rsidR="00A45E46" w:rsidRDefault="004C32C1" w:rsidP="00A45E46">
      <w:pPr>
        <w:pStyle w:val="ListParagraph"/>
        <w:numPr>
          <w:ilvl w:val="1"/>
          <w:numId w:val="4"/>
        </w:numPr>
      </w:pPr>
      <w:r w:rsidRPr="00091302">
        <w:rPr>
          <w:u w:val="single"/>
        </w:rPr>
        <w:lastRenderedPageBreak/>
        <w:t>Recklessness</w:t>
      </w:r>
      <w:r>
        <w:t xml:space="preserve"> – The actor </w:t>
      </w:r>
      <w:r w:rsidRPr="004C32C1">
        <w:rPr>
          <w:i/>
          <w:iCs/>
        </w:rPr>
        <w:t>consciously disregards</w:t>
      </w:r>
      <w:r w:rsidR="00A45E46">
        <w:t xml:space="preserve"> </w:t>
      </w:r>
      <w:r>
        <w:t>a “</w:t>
      </w:r>
      <w:r w:rsidR="00A45E46">
        <w:t>substantial and unjustifiable</w:t>
      </w:r>
      <w:r>
        <w:t>”</w:t>
      </w:r>
      <w:r w:rsidR="00A45E46">
        <w:t xml:space="preserve"> risk</w:t>
      </w:r>
      <w:r>
        <w:t xml:space="preserve"> of the harm occurring, even if he </w:t>
      </w:r>
      <w:r w:rsidR="008C04A1">
        <w:t xml:space="preserve">or she </w:t>
      </w:r>
      <w:r>
        <w:t xml:space="preserve">is not 100% sure as to </w:t>
      </w:r>
      <w:proofErr w:type="gramStart"/>
      <w:r>
        <w:t>whether or not</w:t>
      </w:r>
      <w:proofErr w:type="gramEnd"/>
      <w:r>
        <w:t xml:space="preserve"> it will actually come to pass</w:t>
      </w:r>
      <w:r w:rsidR="00A45E46">
        <w:t>.</w:t>
      </w:r>
    </w:p>
    <w:p w14:paraId="2BDD8A59" w14:textId="7C1CEAC2" w:rsidR="00A45E46" w:rsidRDefault="004C32C1" w:rsidP="00A45E46">
      <w:pPr>
        <w:pStyle w:val="ListParagraph"/>
        <w:numPr>
          <w:ilvl w:val="1"/>
          <w:numId w:val="4"/>
        </w:numPr>
      </w:pPr>
      <w:r w:rsidRPr="00091302">
        <w:rPr>
          <w:u w:val="single"/>
        </w:rPr>
        <w:t>Negligence</w:t>
      </w:r>
      <w:r>
        <w:t xml:space="preserve"> – The actor has some duty to be aware of a “substantial and unjustifiable” risk of harm </w:t>
      </w:r>
      <w:proofErr w:type="gramStart"/>
      <w:r>
        <w:t>occurring, but</w:t>
      </w:r>
      <w:proofErr w:type="gramEnd"/>
      <w:r>
        <w:t xml:space="preserve"> nevertheless acts in a manner </w:t>
      </w:r>
      <w:r w:rsidR="008C04A1">
        <w:t xml:space="preserve">other than how a “reasonable person” would act in the same situation. </w:t>
      </w:r>
    </w:p>
    <w:p w14:paraId="13A2D631" w14:textId="2C82BC09" w:rsidR="008C04A1" w:rsidRDefault="008C04A1" w:rsidP="008C04A1">
      <w:r>
        <w:t>There are couple of rubs on these concepts, namely:</w:t>
      </w:r>
    </w:p>
    <w:p w14:paraId="56BDBA37" w14:textId="7CE70960" w:rsidR="008C04A1" w:rsidRPr="008C04A1" w:rsidRDefault="008C04A1" w:rsidP="008C04A1">
      <w:pPr>
        <w:numPr>
          <w:ilvl w:val="0"/>
          <w:numId w:val="5"/>
        </w:numPr>
      </w:pPr>
      <w:r w:rsidRPr="008C04A1">
        <w:rPr>
          <w:b/>
          <w:bCs/>
        </w:rPr>
        <w:t>Strict Liability:</w:t>
      </w:r>
      <w:r w:rsidRPr="008C04A1">
        <w:t> </w:t>
      </w:r>
      <w:r>
        <w:t xml:space="preserve">We </w:t>
      </w:r>
      <w:r w:rsidRPr="00091302">
        <w:rPr>
          <w:i/>
          <w:iCs/>
        </w:rPr>
        <w:t>don’t care</w:t>
      </w:r>
      <w:r>
        <w:t xml:space="preserve"> what was </w:t>
      </w:r>
      <w:proofErr w:type="gramStart"/>
      <w:r>
        <w:t>in</w:t>
      </w:r>
      <w:proofErr w:type="gramEnd"/>
      <w:r>
        <w:t xml:space="preserve"> the perpetrator’s mind. If the harm occurred, the actor is </w:t>
      </w:r>
      <w:r w:rsidR="00091302">
        <w:t>punished.</w:t>
      </w:r>
    </w:p>
    <w:p w14:paraId="479DB0A3" w14:textId="03785255" w:rsidR="008C04A1" w:rsidRPr="008C04A1" w:rsidRDefault="008C04A1" w:rsidP="008C04A1">
      <w:pPr>
        <w:numPr>
          <w:ilvl w:val="0"/>
          <w:numId w:val="5"/>
        </w:numPr>
      </w:pPr>
      <w:r w:rsidRPr="008C04A1">
        <w:rPr>
          <w:b/>
          <w:bCs/>
        </w:rPr>
        <w:t>Willful Blindness:</w:t>
      </w:r>
      <w:r w:rsidRPr="008C04A1">
        <w:t> </w:t>
      </w:r>
      <w:r>
        <w:t xml:space="preserve">We will </w:t>
      </w:r>
      <w:r w:rsidRPr="00091302">
        <w:rPr>
          <w:i/>
          <w:iCs/>
        </w:rPr>
        <w:t>assume</w:t>
      </w:r>
      <w:r>
        <w:t xml:space="preserve"> the actor knew what he or she was doing, if the actor took some affirmative step to </w:t>
      </w:r>
      <w:r w:rsidRPr="00091302">
        <w:rPr>
          <w:i/>
          <w:iCs/>
        </w:rPr>
        <w:t>avoid</w:t>
      </w:r>
      <w:r>
        <w:t xml:space="preserve"> knowing. Also called </w:t>
      </w:r>
      <w:r w:rsidRPr="008C04A1">
        <w:t>"conscious avoidance" or "deliberate ignorance".</w:t>
      </w:r>
    </w:p>
    <w:p w14:paraId="432F4A05" w14:textId="5A97957A" w:rsidR="008C04A1" w:rsidRDefault="00091302" w:rsidP="00091302">
      <w:pPr>
        <w:pStyle w:val="ListParagraph"/>
        <w:numPr>
          <w:ilvl w:val="0"/>
          <w:numId w:val="4"/>
        </w:numPr>
      </w:pPr>
      <w:r>
        <w:t xml:space="preserve">Some </w:t>
      </w:r>
      <w:proofErr w:type="gramStart"/>
      <w:r>
        <w:t>standard</w:t>
      </w:r>
      <w:proofErr w:type="gramEnd"/>
      <w:r>
        <w:t xml:space="preserve"> for </w:t>
      </w:r>
      <w:r w:rsidRPr="00091302">
        <w:rPr>
          <w:b/>
          <w:bCs/>
        </w:rPr>
        <w:t>causation</w:t>
      </w:r>
      <w:r>
        <w:t xml:space="preserve">, in other words, is there a connection between the actor’s conduct and the resulting harm. Pointing a gun at someone, pulling the trigger, and the victim dying </w:t>
      </w:r>
      <w:proofErr w:type="gramStart"/>
      <w:r>
        <w:t>as a result of</w:t>
      </w:r>
      <w:proofErr w:type="gramEnd"/>
      <w:r>
        <w:t xml:space="preserve"> the bullet wound is treated differently than, for example, pointing a gun at someone who then has the misfortune to be killed by a passing car that had nothing to do with it. The victim died in both cases, but for different reasons. These are two </w:t>
      </w:r>
      <w:r w:rsidRPr="00091302">
        <w:rPr>
          <w:i/>
          <w:iCs/>
        </w:rPr>
        <w:t>different</w:t>
      </w:r>
      <w:r>
        <w:t xml:space="preserve"> crimes.</w:t>
      </w:r>
    </w:p>
    <w:p w14:paraId="4A988060" w14:textId="7D150264" w:rsidR="00091302" w:rsidRDefault="00091302" w:rsidP="00091302">
      <w:r>
        <w:t xml:space="preserve">These are not the only elements </w:t>
      </w:r>
      <w:r w:rsidR="00EF2B60">
        <w:t xml:space="preserve">or nuances </w:t>
      </w:r>
      <w:r>
        <w:t>of criminal law, but they suffice for these purposes.</w:t>
      </w:r>
    </w:p>
    <w:p w14:paraId="56CAAB24" w14:textId="758E5433" w:rsidR="00592DEA" w:rsidRPr="00592DEA" w:rsidRDefault="00592DEA" w:rsidP="00091302">
      <w:pPr>
        <w:rPr>
          <w:i/>
          <w:iCs/>
          <w:color w:val="156082" w:themeColor="accent1"/>
        </w:rPr>
      </w:pPr>
      <w:r w:rsidRPr="00592DEA">
        <w:rPr>
          <w:i/>
          <w:iCs/>
          <w:color w:val="156082" w:themeColor="accent1"/>
        </w:rPr>
        <w:t xml:space="preserve">What are the defenses </w:t>
      </w:r>
      <w:proofErr w:type="gramStart"/>
      <w:r w:rsidRPr="00592DEA">
        <w:rPr>
          <w:i/>
          <w:iCs/>
          <w:color w:val="156082" w:themeColor="accent1"/>
        </w:rPr>
        <w:t>to</w:t>
      </w:r>
      <w:proofErr w:type="gramEnd"/>
      <w:r w:rsidRPr="00592DEA">
        <w:rPr>
          <w:i/>
          <w:iCs/>
          <w:color w:val="156082" w:themeColor="accent1"/>
        </w:rPr>
        <w:t xml:space="preserve"> criminal liability?</w:t>
      </w:r>
    </w:p>
    <w:p w14:paraId="252E0DA6" w14:textId="7308E901" w:rsidR="00592DEA" w:rsidRDefault="00592DEA" w:rsidP="00091302">
      <w:r>
        <w:t>OK, so now we know what it takes to commit a crime. Is that the end of the story? No.</w:t>
      </w:r>
    </w:p>
    <w:p w14:paraId="15602E0B" w14:textId="1CBB15F4" w:rsidR="00A948EA" w:rsidRDefault="00A948EA" w:rsidP="00091302">
      <w:r>
        <w:t xml:space="preserve">The best way not to be a criminal is for the law to say so. As a society, we often carve out exceptions for people who </w:t>
      </w:r>
      <w:r w:rsidRPr="00A948EA">
        <w:rPr>
          <w:i/>
          <w:iCs/>
        </w:rPr>
        <w:t>could</w:t>
      </w:r>
      <w:r>
        <w:t xml:space="preserve"> be viewed as criminals under the </w:t>
      </w:r>
      <w:proofErr w:type="gramStart"/>
      <w:r>
        <w:t>statute, but</w:t>
      </w:r>
      <w:proofErr w:type="gramEnd"/>
      <w:r>
        <w:t xml:space="preserve"> are given a “pass” from the law applying to them</w:t>
      </w:r>
      <w:r w:rsidR="001926C0">
        <w:t xml:space="preserve"> based on </w:t>
      </w:r>
      <w:r w:rsidR="001926C0" w:rsidRPr="001926C0">
        <w:rPr>
          <w:i/>
          <w:iCs/>
        </w:rPr>
        <w:t>who they are</w:t>
      </w:r>
      <w:r>
        <w:t xml:space="preserve">. This is typically to serve some purpose that is external to the criminal law itself, that is, there is some “greater reason” why </w:t>
      </w:r>
      <w:r w:rsidR="001926C0">
        <w:t>a</w:t>
      </w:r>
      <w:r>
        <w:t xml:space="preserve"> person </w:t>
      </w:r>
      <w:r w:rsidR="001926C0">
        <w:t xml:space="preserve">or company </w:t>
      </w:r>
      <w:r>
        <w:t xml:space="preserve">should be exempt despite </w:t>
      </w:r>
      <w:r w:rsidR="00622FB5">
        <w:t>the harm occurring.</w:t>
      </w:r>
    </w:p>
    <w:p w14:paraId="7CAC3832" w14:textId="77ABF0A0" w:rsidR="00A948EA" w:rsidRDefault="001926C0" w:rsidP="00091302">
      <w:r w:rsidRPr="001926C0">
        <w:t xml:space="preserve">This phenomenon goes by several names, such as </w:t>
      </w:r>
      <w:r w:rsidR="00622FB5">
        <w:t xml:space="preserve">having </w:t>
      </w:r>
      <w:r w:rsidRPr="001926C0">
        <w:t>“</w:t>
      </w:r>
      <w:r w:rsidRPr="001926C0">
        <w:rPr>
          <w:b/>
          <w:bCs/>
        </w:rPr>
        <w:t>immunity</w:t>
      </w:r>
      <w:r w:rsidRPr="001926C0">
        <w:t>” or an “</w:t>
      </w:r>
      <w:r w:rsidRPr="001926C0">
        <w:rPr>
          <w:b/>
          <w:bCs/>
        </w:rPr>
        <w:t>exemption</w:t>
      </w:r>
      <w:r w:rsidRPr="001926C0">
        <w:t>”</w:t>
      </w:r>
      <w:r w:rsidR="00622FB5">
        <w:t xml:space="preserve"> from the criminal statute</w:t>
      </w:r>
      <w:r w:rsidRPr="001926C0">
        <w:t>. We also say that a law provides a “</w:t>
      </w:r>
      <w:r w:rsidRPr="0056459D">
        <w:t>safe harbor</w:t>
      </w:r>
      <w:r w:rsidRPr="001926C0">
        <w:t xml:space="preserve">” for certain </w:t>
      </w:r>
      <w:r w:rsidR="00622FB5">
        <w:t>actors</w:t>
      </w:r>
      <w:r w:rsidRPr="001926C0">
        <w:t xml:space="preserve">. </w:t>
      </w:r>
      <w:r w:rsidR="00A948EA">
        <w:t xml:space="preserve">So, for example, if a private citizen takes property from another person without permission, we call it </w:t>
      </w:r>
      <w:proofErr w:type="gramStart"/>
      <w:r w:rsidR="00A948EA">
        <w:t>theft, and</w:t>
      </w:r>
      <w:proofErr w:type="gramEnd"/>
      <w:r w:rsidR="00A948EA">
        <w:t xml:space="preserve"> punish the thief</w:t>
      </w:r>
      <w:r w:rsidR="005E6048">
        <w:rPr>
          <w:rStyle w:val="FootnoteReference"/>
        </w:rPr>
        <w:footnoteReference w:id="4"/>
      </w:r>
      <w:r w:rsidR="00A948EA">
        <w:t xml:space="preserve">. If the police take property from another person, the police officer is </w:t>
      </w:r>
      <w:r w:rsidR="00622FB5">
        <w:t xml:space="preserve">probably </w:t>
      </w:r>
      <w:r w:rsidR="00A948EA">
        <w:t xml:space="preserve">exempt from criminal liability under doctrines like “sovereign </w:t>
      </w:r>
      <w:r w:rsidR="00A948EA">
        <w:lastRenderedPageBreak/>
        <w:t>immunity”</w:t>
      </w:r>
      <w:r w:rsidR="00622FB5">
        <w:t xml:space="preserve"> or </w:t>
      </w:r>
      <w:r w:rsidR="00A948EA">
        <w:t xml:space="preserve">“asset forfeiture”. In these cases, the </w:t>
      </w:r>
      <w:r w:rsidR="00622FB5">
        <w:t>law</w:t>
      </w:r>
      <w:r w:rsidR="00A948EA">
        <w:t xml:space="preserve"> is essentially saying, “yes, this is the same act, but it is </w:t>
      </w:r>
      <w:r w:rsidR="00A948EA" w:rsidRPr="00A948EA">
        <w:rPr>
          <w:i/>
          <w:iCs/>
        </w:rPr>
        <w:t>justified</w:t>
      </w:r>
      <w:r w:rsidR="00A948EA">
        <w:t xml:space="preserve"> because the police officer </w:t>
      </w:r>
      <w:r>
        <w:t xml:space="preserve">is an agent of the state, and </w:t>
      </w:r>
      <w:r w:rsidR="00A948EA">
        <w:t>must have the ability to use force to protect public safety”, etc.</w:t>
      </w:r>
      <w:r>
        <w:t xml:space="preserve"> The policeman is exempt because of who he is, not because he didn’t take the property. If he retired from the force, and then committed the same act, the law would view him differently.</w:t>
      </w:r>
      <w:r w:rsidR="003A6EAE">
        <w:t xml:space="preserve"> </w:t>
      </w:r>
    </w:p>
    <w:p w14:paraId="440CFD09" w14:textId="4AAA7CD9" w:rsidR="00A948EA" w:rsidRDefault="003A6EAE" w:rsidP="00091302">
      <w:r>
        <w:t xml:space="preserve">As you look at the table, consider columns </w:t>
      </w:r>
      <w:r w:rsidR="00EB5989" w:rsidRPr="00EB5989">
        <w:rPr>
          <w:b/>
          <w:bCs/>
        </w:rPr>
        <w:t>H</w:t>
      </w:r>
      <w:r>
        <w:t xml:space="preserve"> and </w:t>
      </w:r>
      <w:r w:rsidR="00EB5989" w:rsidRPr="00EB5989">
        <w:rPr>
          <w:b/>
          <w:bCs/>
        </w:rPr>
        <w:t>I</w:t>
      </w:r>
      <w:r w:rsidR="00EB5989">
        <w:t>.</w:t>
      </w:r>
      <w:r>
        <w:t xml:space="preserve"> In the technology world, companies that provide access to information, like ISPs, cloud services providers and other middlemen in the information chain enjoy an exemption from certain criminal statutes, including those that punish people for possessing or transferring CSAM. Why? Because the government decided that the ability to transfer information, or provide Internet service, or what have you, is too important </w:t>
      </w:r>
      <w:r w:rsidR="00C25443">
        <w:t>to society to hold such companies liable for the information that they are carrying</w:t>
      </w:r>
      <w:r w:rsidR="00EB5989">
        <w:t>, provided they did not create it,</w:t>
      </w:r>
      <w:r w:rsidR="00622FB5">
        <w:t xml:space="preserve"> in most circumstances. </w:t>
      </w:r>
      <w:r w:rsidR="001926C0">
        <w:t>T</w:t>
      </w:r>
      <w:r w:rsidR="00C25443">
        <w:t xml:space="preserve">hese companies are </w:t>
      </w:r>
      <w:r w:rsidR="00F74AF4">
        <w:t xml:space="preserve">sometimes </w:t>
      </w:r>
      <w:r w:rsidR="001926C0">
        <w:t xml:space="preserve">referred to as </w:t>
      </w:r>
      <w:r w:rsidR="00C25443">
        <w:t xml:space="preserve">“mere conduits”. </w:t>
      </w:r>
    </w:p>
    <w:p w14:paraId="5A45135B" w14:textId="13317811" w:rsidR="00C25443" w:rsidRDefault="00C25443" w:rsidP="00091302">
      <w:r>
        <w:t xml:space="preserve">A second approach to exempting or protecting some people over others is when the law allows for an </w:t>
      </w:r>
      <w:r w:rsidRPr="00C25443">
        <w:rPr>
          <w:b/>
          <w:bCs/>
        </w:rPr>
        <w:t>affirmative defense</w:t>
      </w:r>
      <w:r>
        <w:t xml:space="preserve">. </w:t>
      </w:r>
      <w:r w:rsidR="005D0EB3">
        <w:t xml:space="preserve">See columns </w:t>
      </w:r>
      <w:r w:rsidR="005D0EB3" w:rsidRPr="005D0EB3">
        <w:rPr>
          <w:b/>
          <w:bCs/>
        </w:rPr>
        <w:t>H-J</w:t>
      </w:r>
      <w:r w:rsidR="005D0EB3">
        <w:t xml:space="preserve">. </w:t>
      </w:r>
      <w:r>
        <w:t xml:space="preserve">This is a slightly different approach </w:t>
      </w:r>
      <w:r w:rsidR="00622FB5">
        <w:t xml:space="preserve">in that </w:t>
      </w:r>
      <w:r>
        <w:t>the actor is not exempt from punishment merely because of who they are, but rather, because they took some action, or the facts were such, that the person should not be punished despite the harm occurring. In the case of CSAM</w:t>
      </w:r>
      <w:r w:rsidR="001926C0">
        <w:t xml:space="preserve">, some states provide an affirmative defense to criminal liability where a person “inadvertently” </w:t>
      </w:r>
      <w:r w:rsidR="00622FB5">
        <w:t xml:space="preserve">possesses or transfers </w:t>
      </w:r>
      <w:r w:rsidR="001926C0">
        <w:t xml:space="preserve">CSAM (let’s say a hacker planted CSAM on the victim’s computer without their knowing) </w:t>
      </w:r>
      <w:r w:rsidR="001926C0" w:rsidRPr="001926C0">
        <w:rPr>
          <w:b/>
          <w:bCs/>
        </w:rPr>
        <w:t>and</w:t>
      </w:r>
      <w:r w:rsidR="001926C0">
        <w:t xml:space="preserve"> the person promptly reports the incident to police upon finding out. This is </w:t>
      </w:r>
      <w:r w:rsidR="00622FB5">
        <w:t xml:space="preserve">more of </w:t>
      </w:r>
      <w:r w:rsidR="001926C0">
        <w:t xml:space="preserve">a </w:t>
      </w:r>
      <w:r w:rsidR="001926C0" w:rsidRPr="001926C0">
        <w:rPr>
          <w:i/>
          <w:iCs/>
        </w:rPr>
        <w:t>policy</w:t>
      </w:r>
      <w:r w:rsidR="001926C0">
        <w:t xml:space="preserve"> approach, that is, the law says: “we’ll give you an out </w:t>
      </w:r>
      <w:r w:rsidR="00622FB5">
        <w:t>if</w:t>
      </w:r>
      <w:r w:rsidR="001926C0">
        <w:t xml:space="preserve"> it wasn’t your fault, and you did the right thing.” In a sense</w:t>
      </w:r>
      <w:r w:rsidR="00622FB5">
        <w:t>,</w:t>
      </w:r>
      <w:r w:rsidR="001926C0">
        <w:t xml:space="preserve"> </w:t>
      </w:r>
      <w:r w:rsidR="00622FB5">
        <w:t>an affirmative defense</w:t>
      </w:r>
      <w:r w:rsidR="001926C0">
        <w:t xml:space="preserve"> is the opposite of strict liability, mentioned above, which punishes the actor for </w:t>
      </w:r>
      <w:r w:rsidR="00622FB5">
        <w:t>the harm</w:t>
      </w:r>
      <w:r w:rsidR="001926C0">
        <w:t xml:space="preserve"> regardless of the facts and circumstances</w:t>
      </w:r>
      <w:r w:rsidR="00622FB5">
        <w:t>, regardless of who they are or their state of mind.</w:t>
      </w:r>
    </w:p>
    <w:p w14:paraId="26755385" w14:textId="1A9121BA" w:rsidR="00622FB5" w:rsidRPr="00622FB5" w:rsidRDefault="00622FB5" w:rsidP="00091302">
      <w:pPr>
        <w:rPr>
          <w:i/>
          <w:iCs/>
          <w:color w:val="156082" w:themeColor="accent1"/>
        </w:rPr>
      </w:pPr>
      <w:r w:rsidRPr="00622FB5">
        <w:rPr>
          <w:i/>
          <w:iCs/>
          <w:color w:val="156082" w:themeColor="accent1"/>
        </w:rPr>
        <w:t>How does this apply to Bitcoin nodes?</w:t>
      </w:r>
    </w:p>
    <w:p w14:paraId="6A61D41D" w14:textId="7EADE31C" w:rsidR="00654CDA" w:rsidRDefault="00622FB5">
      <w:r>
        <w:t>Here’s what we know about Bitcoin nodes, by definition and taking our assumptions into account:</w:t>
      </w:r>
    </w:p>
    <w:p w14:paraId="07FB53EB" w14:textId="077C9272" w:rsidR="0020186A" w:rsidRPr="0020186A" w:rsidRDefault="0020186A">
      <w:pPr>
        <w:rPr>
          <w:i/>
          <w:iCs/>
          <w:color w:val="156082" w:themeColor="accent1"/>
        </w:rPr>
      </w:pPr>
      <w:r w:rsidRPr="0020186A">
        <w:rPr>
          <w:i/>
          <w:iCs/>
          <w:color w:val="156082" w:themeColor="accent1"/>
        </w:rPr>
        <w:t>The principal elements</w:t>
      </w:r>
    </w:p>
    <w:p w14:paraId="31A83C6A" w14:textId="326324A4" w:rsidR="00622FB5" w:rsidRDefault="009A0E0F" w:rsidP="00F62244">
      <w:pPr>
        <w:pStyle w:val="ListParagraph"/>
        <w:numPr>
          <w:ilvl w:val="0"/>
          <w:numId w:val="8"/>
        </w:numPr>
      </w:pPr>
      <w:r>
        <w:t xml:space="preserve">Is there an </w:t>
      </w:r>
      <w:r w:rsidRPr="00F62244">
        <w:rPr>
          <w:b/>
          <w:bCs/>
          <w:i/>
          <w:iCs/>
        </w:rPr>
        <w:t>actus reus</w:t>
      </w:r>
      <w:r>
        <w:t>, a harmful act, here - the “possession” or “transmission” of CSAM</w:t>
      </w:r>
      <w:r w:rsidR="00425936">
        <w:t xml:space="preserve"> – under our assumptions</w:t>
      </w:r>
      <w:r>
        <w:t xml:space="preserve">? </w:t>
      </w:r>
      <w:r w:rsidR="00425936">
        <w:t xml:space="preserve">Unfortunately, </w:t>
      </w:r>
      <w:r w:rsidR="000E31F3">
        <w:t>this is more likely than not to be the case</w:t>
      </w:r>
      <w:r>
        <w:t xml:space="preserve">. To run a node, one must initially download the Bitcoin blockchain to one’s computer. If the worst comes to pass, the blockchain will contain CSAM, both on one’s hard drive, and in one’s </w:t>
      </w:r>
      <w:proofErr w:type="spellStart"/>
      <w:r>
        <w:t>mempool</w:t>
      </w:r>
      <w:proofErr w:type="spellEnd"/>
      <w:r>
        <w:t xml:space="preserve">, for unconfirmed transactions, which </w:t>
      </w:r>
      <w:proofErr w:type="gramStart"/>
      <w:r>
        <w:t>uses</w:t>
      </w:r>
      <w:proofErr w:type="gramEnd"/>
      <w:r>
        <w:t xml:space="preserve"> </w:t>
      </w:r>
      <w:r>
        <w:lastRenderedPageBreak/>
        <w:t>the computer’s RAM. What’s more, one’s node</w:t>
      </w:r>
      <w:r w:rsidR="008D1D97">
        <w:t xml:space="preserve"> technically</w:t>
      </w:r>
      <w:r>
        <w:t xml:space="preserve"> transmits CSAM by relaying it to other nodes.</w:t>
      </w:r>
    </w:p>
    <w:p w14:paraId="6B18B3CA" w14:textId="77777777" w:rsidR="00F62244" w:rsidRDefault="00F62244" w:rsidP="00F62244">
      <w:pPr>
        <w:pStyle w:val="ListParagraph"/>
      </w:pPr>
    </w:p>
    <w:p w14:paraId="37E43E2D" w14:textId="77777777" w:rsidR="00F62244" w:rsidRDefault="009A0E0F" w:rsidP="00F62244">
      <w:pPr>
        <w:pStyle w:val="ListParagraph"/>
        <w:numPr>
          <w:ilvl w:val="0"/>
          <w:numId w:val="8"/>
        </w:numPr>
      </w:pPr>
      <w:r>
        <w:t xml:space="preserve">Is there the requisite </w:t>
      </w:r>
      <w:proofErr w:type="spellStart"/>
      <w:r w:rsidRPr="00F62244">
        <w:rPr>
          <w:b/>
          <w:bCs/>
          <w:i/>
          <w:iCs/>
        </w:rPr>
        <w:t>mens</w:t>
      </w:r>
      <w:proofErr w:type="spellEnd"/>
      <w:r w:rsidRPr="00F62244">
        <w:rPr>
          <w:b/>
          <w:bCs/>
          <w:i/>
          <w:iCs/>
        </w:rPr>
        <w:t xml:space="preserve"> rea</w:t>
      </w:r>
      <w:r>
        <w:t xml:space="preserve">, the “state of mind”, that must be present for a node runner to potentially be criminally liable? Consider column </w:t>
      </w:r>
      <w:r w:rsidRPr="00F62244">
        <w:rPr>
          <w:b/>
          <w:bCs/>
        </w:rPr>
        <w:t>C</w:t>
      </w:r>
      <w:r>
        <w:t xml:space="preserve"> of the table. While there is variation, </w:t>
      </w:r>
      <w:proofErr w:type="gramStart"/>
      <w:r>
        <w:t>the overwhelming majority of</w:t>
      </w:r>
      <w:proofErr w:type="gramEnd"/>
      <w:r>
        <w:t xml:space="preserve"> states punish the </w:t>
      </w:r>
      <w:r w:rsidRPr="00F62244">
        <w:rPr>
          <w:b/>
          <w:bCs/>
        </w:rPr>
        <w:t>knowing</w:t>
      </w:r>
      <w:r>
        <w:t xml:space="preserve"> possession and transmission of CSAM</w:t>
      </w:r>
      <w:r w:rsidR="003F65E5">
        <w:t>, regardless of the wrapper</w:t>
      </w:r>
      <w:r>
        <w:t>. Refer to our definition of “knowledge”, above</w:t>
      </w:r>
      <w:r w:rsidR="008D1D97">
        <w:t xml:space="preserve"> - </w:t>
      </w:r>
      <w:r w:rsidR="008D1D97" w:rsidRPr="00F62244">
        <w:rPr>
          <w:i/>
          <w:iCs/>
        </w:rPr>
        <w:t>the actor is aware the harm is virtually certain to occur</w:t>
      </w:r>
      <w:r w:rsidR="008D1D97" w:rsidRPr="008D1D97">
        <w:t>.</w:t>
      </w:r>
      <w:r w:rsidR="008D1D97">
        <w:t xml:space="preserve"> Is the node runner “aware” that the blockchain contains CSAM? Based on our assumptions</w:t>
      </w:r>
      <w:r w:rsidR="00C82906">
        <w:t>, probably</w:t>
      </w:r>
      <w:r w:rsidR="008D1D97">
        <w:t xml:space="preserve"> yes. Is the harm “virtually certain” to occur. Given Bitcoin’s largely unbroken uptime, probably also yes.</w:t>
      </w:r>
      <w:r w:rsidR="0099189E">
        <w:t xml:space="preserve"> </w:t>
      </w:r>
    </w:p>
    <w:p w14:paraId="4A321F4F" w14:textId="77777777" w:rsidR="00F62244" w:rsidRDefault="00F62244" w:rsidP="00F62244">
      <w:pPr>
        <w:pStyle w:val="ListParagraph"/>
      </w:pPr>
    </w:p>
    <w:p w14:paraId="5551CBD4" w14:textId="25A7F810" w:rsidR="00BA066B" w:rsidRDefault="008D1D97" w:rsidP="00F62244">
      <w:pPr>
        <w:pStyle w:val="ListParagraph"/>
        <w:numPr>
          <w:ilvl w:val="0"/>
          <w:numId w:val="8"/>
        </w:numPr>
      </w:pPr>
      <w:r>
        <w:t xml:space="preserve">Is there </w:t>
      </w:r>
      <w:r w:rsidRPr="00F62244">
        <w:rPr>
          <w:b/>
          <w:bCs/>
        </w:rPr>
        <w:t>causation</w:t>
      </w:r>
      <w:proofErr w:type="gramStart"/>
      <w:r>
        <w:t>, that</w:t>
      </w:r>
      <w:proofErr w:type="gramEnd"/>
      <w:r>
        <w:t xml:space="preserve"> is, </w:t>
      </w:r>
      <w:proofErr w:type="gramStart"/>
      <w:r>
        <w:t>did</w:t>
      </w:r>
      <w:proofErr w:type="gramEnd"/>
      <w:r>
        <w:t xml:space="preserve"> running the node </w:t>
      </w:r>
      <w:r w:rsidRPr="00F62244">
        <w:rPr>
          <w:i/>
          <w:iCs/>
        </w:rPr>
        <w:t>cause</w:t>
      </w:r>
      <w:r>
        <w:t xml:space="preserve"> the CSAM to be downloaded and transmitted? Through the basic operation of the network, </w:t>
      </w:r>
      <w:proofErr w:type="gramStart"/>
      <w:r>
        <w:t>probably</w:t>
      </w:r>
      <w:proofErr w:type="gramEnd"/>
      <w:r>
        <w:t xml:space="preserve"> yes.</w:t>
      </w:r>
    </w:p>
    <w:p w14:paraId="3A3942E2" w14:textId="5F778FC7" w:rsidR="00BA066B" w:rsidRDefault="00BA066B">
      <w:r>
        <w:t>In my opinion, the node software you run makes a difference as to whether these elements are present. We’ll get to that at the end.</w:t>
      </w:r>
    </w:p>
    <w:p w14:paraId="0383E926" w14:textId="6E2F7815" w:rsidR="0020186A" w:rsidRPr="0020186A" w:rsidRDefault="0020186A">
      <w:pPr>
        <w:rPr>
          <w:i/>
          <w:iCs/>
          <w:color w:val="156082" w:themeColor="accent1"/>
        </w:rPr>
      </w:pPr>
      <w:r w:rsidRPr="0020186A">
        <w:rPr>
          <w:i/>
          <w:iCs/>
          <w:color w:val="156082" w:themeColor="accent1"/>
        </w:rPr>
        <w:t>Exemptions, safe harbors and affirmative defenses</w:t>
      </w:r>
    </w:p>
    <w:p w14:paraId="0A46D874" w14:textId="7D436995" w:rsidR="00676AAB" w:rsidRDefault="008D1D97">
      <w:proofErr w:type="gramStart"/>
      <w:r>
        <w:t>Are</w:t>
      </w:r>
      <w:proofErr w:type="gramEnd"/>
      <w:r>
        <w:t xml:space="preserve"> node runners </w:t>
      </w:r>
      <w:r w:rsidRPr="008D1D97">
        <w:rPr>
          <w:b/>
          <w:bCs/>
        </w:rPr>
        <w:t>exempt</w:t>
      </w:r>
      <w:r>
        <w:t xml:space="preserve">, </w:t>
      </w:r>
      <w:r w:rsidRPr="008D1D97">
        <w:rPr>
          <w:b/>
          <w:bCs/>
        </w:rPr>
        <w:t>immune</w:t>
      </w:r>
      <w:r>
        <w:t xml:space="preserve">, or </w:t>
      </w:r>
      <w:r w:rsidRPr="008D1D97">
        <w:t>qualified</w:t>
      </w:r>
      <w:r>
        <w:t xml:space="preserve"> for a </w:t>
      </w:r>
      <w:r w:rsidRPr="008D1D97">
        <w:rPr>
          <w:b/>
          <w:bCs/>
        </w:rPr>
        <w:t>safe harbor</w:t>
      </w:r>
      <w:r>
        <w:t>?</w:t>
      </w:r>
      <w:r w:rsidR="00676AAB">
        <w:t xml:space="preserve"> Are there any </w:t>
      </w:r>
      <w:r w:rsidR="00676AAB" w:rsidRPr="00676AAB">
        <w:rPr>
          <w:b/>
          <w:bCs/>
        </w:rPr>
        <w:t>affirmative defenses</w:t>
      </w:r>
      <w:r w:rsidR="00676AAB">
        <w:t xml:space="preserve">? </w:t>
      </w:r>
      <w:r w:rsidR="007A0BA1">
        <w:t>Look again</w:t>
      </w:r>
      <w:r w:rsidR="00676AAB">
        <w:t xml:space="preserve"> at Columns </w:t>
      </w:r>
      <w:r w:rsidR="00136F12" w:rsidRPr="00136F12">
        <w:rPr>
          <w:b/>
          <w:bCs/>
        </w:rPr>
        <w:t>H</w:t>
      </w:r>
      <w:r w:rsidR="00136F12">
        <w:t xml:space="preserve"> through</w:t>
      </w:r>
      <w:r w:rsidR="00136F12" w:rsidRPr="00136F12">
        <w:rPr>
          <w:b/>
          <w:bCs/>
        </w:rPr>
        <w:t xml:space="preserve"> J</w:t>
      </w:r>
      <w:r w:rsidR="00676AAB">
        <w:rPr>
          <w:rStyle w:val="FootnoteReference"/>
        </w:rPr>
        <w:footnoteReference w:id="5"/>
      </w:r>
      <w:r w:rsidR="00676AAB">
        <w:t xml:space="preserve">. </w:t>
      </w:r>
      <w:r>
        <w:t xml:space="preserve">I </w:t>
      </w:r>
      <w:r w:rsidR="00676AAB">
        <w:t>do not see</w:t>
      </w:r>
      <w:r>
        <w:t xml:space="preserve"> any legislation </w:t>
      </w:r>
      <w:r w:rsidR="00B620FB">
        <w:rPr>
          <w:i/>
          <w:iCs/>
        </w:rPr>
        <w:t>explicitly</w:t>
      </w:r>
      <w:r>
        <w:t xml:space="preserve"> exempting </w:t>
      </w:r>
      <w:r w:rsidRPr="00B620FB">
        <w:rPr>
          <w:b/>
          <w:bCs/>
        </w:rPr>
        <w:t>node runners</w:t>
      </w:r>
      <w:r>
        <w:t xml:space="preserve"> </w:t>
      </w:r>
      <w:r w:rsidR="003D30B6">
        <w:t xml:space="preserve">(whether specific to Bitcoin or otherwise) </w:t>
      </w:r>
      <w:r>
        <w:t>from liability in the same way that the law exempts ISPs, for example</w:t>
      </w:r>
      <w:r w:rsidR="003D30B6">
        <w:t>, though there are a</w:t>
      </w:r>
      <w:r>
        <w:t xml:space="preserve"> </w:t>
      </w:r>
      <w:r w:rsidR="00B620FB">
        <w:t>small handful of</w:t>
      </w:r>
      <w:r>
        <w:t xml:space="preserve"> states</w:t>
      </w:r>
      <w:r w:rsidR="00B620FB">
        <w:rPr>
          <w:rStyle w:val="FootnoteReference"/>
        </w:rPr>
        <w:footnoteReference w:id="6"/>
      </w:r>
      <w:r>
        <w:t xml:space="preserve"> that provide </w:t>
      </w:r>
      <w:r w:rsidR="00B620FB">
        <w:t xml:space="preserve">narrow exemptions </w:t>
      </w:r>
      <w:r>
        <w:t xml:space="preserve">for </w:t>
      </w:r>
      <w:r w:rsidR="00B620FB">
        <w:t xml:space="preserve">certain types of </w:t>
      </w:r>
      <w:r w:rsidR="00676AAB">
        <w:t>“</w:t>
      </w:r>
      <w:r w:rsidR="00B620FB">
        <w:t>software</w:t>
      </w:r>
      <w:r w:rsidR="00676AAB">
        <w:t>”</w:t>
      </w:r>
      <w:r w:rsidR="00B620FB">
        <w:t xml:space="preserve"> </w:t>
      </w:r>
      <w:r w:rsidR="003D30B6">
        <w:t>services</w:t>
      </w:r>
      <w:r w:rsidR="00B620FB">
        <w:t xml:space="preserve">. </w:t>
      </w:r>
      <w:r>
        <w:t xml:space="preserve">One could certainly make </w:t>
      </w:r>
      <w:r w:rsidR="003D30B6">
        <w:t>the</w:t>
      </w:r>
      <w:r>
        <w:t xml:space="preserve"> </w:t>
      </w:r>
      <w:r w:rsidRPr="001078C1">
        <w:rPr>
          <w:i/>
          <w:iCs/>
        </w:rPr>
        <w:t>argument</w:t>
      </w:r>
      <w:r w:rsidR="003D30B6">
        <w:t xml:space="preserve"> that</w:t>
      </w:r>
      <w:r>
        <w:t xml:space="preserve"> there is no qualitative difference between a transmission network like an ISP or </w:t>
      </w:r>
      <w:r w:rsidR="001078C1">
        <w:t xml:space="preserve">network </w:t>
      </w:r>
      <w:r>
        <w:t xml:space="preserve">services provider and a </w:t>
      </w:r>
      <w:r w:rsidR="003D30B6">
        <w:t>Bitcoin node runner. Both are designed to facilitate the agnostic transmission of data</w:t>
      </w:r>
      <w:r>
        <w:t xml:space="preserve">. Neither </w:t>
      </w:r>
      <w:r w:rsidR="001078C1">
        <w:t>intentionally create</w:t>
      </w:r>
      <w:r>
        <w:t xml:space="preserve"> CSAM. Both are mere conduits.</w:t>
      </w:r>
      <w:r w:rsidR="001078C1">
        <w:t xml:space="preserve"> This may be convincing, but whether that argument ultimately wins</w:t>
      </w:r>
      <w:r w:rsidR="004E463B">
        <w:t xml:space="preserve"> – whether that could get through most state legislatures - </w:t>
      </w:r>
      <w:r w:rsidR="001078C1">
        <w:t xml:space="preserve">is </w:t>
      </w:r>
      <w:r w:rsidR="00676AAB">
        <w:t>unknown</w:t>
      </w:r>
      <w:r w:rsidR="001078C1">
        <w:t xml:space="preserve">. </w:t>
      </w:r>
    </w:p>
    <w:p w14:paraId="36720315" w14:textId="2DBEBB18" w:rsidR="0002266B" w:rsidRDefault="00676AAB">
      <w:r>
        <w:lastRenderedPageBreak/>
        <w:t>You may also notice that in some states there are affirmative defenses for: (</w:t>
      </w:r>
      <w:proofErr w:type="spellStart"/>
      <w:r>
        <w:t>i</w:t>
      </w:r>
      <w:proofErr w:type="spellEnd"/>
      <w:r>
        <w:t>) “inadvertent” or “innocent” possession of CSAM, usually with a “prompt reporting” (to law enforcement) obligation;</w:t>
      </w:r>
      <w:r w:rsidR="0002266B">
        <w:t xml:space="preserve"> and</w:t>
      </w:r>
      <w:r>
        <w:t xml:space="preserve"> (ii) </w:t>
      </w:r>
      <w:r w:rsidR="003A21A5">
        <w:t>“unsolicited” CSAM</w:t>
      </w:r>
      <w:r w:rsidR="0002266B">
        <w:t xml:space="preserve">. </w:t>
      </w:r>
      <w:r w:rsidR="00AA6D6C">
        <w:t xml:space="preserve">Whether these affirmative defenses </w:t>
      </w:r>
      <w:r w:rsidR="000C7541">
        <w:t xml:space="preserve">would </w:t>
      </w:r>
      <w:r w:rsidR="00AA6D6C">
        <w:t xml:space="preserve">apply </w:t>
      </w:r>
      <w:proofErr w:type="gramStart"/>
      <w:r w:rsidR="00AA6D6C">
        <w:t>in a given</w:t>
      </w:r>
      <w:proofErr w:type="gramEnd"/>
      <w:r w:rsidR="00AA6D6C">
        <w:t xml:space="preserve"> situation</w:t>
      </w:r>
      <w:r w:rsidR="0002266B">
        <w:t xml:space="preserve"> comes down to what trial lawyers would call a “</w:t>
      </w:r>
      <w:r w:rsidR="0002266B" w:rsidRPr="002165E9">
        <w:rPr>
          <w:b/>
          <w:bCs/>
        </w:rPr>
        <w:t>question of fact</w:t>
      </w:r>
      <w:r w:rsidR="0002266B">
        <w:t>”. In other words, what do the facts and circumstances show with respect to whether one was “innocently” possessing CSAM</w:t>
      </w:r>
      <w:r w:rsidR="0038313D">
        <w:t>, or whether possession was “unsolicited”</w:t>
      </w:r>
      <w:r w:rsidR="003F6B5A">
        <w:t xml:space="preserve">? </w:t>
      </w:r>
      <w:r w:rsidR="0002266B">
        <w:t>Fact questions are always tricky. That’s why we have juries, or “triers of fact” to decide them.</w:t>
      </w:r>
      <w:r w:rsidR="002165E9">
        <w:t xml:space="preserve"> Contrast this with a “</w:t>
      </w:r>
      <w:r w:rsidR="002165E9" w:rsidRPr="002165E9">
        <w:rPr>
          <w:b/>
          <w:bCs/>
        </w:rPr>
        <w:t>question</w:t>
      </w:r>
      <w:r w:rsidR="002165E9">
        <w:rPr>
          <w:b/>
          <w:bCs/>
        </w:rPr>
        <w:t>s</w:t>
      </w:r>
      <w:r w:rsidR="002165E9" w:rsidRPr="002165E9">
        <w:rPr>
          <w:b/>
          <w:bCs/>
        </w:rPr>
        <w:t xml:space="preserve"> of law</w:t>
      </w:r>
      <w:r w:rsidR="002165E9">
        <w:t>” (like the statutory exemptions for ISPs) which are often decided by judges</w:t>
      </w:r>
      <w:r w:rsidR="00D95947">
        <w:t xml:space="preserve"> and prosecutors</w:t>
      </w:r>
      <w:r w:rsidR="002165E9">
        <w:t>, who can look at the statute and say yay or nay.</w:t>
      </w:r>
    </w:p>
    <w:p w14:paraId="0FE5AD20" w14:textId="1041A6FB" w:rsidR="00676AAB" w:rsidRDefault="0002266B">
      <w:r>
        <w:t xml:space="preserve">First, it would be tricky to say that node runners are, legally speaking, “inadvertently” possessing or transmitting CSAM if they </w:t>
      </w:r>
      <w:r w:rsidRPr="0002266B">
        <w:rPr>
          <w:i/>
          <w:iCs/>
        </w:rPr>
        <w:t>know</w:t>
      </w:r>
      <w:r>
        <w:t xml:space="preserve"> (or perhaps, have reason to know) about what has been going on with Core 30. Put another way, node runners’ sophistication with Bitcoin (normies don’t run nodes) works against them. Second, can we make the argument that the CSAM is “unsolicited”? Yes and no. Per our assumptions, node runners absolutely do not solicit CSAM, but they </w:t>
      </w:r>
      <w:r w:rsidRPr="0002266B">
        <w:rPr>
          <w:i/>
          <w:iCs/>
        </w:rPr>
        <w:t>do</w:t>
      </w:r>
      <w:r>
        <w:t xml:space="preserve"> solicit (i.e. voluntarily download</w:t>
      </w:r>
      <w:r w:rsidR="002165E9">
        <w:t xml:space="preserve"> and configure</w:t>
      </w:r>
      <w:r>
        <w:t xml:space="preserve">) the node software itself. </w:t>
      </w:r>
      <w:r w:rsidR="002165E9">
        <w:t xml:space="preserve">In my view this is a critical distinction, </w:t>
      </w:r>
      <w:r>
        <w:t>but again, what if it goes to a jury? What would they think?</w:t>
      </w:r>
      <w:r w:rsidR="002165E9">
        <w:t xml:space="preserve"> That’s the issue with questions of fact. They are often in the eye of the beholder.</w:t>
      </w:r>
    </w:p>
    <w:p w14:paraId="40C3B142" w14:textId="024892FF" w:rsidR="002165E9" w:rsidRDefault="002165E9">
      <w:r>
        <w:t>What about our assumption that the node runner</w:t>
      </w:r>
      <w:r w:rsidR="007C25B6">
        <w:t xml:space="preserve"> has zero intention of viewing the CSAM? Is this an affirmative defense? Look at Column </w:t>
      </w:r>
      <w:r w:rsidR="000040C9" w:rsidRPr="000040C9">
        <w:rPr>
          <w:b/>
          <w:bCs/>
        </w:rPr>
        <w:t>E</w:t>
      </w:r>
      <w:r w:rsidR="000040C9">
        <w:t>.</w:t>
      </w:r>
      <w:r w:rsidR="007C25B6">
        <w:t xml:space="preserve"> In most states, the answer is no. Even those who do have </w:t>
      </w:r>
      <w:r w:rsidR="00311634">
        <w:t xml:space="preserve">this </w:t>
      </w:r>
      <w:r w:rsidR="007C25B6">
        <w:t>as a defense limit it to the “access” or “viewing” violation, not for possession, control or transmission of CSAM</w:t>
      </w:r>
      <w:r w:rsidR="00311634">
        <w:t>.</w:t>
      </w:r>
    </w:p>
    <w:p w14:paraId="46D8B0B2" w14:textId="1D50616B" w:rsidR="0020186A" w:rsidRDefault="0020186A">
      <w:r>
        <w:t xml:space="preserve">Does the amount of CSAM matter? In </w:t>
      </w:r>
      <w:r w:rsidR="001B36EA">
        <w:t>some</w:t>
      </w:r>
      <w:r>
        <w:t xml:space="preserve"> states, yes, however, the exceptions, if they exist, are </w:t>
      </w:r>
      <w:proofErr w:type="gramStart"/>
      <w:r>
        <w:t>pretty narrow</w:t>
      </w:r>
      <w:proofErr w:type="gramEnd"/>
      <w:r>
        <w:t>. Idaho, as an example, provides an affirmative defense for possession or receipt of fewer than five “visual depictions”</w:t>
      </w:r>
      <w:r>
        <w:rPr>
          <w:rStyle w:val="FootnoteReference"/>
        </w:rPr>
        <w:footnoteReference w:id="7"/>
      </w:r>
      <w:r>
        <w:t xml:space="preserve">, </w:t>
      </w:r>
      <w:r w:rsidR="00594038">
        <w:t>but</w:t>
      </w:r>
      <w:r>
        <w:t xml:space="preserve"> only when the User destroys the images and reports the matter to law enforcement. Given the amount of CSAM that could potentially end up on the blockchain, whether in the OP_RETURN output or otherwise, it’s not hard to see these thresholds being crossed </w:t>
      </w:r>
      <w:proofErr w:type="gramStart"/>
      <w:r>
        <w:t>pretty quickly</w:t>
      </w:r>
      <w:proofErr w:type="gramEnd"/>
      <w:r>
        <w:t>.</w:t>
      </w:r>
    </w:p>
    <w:p w14:paraId="484F18D1" w14:textId="7DD5DE95" w:rsidR="0020186A" w:rsidRDefault="0020186A">
      <w:r>
        <w:t>What about AI generated images? In most states, it doesn’t matter.</w:t>
      </w:r>
    </w:p>
    <w:p w14:paraId="0F0B6DB1" w14:textId="1FA46C4E" w:rsidR="008D1D97" w:rsidRDefault="00EE3F48">
      <w:r>
        <w:t xml:space="preserve">All told, the best we can say about whether node runners qualify for safe harbors, or have affirmative defenses to these statutes is, </w:t>
      </w:r>
      <w:r w:rsidRPr="00EE3F48">
        <w:rPr>
          <w:b/>
          <w:bCs/>
        </w:rPr>
        <w:t>maybe</w:t>
      </w:r>
      <w:r>
        <w:t>.</w:t>
      </w:r>
    </w:p>
    <w:p w14:paraId="62B4A38B" w14:textId="77777777" w:rsidR="002F1ED7" w:rsidRDefault="002F1ED7">
      <w:pPr>
        <w:rPr>
          <w:i/>
          <w:iCs/>
          <w:color w:val="156082" w:themeColor="accent1"/>
        </w:rPr>
      </w:pPr>
    </w:p>
    <w:p w14:paraId="61AE5ECF" w14:textId="5E5E4CC9" w:rsidR="00EE3F48" w:rsidRPr="00EE3F48" w:rsidRDefault="00EE3F48">
      <w:pPr>
        <w:rPr>
          <w:i/>
          <w:iCs/>
          <w:color w:val="156082" w:themeColor="accent1"/>
        </w:rPr>
      </w:pPr>
      <w:r w:rsidRPr="00EE3F48">
        <w:rPr>
          <w:i/>
          <w:iCs/>
          <w:color w:val="156082" w:themeColor="accent1"/>
        </w:rPr>
        <w:lastRenderedPageBreak/>
        <w:t xml:space="preserve">So, what does </w:t>
      </w:r>
      <w:proofErr w:type="gramStart"/>
      <w:r w:rsidRPr="00EE3F48">
        <w:rPr>
          <w:i/>
          <w:iCs/>
          <w:color w:val="156082" w:themeColor="accent1"/>
        </w:rPr>
        <w:t>all of</w:t>
      </w:r>
      <w:proofErr w:type="gramEnd"/>
      <w:r w:rsidRPr="00EE3F48">
        <w:rPr>
          <w:i/>
          <w:iCs/>
          <w:color w:val="156082" w:themeColor="accent1"/>
        </w:rPr>
        <w:t xml:space="preserve"> this mean as a practical matter?</w:t>
      </w:r>
    </w:p>
    <w:p w14:paraId="128F1BB5" w14:textId="0B521FB5" w:rsidR="00AD4472" w:rsidRPr="00AD4472" w:rsidRDefault="00AD4472">
      <w:pPr>
        <w:rPr>
          <w:i/>
          <w:iCs/>
          <w:color w:val="156082" w:themeColor="accent1"/>
        </w:rPr>
      </w:pPr>
      <w:r w:rsidRPr="00AD4472">
        <w:rPr>
          <w:i/>
          <w:iCs/>
          <w:color w:val="156082" w:themeColor="accent1"/>
        </w:rPr>
        <w:t>Practical prosecution</w:t>
      </w:r>
    </w:p>
    <w:p w14:paraId="0CE411A1" w14:textId="2585A170" w:rsidR="00750333" w:rsidRDefault="00EE3F48">
      <w:r>
        <w:t xml:space="preserve">What the law says is not the end of the story, it is the beginning. To answer the difficult question we are facing, “will running a Bitcoin node land me in jail”, we should consider how the law </w:t>
      </w:r>
      <w:r w:rsidR="00106870">
        <w:t>might</w:t>
      </w:r>
      <w:r>
        <w:t xml:space="preserve"> be applied in the real world. Prosecutors have discretion as to which cases to </w:t>
      </w:r>
      <w:proofErr w:type="gramStart"/>
      <w:r>
        <w:t>bring, and</w:t>
      </w:r>
      <w:proofErr w:type="gramEnd"/>
      <w:r>
        <w:t xml:space="preserve"> generally have finite resources. </w:t>
      </w:r>
      <w:r w:rsidR="00106870">
        <w:t xml:space="preserve">Where they spend those resources is often as much a question of the </w:t>
      </w:r>
      <w:r w:rsidR="00106870" w:rsidRPr="00106870">
        <w:rPr>
          <w:i/>
          <w:iCs/>
        </w:rPr>
        <w:t>politics</w:t>
      </w:r>
      <w:r w:rsidR="00106870">
        <w:t xml:space="preserve"> of the time as it is what the law says. That means that perception matters. The Bitcoin community has taken some time to recover from its black eyes from the likes of Celsius, FTX and the incessant media drumming about how bitcoin is “only used by money launderers and drug dealers”. We need this like a hole in </w:t>
      </w:r>
      <w:proofErr w:type="gramStart"/>
      <w:r w:rsidR="00106870">
        <w:t>the</w:t>
      </w:r>
      <w:proofErr w:type="gramEnd"/>
      <w:r w:rsidR="00106870">
        <w:t xml:space="preserve"> head.</w:t>
      </w:r>
    </w:p>
    <w:p w14:paraId="67C60512" w14:textId="00DD318B" w:rsidR="00F05628" w:rsidRDefault="00106870">
      <w:r>
        <w:t>In other words, it is conceivable</w:t>
      </w:r>
      <w:r w:rsidR="00AD4472">
        <w:t>, perhaps probable,</w:t>
      </w:r>
      <w:r>
        <w:t xml:space="preserve"> that under our assumptions the anti-Bitcoin forces </w:t>
      </w:r>
      <w:r w:rsidR="00AD4472">
        <w:t>of</w:t>
      </w:r>
      <w:r>
        <w:t xml:space="preserve"> the world will use this to say “</w:t>
      </w:r>
      <w:r w:rsidRPr="0020659E">
        <w:rPr>
          <w:i/>
          <w:iCs/>
        </w:rPr>
        <w:t>see, we told you, they’re just a bunch of perverts</w:t>
      </w:r>
      <w:r w:rsidR="00791A71" w:rsidRPr="0020659E">
        <w:rPr>
          <w:i/>
          <w:iCs/>
        </w:rPr>
        <w:t xml:space="preserve"> and criminals</w:t>
      </w:r>
      <w:r>
        <w:t xml:space="preserve">”! </w:t>
      </w:r>
      <w:r w:rsidR="004003F1">
        <w:t>Make no mistake: m</w:t>
      </w:r>
      <w:r>
        <w:t xml:space="preserve">any of these voices are </w:t>
      </w:r>
      <w:r w:rsidR="00791A71">
        <w:t xml:space="preserve">very </w:t>
      </w:r>
      <w:r>
        <w:t>powerful, well-</w:t>
      </w:r>
      <w:r w:rsidR="00E952C3">
        <w:t>connected</w:t>
      </w:r>
      <w:r>
        <w:t xml:space="preserve"> people with </w:t>
      </w:r>
      <w:r w:rsidR="00E952C3">
        <w:t>the ability to shape public opinion</w:t>
      </w:r>
      <w:r>
        <w:t xml:space="preserve">. The public </w:t>
      </w:r>
      <w:r w:rsidR="00AE3004">
        <w:t>might not</w:t>
      </w:r>
      <w:r>
        <w:t xml:space="preserve"> understand the nuances of running a node, or care about node runners’ intentions. To them, it’s all strict liability, regardless of what the law says.</w:t>
      </w:r>
      <w:r w:rsidR="00AD4472">
        <w:t xml:space="preserve"> If they didn’t like or understand Bitcoin before, they certainly </w:t>
      </w:r>
      <w:proofErr w:type="gramStart"/>
      <w:r w:rsidR="00AD4472">
        <w:t>won’t</w:t>
      </w:r>
      <w:proofErr w:type="gramEnd"/>
      <w:r w:rsidR="00AD4472">
        <w:t xml:space="preserve"> </w:t>
      </w:r>
      <w:proofErr w:type="gramStart"/>
      <w:r w:rsidR="00AD4472">
        <w:t>now</w:t>
      </w:r>
      <w:proofErr w:type="gramEnd"/>
      <w:r w:rsidR="00AD4472">
        <w:t>. What’s more, some may begin calling their state representatives and demanding that they “</w:t>
      </w:r>
      <w:r w:rsidR="00AD4472" w:rsidRPr="008A185E">
        <w:rPr>
          <w:i/>
          <w:iCs/>
        </w:rPr>
        <w:t>do something</w:t>
      </w:r>
      <w:r w:rsidR="00AD4472">
        <w:t xml:space="preserve">”! The representatives </w:t>
      </w:r>
      <w:r w:rsidR="00AE3004">
        <w:t>could</w:t>
      </w:r>
      <w:r w:rsidR="00AD4472">
        <w:t xml:space="preserve"> call the District Attorneys and tell them to prioritize node runners for prosecution. See what’s going on here?</w:t>
      </w:r>
    </w:p>
    <w:p w14:paraId="16800FDE" w14:textId="0AFBF0A7" w:rsidR="00AD4472" w:rsidRDefault="00AD4472">
      <w:proofErr w:type="gramStart"/>
      <w:r>
        <w:t>Or,</w:t>
      </w:r>
      <w:proofErr w:type="gramEnd"/>
      <w:r>
        <w:t xml:space="preserve"> maybe not. Maybe people will see </w:t>
      </w:r>
      <w:proofErr w:type="gramStart"/>
      <w:r>
        <w:t>this for what it</w:t>
      </w:r>
      <w:proofErr w:type="gramEnd"/>
      <w:r>
        <w:t xml:space="preserve"> </w:t>
      </w:r>
      <w:proofErr w:type="gramStart"/>
      <w:r>
        <w:t>is</w:t>
      </w:r>
      <w:r w:rsidR="00F01403">
        <w:t>,</w:t>
      </w:r>
      <w:proofErr w:type="gramEnd"/>
      <w:r w:rsidR="00F01403">
        <w:t xml:space="preserve"> </w:t>
      </w:r>
      <w:r>
        <w:t>a royal scam, and won’t start calling those state representatives. Maybe people who know and care about Bitcoin will be successful in getting a “node runner exemption” passed in state legislatures</w:t>
      </w:r>
      <w:r w:rsidR="000221A9">
        <w:t xml:space="preserve">, </w:t>
      </w:r>
      <w:r w:rsidR="0031534F">
        <w:t xml:space="preserve">of course </w:t>
      </w:r>
      <w:r w:rsidR="000221A9">
        <w:t>with the necessary restrictions and limitations</w:t>
      </w:r>
      <w:r w:rsidR="0031534F">
        <w:t>, because no sane person wants to provide cover for filth</w:t>
      </w:r>
      <w:r>
        <w:t xml:space="preserve">. This is </w:t>
      </w:r>
      <w:r w:rsidR="0031534F">
        <w:t xml:space="preserve">all </w:t>
      </w:r>
      <w:r>
        <w:t>certainly possible, but I’m not holding my breath.</w:t>
      </w:r>
      <w:r w:rsidR="000221A9">
        <w:t xml:space="preserve"> Mobs don’t ask questions.</w:t>
      </w:r>
    </w:p>
    <w:p w14:paraId="5988F261" w14:textId="687AE6C4" w:rsidR="00AD4472" w:rsidRDefault="00AD4472">
      <w:r>
        <w:t xml:space="preserve">But what about Wall Street? After all, it’s not just our hypothetical User running a Bitcoin node. It’s huge, publicly traded </w:t>
      </w:r>
      <w:proofErr w:type="gramStart"/>
      <w:r>
        <w:t>companies</w:t>
      </w:r>
      <w:proofErr w:type="gramEnd"/>
      <w:r>
        <w:t xml:space="preserve"> and the biggest investment managers in the world. They have </w:t>
      </w:r>
      <w:proofErr w:type="gramStart"/>
      <w:r>
        <w:t>a lot invested</w:t>
      </w:r>
      <w:proofErr w:type="gramEnd"/>
      <w:r>
        <w:t xml:space="preserve"> in Bitcoin, from ETFs to corporate treasuries. </w:t>
      </w:r>
      <w:r w:rsidR="003A4C06">
        <w:t xml:space="preserve">They have powerful lawyers and consultants to explain all of this to them. </w:t>
      </w:r>
      <w:r>
        <w:t>It</w:t>
      </w:r>
      <w:r w:rsidR="000221A9">
        <w:t xml:space="preserve"> is reasonable to assume that most of </w:t>
      </w:r>
      <w:r>
        <w:t>these actors have zero interest in getting involved in such an ugly thing. It’s embarrassing</w:t>
      </w:r>
      <w:r w:rsidR="000221A9">
        <w:t xml:space="preserve"> and risky, </w:t>
      </w:r>
      <w:r>
        <w:t xml:space="preserve">and </w:t>
      </w:r>
      <w:r w:rsidR="000221A9">
        <w:t>therefore</w:t>
      </w:r>
      <w:r>
        <w:t xml:space="preserve"> a threat to their portfolios</w:t>
      </w:r>
      <w:r w:rsidR="000221A9">
        <w:t>.</w:t>
      </w:r>
      <w:r w:rsidR="00A26167">
        <w:t xml:space="preserve"> </w:t>
      </w:r>
      <w:r w:rsidR="000221A9">
        <w:t xml:space="preserve">Have they concluded that this is just a bunch of techie hand wringing and fear mongering? A big old nothing burger? I </w:t>
      </w:r>
      <w:r w:rsidR="000221A9">
        <w:lastRenderedPageBreak/>
        <w:t>don’t have an answer to that question. If that’s what they think, I hope they’re right. I’m just here to explore the law, and the risks of violating it.</w:t>
      </w:r>
    </w:p>
    <w:p w14:paraId="4FE6F401" w14:textId="78014C1F" w:rsidR="000221A9" w:rsidRDefault="000221A9">
      <w:pPr>
        <w:rPr>
          <w:color w:val="156082" w:themeColor="accent1"/>
        </w:rPr>
      </w:pPr>
      <w:r w:rsidRPr="000221A9">
        <w:rPr>
          <w:i/>
          <w:iCs/>
          <w:color w:val="156082" w:themeColor="accent1"/>
        </w:rPr>
        <w:t>Handicapping risk</w:t>
      </w:r>
    </w:p>
    <w:p w14:paraId="5ADC2580" w14:textId="0FBA3A85" w:rsidR="000221A9" w:rsidRDefault="000221A9">
      <w:r>
        <w:t xml:space="preserve">So, now, for some of you, your favorite part. </w:t>
      </w:r>
      <w:r w:rsidRPr="000221A9">
        <w:rPr>
          <w:b/>
          <w:bCs/>
        </w:rPr>
        <w:t xml:space="preserve">Am I </w:t>
      </w:r>
      <w:r w:rsidRPr="00681DBE">
        <w:rPr>
          <w:b/>
          <w:bCs/>
        </w:rPr>
        <w:t>immune</w:t>
      </w:r>
      <w:r w:rsidRPr="000221A9">
        <w:rPr>
          <w:b/>
          <w:bCs/>
        </w:rPr>
        <w:t xml:space="preserve"> from liability if I run Knots</w:t>
      </w:r>
      <w:r>
        <w:t>?</w:t>
      </w:r>
    </w:p>
    <w:p w14:paraId="3601D867" w14:textId="06E0610A" w:rsidR="00425936" w:rsidRDefault="00425936">
      <w:r>
        <w:t xml:space="preserve">The short answer is </w:t>
      </w:r>
      <w:proofErr w:type="gramStart"/>
      <w:r>
        <w:t>no,</w:t>
      </w:r>
      <w:proofErr w:type="gramEnd"/>
      <w:r>
        <w:t xml:space="preserve"> you are not </w:t>
      </w:r>
      <w:r w:rsidRPr="00425936">
        <w:rPr>
          <w:i/>
          <w:iCs/>
        </w:rPr>
        <w:t>immune</w:t>
      </w:r>
      <w:r>
        <w:t xml:space="preserve">. As explored above, immunity would require a specific legal exemption that </w:t>
      </w:r>
      <w:r w:rsidR="00C72741">
        <w:t xml:space="preserve">expressly </w:t>
      </w:r>
      <w:r>
        <w:t>removes the User from legal liability.</w:t>
      </w:r>
    </w:p>
    <w:p w14:paraId="19E5B132" w14:textId="77777777" w:rsidR="00FD0B94" w:rsidRDefault="00425936">
      <w:r>
        <w:t xml:space="preserve">Does it help? Yes, </w:t>
      </w:r>
      <w:r w:rsidR="00EB22A0">
        <w:t xml:space="preserve">absolutely, </w:t>
      </w:r>
      <w:r>
        <w:t>but understand why, and what the limitations might be.</w:t>
      </w:r>
      <w:r w:rsidR="00BA3748">
        <w:t xml:space="preserve"> </w:t>
      </w:r>
    </w:p>
    <w:p w14:paraId="7E3FD220" w14:textId="653413BA" w:rsidR="00425936" w:rsidRDefault="00BA3748">
      <w:r>
        <w:t>Here’s what I understand</w:t>
      </w:r>
      <w:r w:rsidR="00425936">
        <w:t>:</w:t>
      </w:r>
    </w:p>
    <w:p w14:paraId="68DE173E" w14:textId="54F8C7BB" w:rsidR="00425936" w:rsidRDefault="00425936" w:rsidP="00425936">
      <w:pPr>
        <w:pStyle w:val="ListParagraph"/>
        <w:numPr>
          <w:ilvl w:val="0"/>
          <w:numId w:val="6"/>
        </w:numPr>
      </w:pPr>
      <w:r>
        <w:t>Knots nodes</w:t>
      </w:r>
      <w:r w:rsidR="00BA3748">
        <w:t xml:space="preserve">’ default settings (unlike Core’s 30’s default settings) </w:t>
      </w:r>
      <w:r w:rsidR="00BA3748" w:rsidRPr="00BA3748">
        <w:t>retain the -</w:t>
      </w:r>
      <w:proofErr w:type="spellStart"/>
      <w:r w:rsidR="00BA3748" w:rsidRPr="00BA3748">
        <w:rPr>
          <w:b/>
          <w:bCs/>
        </w:rPr>
        <w:t>datacarrier</w:t>
      </w:r>
      <w:proofErr w:type="spellEnd"/>
      <w:r w:rsidR="00BA3748" w:rsidRPr="00BA3748">
        <w:t xml:space="preserve"> and </w:t>
      </w:r>
      <w:r w:rsidR="00BA3748" w:rsidRPr="00BA3748">
        <w:rPr>
          <w:b/>
          <w:bCs/>
        </w:rPr>
        <w:t>-</w:t>
      </w:r>
      <w:proofErr w:type="spellStart"/>
      <w:r w:rsidR="00BA3748" w:rsidRPr="00BA3748">
        <w:rPr>
          <w:b/>
          <w:bCs/>
        </w:rPr>
        <w:t>datacarriersize</w:t>
      </w:r>
      <w:proofErr w:type="spellEnd"/>
      <w:r w:rsidR="00BA3748" w:rsidRPr="00BA3748">
        <w:t xml:space="preserve"> policy switches so you can disable OP_RETURN relay or cap it tightly. Historically, Knots deployments and templates have used 42 bytes as a ceiling, </w:t>
      </w:r>
      <w:r w:rsidR="001868FC">
        <w:t>well</w:t>
      </w:r>
      <w:r w:rsidR="00BA3748" w:rsidRPr="00BA3748">
        <w:t xml:space="preserve"> below Core</w:t>
      </w:r>
      <w:r w:rsidR="00BA3748">
        <w:t xml:space="preserve"> 30’s</w:t>
      </w:r>
      <w:r w:rsidR="00BA3748" w:rsidRPr="00BA3748">
        <w:t xml:space="preserve"> relaxed </w:t>
      </w:r>
      <w:proofErr w:type="gramStart"/>
      <w:r w:rsidR="00BA3748" w:rsidRPr="00BA3748">
        <w:t>default</w:t>
      </w:r>
      <w:r w:rsidR="00BA3748">
        <w:t>;</w:t>
      </w:r>
      <w:proofErr w:type="gramEnd"/>
    </w:p>
    <w:p w14:paraId="0045EB0D" w14:textId="77777777" w:rsidR="00BA3748" w:rsidRDefault="00BA3748" w:rsidP="00BA3748">
      <w:pPr>
        <w:pStyle w:val="ListParagraph"/>
      </w:pPr>
    </w:p>
    <w:p w14:paraId="7481CFBB" w14:textId="0824FDD2" w:rsidR="00BA3748" w:rsidRDefault="00BA3748" w:rsidP="00425936">
      <w:pPr>
        <w:pStyle w:val="ListParagraph"/>
        <w:numPr>
          <w:ilvl w:val="0"/>
          <w:numId w:val="6"/>
        </w:numPr>
      </w:pPr>
      <w:r w:rsidRPr="00BA3748">
        <w:t>Knots adds a policy toggle so you can refuse OP_RETURN that does not match the standard pattern, blocking attempts to sneak larger payloads past the normal checks. Release notes describe this as an “</w:t>
      </w:r>
      <w:r w:rsidRPr="00BA3748">
        <w:rPr>
          <w:b/>
          <w:bCs/>
        </w:rPr>
        <w:t xml:space="preserve">accept non-std </w:t>
      </w:r>
      <w:proofErr w:type="spellStart"/>
      <w:r w:rsidRPr="00BA3748">
        <w:rPr>
          <w:b/>
          <w:bCs/>
        </w:rPr>
        <w:t>datacarrier</w:t>
      </w:r>
      <w:proofErr w:type="spellEnd"/>
      <w:r w:rsidRPr="00BA3748">
        <w:t xml:space="preserve">” policy flag that lets operators control acceptance of non-standard OP_RETURNs. Default behavior is to </w:t>
      </w:r>
      <w:r w:rsidRPr="00BA3748">
        <w:rPr>
          <w:i/>
          <w:iCs/>
        </w:rPr>
        <w:t>reject</w:t>
      </w:r>
      <w:r w:rsidRPr="00BA3748">
        <w:t xml:space="preserve"> non-standard </w:t>
      </w:r>
      <w:proofErr w:type="spellStart"/>
      <w:r w:rsidRPr="00BA3748">
        <w:rPr>
          <w:b/>
          <w:bCs/>
        </w:rPr>
        <w:t>datacarrier</w:t>
      </w:r>
      <w:proofErr w:type="spellEnd"/>
      <w:r w:rsidRPr="00BA3748">
        <w:t>.</w:t>
      </w:r>
    </w:p>
    <w:p w14:paraId="27CA494E" w14:textId="231DD379" w:rsidR="00EB22A0" w:rsidRDefault="00EB22A0" w:rsidP="00BA3748">
      <w:proofErr w:type="gramStart"/>
      <w:r>
        <w:t>End result</w:t>
      </w:r>
      <w:proofErr w:type="gramEnd"/>
      <w:r>
        <w:t>: less spam, whether CSAM or otherwise.</w:t>
      </w:r>
    </w:p>
    <w:p w14:paraId="2BA628EA" w14:textId="19D3BF42" w:rsidR="009253A4" w:rsidRPr="004C5B44" w:rsidRDefault="00BA3748" w:rsidP="00BA3748">
      <w:r>
        <w:t xml:space="preserve">The significance of this is that running Knots, in my opinion, establishes </w:t>
      </w:r>
      <w:r w:rsidRPr="00BA3748">
        <w:rPr>
          <w:i/>
          <w:iCs/>
        </w:rPr>
        <w:t>good faith and reasonable efforts</w:t>
      </w:r>
      <w:r>
        <w:t xml:space="preserve"> to avoid the receipt and transmission of CSAM</w:t>
      </w:r>
      <w:r w:rsidR="00B406B4">
        <w:t>, and, more obviously, reduces the amount of trash that is relayed around the network</w:t>
      </w:r>
      <w:r>
        <w:t>. That said</w:t>
      </w:r>
      <w:r w:rsidR="00C72741">
        <w:t xml:space="preserve">, running Knots does </w:t>
      </w:r>
      <w:r w:rsidR="00C72741" w:rsidRPr="00C72741">
        <w:t>not</w:t>
      </w:r>
      <w:r w:rsidR="00C72741">
        <w:t xml:space="preserve"> </w:t>
      </w:r>
      <w:r w:rsidR="00C72741" w:rsidRPr="00C72741">
        <w:rPr>
          <w:i/>
          <w:iCs/>
        </w:rPr>
        <w:t>categorially</w:t>
      </w:r>
      <w:r w:rsidR="00C72741">
        <w:t xml:space="preserve"> p</w:t>
      </w:r>
      <w:r>
        <w:t xml:space="preserve">revent the receipt </w:t>
      </w:r>
      <w:r w:rsidR="00CF6633">
        <w:t>of mined blocks</w:t>
      </w:r>
      <w:r w:rsidR="00C72741">
        <w:t xml:space="preserve"> that already contain CSAM</w:t>
      </w:r>
      <w:r w:rsidR="00A318E4">
        <w:t xml:space="preserve"> under current law</w:t>
      </w:r>
      <w:r w:rsidR="00C72741">
        <w:t xml:space="preserve">, even if you prune the node. Also, the node runner does not have ultimate control over what’s in the mined blocks. The miners do, so in essence they have the “final say”. We should hope that most miners are decent people with common sense, but again, I’m not holding my breath. It’s also important that, as of the time I wrote this, only around 20% of all Bitcoin nodes are Knots, although a much higher percentage of </w:t>
      </w:r>
      <w:r w:rsidR="00504642">
        <w:t>all</w:t>
      </w:r>
      <w:r w:rsidR="00C72741">
        <w:t xml:space="preserve"> nodes are running either Knots or &lt;Core 30. The problem begins (or perhaps gets worse) as node runners </w:t>
      </w:r>
      <w:r w:rsidR="00504642">
        <w:t>downgrade to Core 30. I hate to say it, but in a sense, either we all run Knots, or none of us do. I’m not sure the court of public opinion will pick up on the finer points.</w:t>
      </w:r>
    </w:p>
    <w:p w14:paraId="7F5357FF" w14:textId="77777777" w:rsidR="004C5B44" w:rsidRDefault="004C5B44" w:rsidP="00BA3748">
      <w:pPr>
        <w:rPr>
          <w:i/>
          <w:iCs/>
          <w:color w:val="156082" w:themeColor="accent1"/>
        </w:rPr>
      </w:pPr>
    </w:p>
    <w:p w14:paraId="220B275E" w14:textId="20F2026A" w:rsidR="004C5B44" w:rsidRDefault="001868FC" w:rsidP="00BA3748">
      <w:pPr>
        <w:rPr>
          <w:i/>
          <w:iCs/>
          <w:color w:val="156082" w:themeColor="accent1"/>
        </w:rPr>
      </w:pPr>
      <w:proofErr w:type="gramStart"/>
      <w:r w:rsidRPr="001868FC">
        <w:rPr>
          <w:i/>
          <w:iCs/>
          <w:color w:val="156082" w:themeColor="accent1"/>
        </w:rPr>
        <w:t>So</w:t>
      </w:r>
      <w:proofErr w:type="gramEnd"/>
      <w:r w:rsidRPr="001868FC">
        <w:rPr>
          <w:i/>
          <w:iCs/>
          <w:color w:val="156082" w:themeColor="accent1"/>
        </w:rPr>
        <w:t xml:space="preserve"> what do I do?</w:t>
      </w:r>
    </w:p>
    <w:p w14:paraId="69EF923C" w14:textId="6AE9AFD3" w:rsidR="00BA3748" w:rsidRPr="004C5B44" w:rsidRDefault="001868FC" w:rsidP="00BA3748">
      <w:pPr>
        <w:rPr>
          <w:i/>
          <w:iCs/>
          <w:color w:val="156082" w:themeColor="accent1"/>
        </w:rPr>
      </w:pPr>
      <w:r>
        <w:lastRenderedPageBreak/>
        <w:t xml:space="preserve">If it wasn’t clear by now, my answer would be to do what feels right to </w:t>
      </w:r>
      <w:r w:rsidRPr="001868FC">
        <w:rPr>
          <w:b/>
          <w:bCs/>
        </w:rPr>
        <w:t>you</w:t>
      </w:r>
      <w:r>
        <w:t xml:space="preserve">, and you are solely responsible for your own decisions. That said, I see </w:t>
      </w:r>
      <w:proofErr w:type="spellStart"/>
      <w:r>
        <w:t>bitcoin</w:t>
      </w:r>
      <w:r w:rsidR="00C438A1">
        <w:t>er</w:t>
      </w:r>
      <w:r>
        <w:t>s</w:t>
      </w:r>
      <w:proofErr w:type="spellEnd"/>
      <w:r>
        <w:t xml:space="preserve"> falling into </w:t>
      </w:r>
      <w:r w:rsidR="009C2E66">
        <w:t>three</w:t>
      </w:r>
      <w:r>
        <w:t xml:space="preserve"> main categories</w:t>
      </w:r>
      <w:r w:rsidR="00C438A1">
        <w:t xml:space="preserve"> here</w:t>
      </w:r>
      <w:r>
        <w:t>:</w:t>
      </w:r>
    </w:p>
    <w:p w14:paraId="2D4DA9AE" w14:textId="1FD0BDD1" w:rsidR="001868FC" w:rsidRDefault="00073749" w:rsidP="001868FC">
      <w:pPr>
        <w:pStyle w:val="ListParagraph"/>
        <w:numPr>
          <w:ilvl w:val="1"/>
          <w:numId w:val="5"/>
        </w:numPr>
      </w:pPr>
      <w:r>
        <w:t>“</w:t>
      </w:r>
      <w:r w:rsidR="00C438A1">
        <w:t>Yikes</w:t>
      </w:r>
      <w:r w:rsidR="001868FC">
        <w:t>, what a mess. I’m s</w:t>
      </w:r>
      <w:r w:rsidR="00F54C2A">
        <w:t>t</w:t>
      </w:r>
      <w:r w:rsidR="001868FC">
        <w:t xml:space="preserve">aying out of this whole thing until it all gets sorted out. I can’t take </w:t>
      </w:r>
      <w:r w:rsidR="001868FC" w:rsidRPr="00C438A1">
        <w:rPr>
          <w:i/>
          <w:iCs/>
        </w:rPr>
        <w:t>any</w:t>
      </w:r>
      <w:r w:rsidR="001868FC">
        <w:t xml:space="preserve"> risk of being called a criminal (or much</w:t>
      </w:r>
      <w:r w:rsidR="00C438A1">
        <w:t>, much</w:t>
      </w:r>
      <w:r w:rsidR="001868FC">
        <w:t xml:space="preserve"> worse). I’m out.</w:t>
      </w:r>
      <w:r>
        <w:t>”</w:t>
      </w:r>
    </w:p>
    <w:p w14:paraId="3CCFADA2" w14:textId="10F0B11E" w:rsidR="001868FC" w:rsidRDefault="00073749" w:rsidP="001868FC">
      <w:pPr>
        <w:pStyle w:val="ListParagraph"/>
        <w:numPr>
          <w:ilvl w:val="1"/>
          <w:numId w:val="5"/>
        </w:numPr>
      </w:pPr>
      <w:r>
        <w:t>“</w:t>
      </w:r>
      <w:r w:rsidR="001868FC">
        <w:t xml:space="preserve">I’m nervous about this whole thing, but look, I’m already running a node, or have </w:t>
      </w:r>
      <w:r w:rsidR="00C438A1">
        <w:t xml:space="preserve">already </w:t>
      </w:r>
      <w:r w:rsidR="001868FC">
        <w:t>decided to run one. I’m going to run Knots, pay attention to my settings, and wait and see</w:t>
      </w:r>
      <w:proofErr w:type="gramStart"/>
      <w:r>
        <w:t>”</w:t>
      </w:r>
      <w:r w:rsidR="001868FC">
        <w:t>;</w:t>
      </w:r>
      <w:proofErr w:type="gramEnd"/>
    </w:p>
    <w:p w14:paraId="333038BA" w14:textId="1B72A09F" w:rsidR="00182758" w:rsidRDefault="00073749" w:rsidP="00182758">
      <w:pPr>
        <w:pStyle w:val="ListParagraph"/>
        <w:numPr>
          <w:ilvl w:val="1"/>
          <w:numId w:val="5"/>
        </w:numPr>
      </w:pPr>
      <w:r>
        <w:t>“</w:t>
      </w:r>
      <w:r w:rsidR="001868FC">
        <w:t xml:space="preserve">I’m a </w:t>
      </w:r>
      <w:proofErr w:type="spellStart"/>
      <w:r w:rsidR="001868FC">
        <w:t>bitcoiner</w:t>
      </w:r>
      <w:proofErr w:type="spellEnd"/>
      <w:r w:rsidR="001868FC">
        <w:t xml:space="preserve">. We didn’t get here </w:t>
      </w:r>
      <w:r w:rsidR="008E0BF5">
        <w:t xml:space="preserve">in the first place </w:t>
      </w:r>
      <w:r w:rsidR="001868FC">
        <w:t>by bowing to intimidation</w:t>
      </w:r>
      <w:r w:rsidR="00C438A1">
        <w:t>, smears, and attacks on the network. Did you really think this was going to be easy? I know I have a pure heart, and I stand by my convictions. I’m going to run Knots</w:t>
      </w:r>
      <w:r w:rsidR="00D93175">
        <w:t>, and affiliate with decent miners</w:t>
      </w:r>
      <w:r w:rsidR="00C438A1">
        <w:t>. I know there’s some risk here, but it is what it is.</w:t>
      </w:r>
      <w:r>
        <w:t>”</w:t>
      </w:r>
    </w:p>
    <w:p w14:paraId="6802E461" w14:textId="77777777" w:rsidR="008F4E38" w:rsidRDefault="00C438A1" w:rsidP="00C438A1">
      <w:r>
        <w:t xml:space="preserve">I personally honor and respect all </w:t>
      </w:r>
      <w:r w:rsidR="00182758">
        <w:t>three</w:t>
      </w:r>
      <w:r>
        <w:t xml:space="preserve"> points of view. People have different risk tolerances and needs. </w:t>
      </w:r>
    </w:p>
    <w:p w14:paraId="43706FFA" w14:textId="7B3C094B" w:rsidR="00182758" w:rsidRDefault="00182758" w:rsidP="00C438A1">
      <w:r>
        <w:t xml:space="preserve">What about those </w:t>
      </w:r>
      <w:proofErr w:type="spellStart"/>
      <w:r>
        <w:t>bitcoiners</w:t>
      </w:r>
      <w:proofErr w:type="spellEnd"/>
      <w:r>
        <w:t xml:space="preserve"> who </w:t>
      </w:r>
      <w:r w:rsidR="00C438A1">
        <w:t xml:space="preserve">want to run Core 30? Again, that’s up to you. It certainly wouldn’t be my cup of tea, and I’m not sure why you would want </w:t>
      </w:r>
      <w:proofErr w:type="gramStart"/>
      <w:r w:rsidR="00C438A1">
        <w:t>to</w:t>
      </w:r>
      <w:proofErr w:type="gramEnd"/>
      <w:r w:rsidR="00B4240C">
        <w:t xml:space="preserve"> either</w:t>
      </w:r>
      <w:r w:rsidR="00C438A1">
        <w:t xml:space="preserve">. </w:t>
      </w:r>
      <w:r w:rsidR="00A77F5B">
        <w:t xml:space="preserve">I believe Core </w:t>
      </w:r>
      <w:r w:rsidR="00D92B1B">
        <w:t xml:space="preserve">cleverly </w:t>
      </w:r>
      <w:r w:rsidR="00A77F5B">
        <w:t>threw a few, non-controversial goodies into 30</w:t>
      </w:r>
      <w:r w:rsidR="00960F06">
        <w:t>, but is that worth it?</w:t>
      </w:r>
      <w:r w:rsidR="00D92B1B">
        <w:t xml:space="preserve"> </w:t>
      </w:r>
      <w:r w:rsidR="00A97B1D">
        <w:t>P</w:t>
      </w:r>
      <w:r w:rsidR="00C438A1">
        <w:t xml:space="preserve">erhaps you don’t buy into </w:t>
      </w:r>
      <w:r w:rsidR="00B4240C">
        <w:t>any</w:t>
      </w:r>
      <w:r w:rsidR="00C438A1">
        <w:t xml:space="preserve"> of </w:t>
      </w:r>
      <w:proofErr w:type="gramStart"/>
      <w:r w:rsidR="00C438A1">
        <w:t>this</w:t>
      </w:r>
      <w:proofErr w:type="gramEnd"/>
      <w:r w:rsidR="00A77F5B">
        <w:t>. A</w:t>
      </w:r>
      <w:r w:rsidR="00C438A1">
        <w:t xml:space="preserve">s one very prominent </w:t>
      </w:r>
      <w:proofErr w:type="spellStart"/>
      <w:r w:rsidR="00C438A1">
        <w:t>bitcoiner</w:t>
      </w:r>
      <w:proofErr w:type="spellEnd"/>
      <w:r w:rsidR="00F25309">
        <w:t xml:space="preserve">, also a lawyer, </w:t>
      </w:r>
      <w:r w:rsidR="00C438A1">
        <w:t>put it to me privately (to my great surprise</w:t>
      </w:r>
      <w:r w:rsidR="00A77F5B">
        <w:t xml:space="preserve"> and disappointment</w:t>
      </w:r>
      <w:r w:rsidR="00C438A1">
        <w:t xml:space="preserve">) “I’m not really that worried about a </w:t>
      </w:r>
      <w:proofErr w:type="gramStart"/>
      <w:r w:rsidR="002A2423">
        <w:t>few .gifs</w:t>
      </w:r>
      <w:proofErr w:type="gramEnd"/>
      <w:r w:rsidR="00C438A1">
        <w:t xml:space="preserve"> on the blockchain”. Yikes.</w:t>
      </w:r>
    </w:p>
    <w:p w14:paraId="128CE189" w14:textId="088A18B7" w:rsidR="00EB22A0" w:rsidRDefault="009C2E66" w:rsidP="00C438A1">
      <w:r>
        <w:t xml:space="preserve">Which </w:t>
      </w:r>
      <w:proofErr w:type="spellStart"/>
      <w:r>
        <w:t>bitcoiner</w:t>
      </w:r>
      <w:proofErr w:type="spellEnd"/>
      <w:r>
        <w:t xml:space="preserve"> are you?</w:t>
      </w:r>
    </w:p>
    <w:p w14:paraId="3325A289" w14:textId="22146AAC" w:rsidR="00073749" w:rsidRPr="00073749" w:rsidRDefault="00073749" w:rsidP="00C438A1">
      <w:pPr>
        <w:rPr>
          <w:i/>
          <w:iCs/>
          <w:color w:val="156082" w:themeColor="accent1"/>
        </w:rPr>
      </w:pPr>
      <w:r w:rsidRPr="00073749">
        <w:rPr>
          <w:i/>
          <w:iCs/>
          <w:color w:val="156082" w:themeColor="accent1"/>
        </w:rPr>
        <w:t>Conclusion</w:t>
      </w:r>
    </w:p>
    <w:p w14:paraId="31AC0E89" w14:textId="2EA4ED57" w:rsidR="008E0BF5" w:rsidRDefault="008E0BF5" w:rsidP="00C438A1">
      <w:r>
        <w:t xml:space="preserve">I hope this Article has been helpful and informative. Most of all, I hope I am </w:t>
      </w:r>
      <w:r w:rsidR="00A66B44">
        <w:t xml:space="preserve">completely </w:t>
      </w:r>
      <w:r>
        <w:t xml:space="preserve">wrong. I hope I look back on this article and laugh at how much time I spent on it. I hope that CSAM is wiped off the face of the Earth, and the impetus to create it purged from the minds that do. As mentioned, I welcome any factual or legal corrections, and good faith debate or discussion. </w:t>
      </w:r>
    </w:p>
    <w:p w14:paraId="24924E1A" w14:textId="48FF6EB3" w:rsidR="008E0BF5" w:rsidRPr="000221A9" w:rsidRDefault="003A4C06" w:rsidP="00C438A1">
      <w:r>
        <w:t>God Bless</w:t>
      </w:r>
      <w:r w:rsidR="00E06A45">
        <w:t>.</w:t>
      </w:r>
    </w:p>
    <w:sectPr w:rsidR="008E0BF5" w:rsidRPr="000221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EA3E0" w14:textId="77777777" w:rsidR="006D074E" w:rsidRDefault="006D074E" w:rsidP="004E687B">
      <w:pPr>
        <w:spacing w:after="0" w:line="240" w:lineRule="auto"/>
      </w:pPr>
      <w:r>
        <w:separator/>
      </w:r>
    </w:p>
  </w:endnote>
  <w:endnote w:type="continuationSeparator" w:id="0">
    <w:p w14:paraId="60634944" w14:textId="77777777" w:rsidR="006D074E" w:rsidRDefault="006D074E" w:rsidP="004E6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ED571" w14:textId="77777777" w:rsidR="006D074E" w:rsidRDefault="006D074E" w:rsidP="004E687B">
      <w:pPr>
        <w:spacing w:after="0" w:line="240" w:lineRule="auto"/>
      </w:pPr>
      <w:r>
        <w:separator/>
      </w:r>
    </w:p>
  </w:footnote>
  <w:footnote w:type="continuationSeparator" w:id="0">
    <w:p w14:paraId="7BC86130" w14:textId="77777777" w:rsidR="006D074E" w:rsidRDefault="006D074E" w:rsidP="004E687B">
      <w:pPr>
        <w:spacing w:after="0" w:line="240" w:lineRule="auto"/>
      </w:pPr>
      <w:r>
        <w:continuationSeparator/>
      </w:r>
    </w:p>
  </w:footnote>
  <w:footnote w:id="1">
    <w:p w14:paraId="549E279F" w14:textId="5262EE54" w:rsidR="00247A68" w:rsidRDefault="00C4794B">
      <w:pPr>
        <w:pStyle w:val="FootnoteText"/>
      </w:pPr>
      <w:r>
        <w:rPr>
          <w:rStyle w:val="FootnoteReference"/>
        </w:rPr>
        <w:footnoteRef/>
      </w:r>
      <w:r>
        <w:t xml:space="preserve"> What constitutes “CSAM” is a threshold legal issue. For purposes of this article, we are going to assume that the “images” or “videos” under discussion satisfy the legal definition of “CSAM” in all fifty states.</w:t>
      </w:r>
    </w:p>
    <w:p w14:paraId="08044415" w14:textId="77777777" w:rsidR="00247A68" w:rsidRDefault="00247A68">
      <w:pPr>
        <w:pStyle w:val="FootnoteText"/>
      </w:pPr>
    </w:p>
  </w:footnote>
  <w:footnote w:id="2">
    <w:p w14:paraId="28F9C4FF" w14:textId="45167064" w:rsidR="00247A68" w:rsidRDefault="00247A68">
      <w:pPr>
        <w:pStyle w:val="FootnoteText"/>
      </w:pPr>
      <w:r>
        <w:rPr>
          <w:rStyle w:val="FootnoteReference"/>
        </w:rPr>
        <w:footnoteRef/>
      </w:r>
      <w:r>
        <w:t xml:space="preserve"> I focus here only on criminal statutes. Civil liability for CSAM possession or distribution is a whole separate kettle of fish.</w:t>
      </w:r>
    </w:p>
  </w:footnote>
  <w:footnote w:id="3">
    <w:p w14:paraId="6239025A" w14:textId="7CD9C245" w:rsidR="004E687B" w:rsidRDefault="004E687B">
      <w:pPr>
        <w:pStyle w:val="FootnoteText"/>
      </w:pPr>
      <w:r>
        <w:rPr>
          <w:rStyle w:val="FootnoteReference"/>
        </w:rPr>
        <w:footnoteRef/>
      </w:r>
      <w:r>
        <w:t xml:space="preserve"> One of Core’s principal arguments in this whole mess is that “there’s already non-monetary (potentially including CSAM) in the UTXO set”. This is true, but it is also </w:t>
      </w:r>
      <w:r w:rsidR="004A0286">
        <w:t>very likely</w:t>
      </w:r>
      <w:r>
        <w:t xml:space="preserve"> that, before this debate began, node runners’ </w:t>
      </w:r>
      <w:r w:rsidR="007775B4">
        <w:t xml:space="preserve">general </w:t>
      </w:r>
      <w:r>
        <w:t xml:space="preserve">awareness of and attention to CSAM pollution was far less than it is now. This is important because it goes to the User’s </w:t>
      </w:r>
      <w:r w:rsidRPr="004E687B">
        <w:rPr>
          <w:i/>
          <w:iCs/>
        </w:rPr>
        <w:t>state of mind</w:t>
      </w:r>
      <w:r>
        <w:t xml:space="preserve">, </w:t>
      </w:r>
      <w:r w:rsidR="00606D20">
        <w:t xml:space="preserve">that is, </w:t>
      </w:r>
      <w:r>
        <w:t>what he or she “</w:t>
      </w:r>
      <w:r w:rsidRPr="004E687B">
        <w:rPr>
          <w:i/>
          <w:iCs/>
        </w:rPr>
        <w:t>knows</w:t>
      </w:r>
      <w:r>
        <w:t>”</w:t>
      </w:r>
      <w:r w:rsidR="004A0286">
        <w:t xml:space="preserve"> </w:t>
      </w:r>
      <w:r w:rsidR="004A0286" w:rsidRPr="004A0286">
        <w:rPr>
          <w:b/>
          <w:bCs/>
        </w:rPr>
        <w:t>now</w:t>
      </w:r>
      <w:r>
        <w:t>, which I get into in much more detail below.</w:t>
      </w:r>
    </w:p>
  </w:footnote>
  <w:footnote w:id="4">
    <w:p w14:paraId="1A3B1546" w14:textId="32B2A230" w:rsidR="005E6048" w:rsidRDefault="005E6048">
      <w:pPr>
        <w:pStyle w:val="FootnoteText"/>
      </w:pPr>
      <w:r>
        <w:rPr>
          <w:rStyle w:val="FootnoteReference"/>
        </w:rPr>
        <w:footnoteRef/>
      </w:r>
      <w:r>
        <w:t xml:space="preserve"> Although I haven’t been to California </w:t>
      </w:r>
      <w:r w:rsidR="00274B15">
        <w:t>in</w:t>
      </w:r>
      <w:r>
        <w:t xml:space="preserve"> years.</w:t>
      </w:r>
    </w:p>
  </w:footnote>
  <w:footnote w:id="5">
    <w:p w14:paraId="561D92E2" w14:textId="4F6663C3" w:rsidR="00676AAB" w:rsidRDefault="00676AAB">
      <w:pPr>
        <w:pStyle w:val="FootnoteText"/>
      </w:pPr>
      <w:r>
        <w:rPr>
          <w:rStyle w:val="FootnoteReference"/>
        </w:rPr>
        <w:footnoteRef/>
      </w:r>
      <w:r>
        <w:t xml:space="preserve"> Admittedly, there is a little mixing and matching of the “exemptions” (i.e. not liable because of who you are), and “affirmative defenses” (i.e. not liable because of what you do, or don’t do) in these columns. This is attributable to differences in </w:t>
      </w:r>
      <w:proofErr w:type="spellStart"/>
      <w:r>
        <w:t>they</w:t>
      </w:r>
      <w:proofErr w:type="spellEnd"/>
      <w:r>
        <w:t xml:space="preserve"> ways that the ways the statutes are drafted.</w:t>
      </w:r>
    </w:p>
    <w:p w14:paraId="584B5C34" w14:textId="77777777" w:rsidR="00676AAB" w:rsidRDefault="00676AAB">
      <w:pPr>
        <w:pStyle w:val="FootnoteText"/>
      </w:pPr>
    </w:p>
  </w:footnote>
  <w:footnote w:id="6">
    <w:p w14:paraId="085F52E1" w14:textId="1A6447C6" w:rsidR="00B620FB" w:rsidRDefault="00B620FB">
      <w:pPr>
        <w:pStyle w:val="FootnoteText"/>
      </w:pPr>
      <w:r>
        <w:rPr>
          <w:rStyle w:val="FootnoteReference"/>
        </w:rPr>
        <w:footnoteRef/>
      </w:r>
      <w:r>
        <w:t xml:space="preserve"> </w:t>
      </w:r>
      <w:r w:rsidRPr="00B620FB">
        <w:t xml:space="preserve">The </w:t>
      </w:r>
      <w:r>
        <w:t xml:space="preserve">Louisiana </w:t>
      </w:r>
      <w:r w:rsidRPr="00B620FB">
        <w:t>statute</w:t>
      </w:r>
      <w:r w:rsidR="003D30B6">
        <w:t>, for example,</w:t>
      </w:r>
      <w:r w:rsidRPr="00B620FB">
        <w:t xml:space="preserve"> provides an exemption for providers of </w:t>
      </w:r>
      <w:r w:rsidRPr="00B620FB">
        <w:rPr>
          <w:b/>
          <w:bCs/>
        </w:rPr>
        <w:t>interactive computer services, telecommunications services, or cable operators</w:t>
      </w:r>
      <w:r w:rsidRPr="00B620FB">
        <w:t xml:space="preserve"> from the provisions related to child sexual abuse materials. This </w:t>
      </w:r>
      <w:r w:rsidRPr="00B620FB">
        <w:rPr>
          <w:i/>
          <w:iCs/>
        </w:rPr>
        <w:t>suggests</w:t>
      </w:r>
      <w:r w:rsidRPr="00B620FB">
        <w:t xml:space="preserve"> that if a Bitcoin node operator could be classified under one of these categories, they </w:t>
      </w:r>
      <w:r w:rsidRPr="003D30B6">
        <w:rPr>
          <w:i/>
          <w:iCs/>
        </w:rPr>
        <w:t>might</w:t>
      </w:r>
      <w:r w:rsidRPr="00B620FB">
        <w:t xml:space="preserve"> not be held liable under this statute for the automatic processing and relaying of blockchain data that may contain CSAM, provided they do not intentionally possess, distribute, or promote such materials.</w:t>
      </w:r>
      <w:r w:rsidR="00352796">
        <w:t xml:space="preserve"> </w:t>
      </w:r>
      <w:r w:rsidR="00352796" w:rsidRPr="00352796">
        <w:t>La. R.S. § 14:81.1</w:t>
      </w:r>
      <w:r w:rsidR="00352796">
        <w:t>.</w:t>
      </w:r>
    </w:p>
  </w:footnote>
  <w:footnote w:id="7">
    <w:p w14:paraId="429A6246" w14:textId="78E6914E" w:rsidR="0020186A" w:rsidRDefault="0020186A">
      <w:pPr>
        <w:pStyle w:val="FootnoteText"/>
      </w:pPr>
      <w:r>
        <w:rPr>
          <w:rStyle w:val="FootnoteReference"/>
        </w:rPr>
        <w:footnoteRef/>
      </w:r>
      <w:r>
        <w:t xml:space="preserve"> </w:t>
      </w:r>
      <w:r w:rsidRPr="0020186A">
        <w:t>Idaho Code § 18-1507C</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23C22"/>
    <w:multiLevelType w:val="hybridMultilevel"/>
    <w:tmpl w:val="5B1831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0A039E"/>
    <w:multiLevelType w:val="hybridMultilevel"/>
    <w:tmpl w:val="DA125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E67F1A"/>
    <w:multiLevelType w:val="hybridMultilevel"/>
    <w:tmpl w:val="65B669DE"/>
    <w:lvl w:ilvl="0" w:tplc="0354FE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794379"/>
    <w:multiLevelType w:val="hybridMultilevel"/>
    <w:tmpl w:val="78D64D46"/>
    <w:lvl w:ilvl="0" w:tplc="6BA2974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7C7E9B"/>
    <w:multiLevelType w:val="multilevel"/>
    <w:tmpl w:val="7632EA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347835"/>
    <w:multiLevelType w:val="hybridMultilevel"/>
    <w:tmpl w:val="C40C9E6A"/>
    <w:lvl w:ilvl="0" w:tplc="B6A45802">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BE1902"/>
    <w:multiLevelType w:val="hybridMultilevel"/>
    <w:tmpl w:val="945E7578"/>
    <w:lvl w:ilvl="0" w:tplc="B6A45802">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395241"/>
    <w:multiLevelType w:val="hybridMultilevel"/>
    <w:tmpl w:val="680E4342"/>
    <w:lvl w:ilvl="0" w:tplc="B010DB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9399547">
    <w:abstractNumId w:val="7"/>
  </w:num>
  <w:num w:numId="2" w16cid:durableId="1967471499">
    <w:abstractNumId w:val="2"/>
  </w:num>
  <w:num w:numId="3" w16cid:durableId="595019804">
    <w:abstractNumId w:val="0"/>
  </w:num>
  <w:num w:numId="4" w16cid:durableId="1358198432">
    <w:abstractNumId w:val="3"/>
  </w:num>
  <w:num w:numId="5" w16cid:durableId="2047176752">
    <w:abstractNumId w:val="4"/>
  </w:num>
  <w:num w:numId="6" w16cid:durableId="713428669">
    <w:abstractNumId w:val="1"/>
  </w:num>
  <w:num w:numId="7" w16cid:durableId="925773522">
    <w:abstractNumId w:val="5"/>
  </w:num>
  <w:num w:numId="8" w16cid:durableId="3600145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EA4"/>
    <w:rsid w:val="000040C9"/>
    <w:rsid w:val="00005993"/>
    <w:rsid w:val="000221A9"/>
    <w:rsid w:val="0002266B"/>
    <w:rsid w:val="000356FF"/>
    <w:rsid w:val="00073749"/>
    <w:rsid w:val="00091302"/>
    <w:rsid w:val="000B202C"/>
    <w:rsid w:val="000C7541"/>
    <w:rsid w:val="000E31F3"/>
    <w:rsid w:val="000E6083"/>
    <w:rsid w:val="00103FA9"/>
    <w:rsid w:val="00104067"/>
    <w:rsid w:val="00106870"/>
    <w:rsid w:val="001078C1"/>
    <w:rsid w:val="001170F6"/>
    <w:rsid w:val="00136F12"/>
    <w:rsid w:val="001412E5"/>
    <w:rsid w:val="00152C5A"/>
    <w:rsid w:val="00161627"/>
    <w:rsid w:val="00182758"/>
    <w:rsid w:val="001868FC"/>
    <w:rsid w:val="001926C0"/>
    <w:rsid w:val="00193DE1"/>
    <w:rsid w:val="001A1C3C"/>
    <w:rsid w:val="001B36EA"/>
    <w:rsid w:val="0020186A"/>
    <w:rsid w:val="00203DD4"/>
    <w:rsid w:val="0020659E"/>
    <w:rsid w:val="002165E9"/>
    <w:rsid w:val="00227F7B"/>
    <w:rsid w:val="00246A1C"/>
    <w:rsid w:val="00247A68"/>
    <w:rsid w:val="00267239"/>
    <w:rsid w:val="00274B15"/>
    <w:rsid w:val="002A2423"/>
    <w:rsid w:val="002F1ED7"/>
    <w:rsid w:val="00301A8A"/>
    <w:rsid w:val="00311634"/>
    <w:rsid w:val="0031201B"/>
    <w:rsid w:val="0031534F"/>
    <w:rsid w:val="00352796"/>
    <w:rsid w:val="00355C34"/>
    <w:rsid w:val="0038313D"/>
    <w:rsid w:val="003A1A87"/>
    <w:rsid w:val="003A21A5"/>
    <w:rsid w:val="003A464B"/>
    <w:rsid w:val="003A4C06"/>
    <w:rsid w:val="003A6EAE"/>
    <w:rsid w:val="003D30B6"/>
    <w:rsid w:val="003F65E5"/>
    <w:rsid w:val="003F6B5A"/>
    <w:rsid w:val="004003F1"/>
    <w:rsid w:val="00425936"/>
    <w:rsid w:val="004351B0"/>
    <w:rsid w:val="00441EDF"/>
    <w:rsid w:val="00466AA8"/>
    <w:rsid w:val="004A0286"/>
    <w:rsid w:val="004C32C1"/>
    <w:rsid w:val="004C5B44"/>
    <w:rsid w:val="004E463B"/>
    <w:rsid w:val="004E687B"/>
    <w:rsid w:val="004F7532"/>
    <w:rsid w:val="00504642"/>
    <w:rsid w:val="00515D2A"/>
    <w:rsid w:val="00521B15"/>
    <w:rsid w:val="0056459D"/>
    <w:rsid w:val="00592DEA"/>
    <w:rsid w:val="00594038"/>
    <w:rsid w:val="005A367F"/>
    <w:rsid w:val="005B2E1D"/>
    <w:rsid w:val="005C7F92"/>
    <w:rsid w:val="005D0EB3"/>
    <w:rsid w:val="005E6048"/>
    <w:rsid w:val="005E68BD"/>
    <w:rsid w:val="005F202E"/>
    <w:rsid w:val="005F7A9F"/>
    <w:rsid w:val="00604075"/>
    <w:rsid w:val="00606D20"/>
    <w:rsid w:val="00622FB5"/>
    <w:rsid w:val="00632E22"/>
    <w:rsid w:val="00636212"/>
    <w:rsid w:val="006545D5"/>
    <w:rsid w:val="00654CDA"/>
    <w:rsid w:val="00676AAB"/>
    <w:rsid w:val="00681DBE"/>
    <w:rsid w:val="006D074E"/>
    <w:rsid w:val="006E3113"/>
    <w:rsid w:val="00701055"/>
    <w:rsid w:val="00712E7C"/>
    <w:rsid w:val="00726293"/>
    <w:rsid w:val="00750333"/>
    <w:rsid w:val="007775B4"/>
    <w:rsid w:val="00791A71"/>
    <w:rsid w:val="0079441F"/>
    <w:rsid w:val="007A0BA1"/>
    <w:rsid w:val="007A7AB5"/>
    <w:rsid w:val="007C25B6"/>
    <w:rsid w:val="007C3072"/>
    <w:rsid w:val="007C612C"/>
    <w:rsid w:val="007F087A"/>
    <w:rsid w:val="007F49CF"/>
    <w:rsid w:val="00806D05"/>
    <w:rsid w:val="00823A01"/>
    <w:rsid w:val="00882DA2"/>
    <w:rsid w:val="008A185E"/>
    <w:rsid w:val="008C04A1"/>
    <w:rsid w:val="008C0AE4"/>
    <w:rsid w:val="008C5E7C"/>
    <w:rsid w:val="008D1D97"/>
    <w:rsid w:val="008E0BF5"/>
    <w:rsid w:val="008F4E38"/>
    <w:rsid w:val="008F514F"/>
    <w:rsid w:val="0092118D"/>
    <w:rsid w:val="00923245"/>
    <w:rsid w:val="009253A4"/>
    <w:rsid w:val="00936AAE"/>
    <w:rsid w:val="00960F06"/>
    <w:rsid w:val="00967C3C"/>
    <w:rsid w:val="00982390"/>
    <w:rsid w:val="0099189E"/>
    <w:rsid w:val="009A0E0F"/>
    <w:rsid w:val="009C2E66"/>
    <w:rsid w:val="009E3E94"/>
    <w:rsid w:val="00A029D3"/>
    <w:rsid w:val="00A077D9"/>
    <w:rsid w:val="00A23C6F"/>
    <w:rsid w:val="00A26167"/>
    <w:rsid w:val="00A318E4"/>
    <w:rsid w:val="00A3428D"/>
    <w:rsid w:val="00A3540C"/>
    <w:rsid w:val="00A40F75"/>
    <w:rsid w:val="00A43713"/>
    <w:rsid w:val="00A45E46"/>
    <w:rsid w:val="00A65AF3"/>
    <w:rsid w:val="00A66B44"/>
    <w:rsid w:val="00A77F5B"/>
    <w:rsid w:val="00A948EA"/>
    <w:rsid w:val="00A97B1D"/>
    <w:rsid w:val="00AA6D6C"/>
    <w:rsid w:val="00AD4472"/>
    <w:rsid w:val="00AE3004"/>
    <w:rsid w:val="00B07EBF"/>
    <w:rsid w:val="00B406B4"/>
    <w:rsid w:val="00B4240C"/>
    <w:rsid w:val="00B56EA4"/>
    <w:rsid w:val="00B620FB"/>
    <w:rsid w:val="00B72CE5"/>
    <w:rsid w:val="00BA066B"/>
    <w:rsid w:val="00BA3748"/>
    <w:rsid w:val="00BD6ECB"/>
    <w:rsid w:val="00BD7514"/>
    <w:rsid w:val="00C101D9"/>
    <w:rsid w:val="00C25443"/>
    <w:rsid w:val="00C438A1"/>
    <w:rsid w:val="00C4794B"/>
    <w:rsid w:val="00C47B45"/>
    <w:rsid w:val="00C72571"/>
    <w:rsid w:val="00C72741"/>
    <w:rsid w:val="00C82906"/>
    <w:rsid w:val="00CE0E9A"/>
    <w:rsid w:val="00CE4E05"/>
    <w:rsid w:val="00CF6633"/>
    <w:rsid w:val="00D13D37"/>
    <w:rsid w:val="00D47D17"/>
    <w:rsid w:val="00D51D02"/>
    <w:rsid w:val="00D6411A"/>
    <w:rsid w:val="00D6460C"/>
    <w:rsid w:val="00D92B1B"/>
    <w:rsid w:val="00D93175"/>
    <w:rsid w:val="00D95947"/>
    <w:rsid w:val="00DD0117"/>
    <w:rsid w:val="00DE2313"/>
    <w:rsid w:val="00E06A45"/>
    <w:rsid w:val="00E4720E"/>
    <w:rsid w:val="00E947DE"/>
    <w:rsid w:val="00E952C3"/>
    <w:rsid w:val="00EB22A0"/>
    <w:rsid w:val="00EB25AE"/>
    <w:rsid w:val="00EB5989"/>
    <w:rsid w:val="00EE3F48"/>
    <w:rsid w:val="00EF2B60"/>
    <w:rsid w:val="00EF4AF4"/>
    <w:rsid w:val="00F01403"/>
    <w:rsid w:val="00F05628"/>
    <w:rsid w:val="00F25309"/>
    <w:rsid w:val="00F40408"/>
    <w:rsid w:val="00F54C2A"/>
    <w:rsid w:val="00F62244"/>
    <w:rsid w:val="00F74AF4"/>
    <w:rsid w:val="00FC6ED4"/>
    <w:rsid w:val="00FD0B94"/>
    <w:rsid w:val="00FD3F42"/>
    <w:rsid w:val="00FF0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6F8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E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6E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6E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6E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6E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6E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E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E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E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E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6E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6E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6E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6E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6E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E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E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EA4"/>
    <w:rPr>
      <w:rFonts w:eastAsiaTheme="majorEastAsia" w:cstheme="majorBidi"/>
      <w:color w:val="272727" w:themeColor="text1" w:themeTint="D8"/>
    </w:rPr>
  </w:style>
  <w:style w:type="paragraph" w:styleId="Title">
    <w:name w:val="Title"/>
    <w:basedOn w:val="Normal"/>
    <w:next w:val="Normal"/>
    <w:link w:val="TitleChar"/>
    <w:uiPriority w:val="10"/>
    <w:qFormat/>
    <w:rsid w:val="00B56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E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E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E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EA4"/>
    <w:pPr>
      <w:spacing w:before="160"/>
      <w:jc w:val="center"/>
    </w:pPr>
    <w:rPr>
      <w:i/>
      <w:iCs/>
      <w:color w:val="404040" w:themeColor="text1" w:themeTint="BF"/>
    </w:rPr>
  </w:style>
  <w:style w:type="character" w:customStyle="1" w:styleId="QuoteChar">
    <w:name w:val="Quote Char"/>
    <w:basedOn w:val="DefaultParagraphFont"/>
    <w:link w:val="Quote"/>
    <w:uiPriority w:val="29"/>
    <w:rsid w:val="00B56EA4"/>
    <w:rPr>
      <w:i/>
      <w:iCs/>
      <w:color w:val="404040" w:themeColor="text1" w:themeTint="BF"/>
    </w:rPr>
  </w:style>
  <w:style w:type="paragraph" w:styleId="ListParagraph">
    <w:name w:val="List Paragraph"/>
    <w:basedOn w:val="Normal"/>
    <w:uiPriority w:val="34"/>
    <w:qFormat/>
    <w:rsid w:val="00B56EA4"/>
    <w:pPr>
      <w:ind w:left="720"/>
      <w:contextualSpacing/>
    </w:pPr>
  </w:style>
  <w:style w:type="character" w:styleId="IntenseEmphasis">
    <w:name w:val="Intense Emphasis"/>
    <w:basedOn w:val="DefaultParagraphFont"/>
    <w:uiPriority w:val="21"/>
    <w:qFormat/>
    <w:rsid w:val="00B56EA4"/>
    <w:rPr>
      <w:i/>
      <w:iCs/>
      <w:color w:val="0F4761" w:themeColor="accent1" w:themeShade="BF"/>
    </w:rPr>
  </w:style>
  <w:style w:type="paragraph" w:styleId="IntenseQuote">
    <w:name w:val="Intense Quote"/>
    <w:basedOn w:val="Normal"/>
    <w:next w:val="Normal"/>
    <w:link w:val="IntenseQuoteChar"/>
    <w:uiPriority w:val="30"/>
    <w:qFormat/>
    <w:rsid w:val="00B56E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6EA4"/>
    <w:rPr>
      <w:i/>
      <w:iCs/>
      <w:color w:val="0F4761" w:themeColor="accent1" w:themeShade="BF"/>
    </w:rPr>
  </w:style>
  <w:style w:type="character" w:styleId="IntenseReference">
    <w:name w:val="Intense Reference"/>
    <w:basedOn w:val="DefaultParagraphFont"/>
    <w:uiPriority w:val="32"/>
    <w:qFormat/>
    <w:rsid w:val="00B56EA4"/>
    <w:rPr>
      <w:b/>
      <w:bCs/>
      <w:smallCaps/>
      <w:color w:val="0F4761" w:themeColor="accent1" w:themeShade="BF"/>
      <w:spacing w:val="5"/>
    </w:rPr>
  </w:style>
  <w:style w:type="paragraph" w:styleId="FootnoteText">
    <w:name w:val="footnote text"/>
    <w:basedOn w:val="Normal"/>
    <w:link w:val="FootnoteTextChar"/>
    <w:uiPriority w:val="99"/>
    <w:semiHidden/>
    <w:unhideWhenUsed/>
    <w:rsid w:val="004E68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687B"/>
    <w:rPr>
      <w:sz w:val="20"/>
      <w:szCs w:val="20"/>
    </w:rPr>
  </w:style>
  <w:style w:type="character" w:styleId="FootnoteReference">
    <w:name w:val="footnote reference"/>
    <w:basedOn w:val="DefaultParagraphFont"/>
    <w:uiPriority w:val="99"/>
    <w:semiHidden/>
    <w:unhideWhenUsed/>
    <w:rsid w:val="004E687B"/>
    <w:rPr>
      <w:vertAlign w:val="superscript"/>
    </w:rPr>
  </w:style>
  <w:style w:type="paragraph" w:styleId="Header">
    <w:name w:val="header"/>
    <w:basedOn w:val="Normal"/>
    <w:link w:val="HeaderChar"/>
    <w:uiPriority w:val="99"/>
    <w:unhideWhenUsed/>
    <w:rsid w:val="00A94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8EA"/>
  </w:style>
  <w:style w:type="paragraph" w:styleId="Footer">
    <w:name w:val="footer"/>
    <w:basedOn w:val="Normal"/>
    <w:link w:val="FooterChar"/>
    <w:uiPriority w:val="99"/>
    <w:unhideWhenUsed/>
    <w:rsid w:val="00A94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4018</Words>
  <Characters>19450</Characters>
  <Application>Microsoft Office Word</Application>
  <DocSecurity>0</DocSecurity>
  <Lines>318</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2025-10-16T16:57:00Z</dcterms:created>
  <dcterms:modified xsi:type="dcterms:W3CDTF">2025-10-16T16:58:00Z</dcterms:modified>
</cp:coreProperties>
</file>