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FF23" w14:textId="62206E63" w:rsidR="005654C0" w:rsidRDefault="005654C0" w:rsidP="005654C0">
      <w:pPr>
        <w:rPr>
          <w:rFonts w:cstheme="minorHAnsi"/>
          <w:sz w:val="22"/>
          <w:szCs w:val="22"/>
        </w:rPr>
      </w:pPr>
      <w:r w:rsidRPr="00552D82">
        <w:rPr>
          <w:rFonts w:cstheme="minorHAnsi"/>
          <w:sz w:val="22"/>
          <w:szCs w:val="22"/>
        </w:rPr>
        <w:t xml:space="preserve">To: </w:t>
      </w:r>
      <w:r>
        <w:rPr>
          <w:rFonts w:cstheme="minorHAnsi"/>
          <w:sz w:val="22"/>
          <w:szCs w:val="22"/>
        </w:rPr>
        <w:t xml:space="preserve">Office of </w:t>
      </w:r>
      <w:r w:rsidRPr="00F207D1">
        <w:rPr>
          <w:rFonts w:cstheme="minorHAnsi"/>
          <w:sz w:val="22"/>
          <w:szCs w:val="22"/>
        </w:rPr>
        <w:t xml:space="preserve">Attorney General </w:t>
      </w:r>
      <w:r w:rsidR="00B306B7">
        <w:rPr>
          <w:rFonts w:cstheme="minorHAnsi"/>
          <w:sz w:val="22"/>
          <w:szCs w:val="22"/>
        </w:rPr>
        <w:t>Daniel Cameron</w:t>
      </w:r>
      <w:r>
        <w:rPr>
          <w:rFonts w:cstheme="minorHAnsi"/>
          <w:sz w:val="22"/>
          <w:szCs w:val="22"/>
        </w:rPr>
        <w:t xml:space="preserve"> </w:t>
      </w:r>
    </w:p>
    <w:p w14:paraId="4C14EFC1" w14:textId="47E28125" w:rsidR="005654C0" w:rsidRPr="00955092" w:rsidRDefault="00955092" w:rsidP="005654C0">
      <w:pPr>
        <w:rPr>
          <w:rFonts w:cstheme="minorHAnsi"/>
          <w:sz w:val="22"/>
          <w:szCs w:val="22"/>
        </w:rPr>
      </w:pPr>
      <w:bookmarkStart w:id="0" w:name="_Hlk98061635"/>
      <w:r>
        <w:rPr>
          <w:rFonts w:cstheme="minorHAnsi"/>
          <w:sz w:val="22"/>
          <w:szCs w:val="22"/>
        </w:rPr>
        <w:t>700 Capital Avenue, Suite 118</w:t>
      </w:r>
    </w:p>
    <w:p w14:paraId="227D42DC" w14:textId="05BBED1E" w:rsidR="00A564A7" w:rsidRPr="00F207D1" w:rsidRDefault="00955092" w:rsidP="005654C0">
      <w:pPr>
        <w:rPr>
          <w:rFonts w:cstheme="minorHAnsi"/>
          <w:sz w:val="22"/>
          <w:szCs w:val="22"/>
        </w:rPr>
      </w:pPr>
      <w:r>
        <w:rPr>
          <w:rFonts w:cstheme="minorHAnsi"/>
          <w:sz w:val="22"/>
          <w:szCs w:val="22"/>
        </w:rPr>
        <w:t xml:space="preserve">Frankfort, Ky </w:t>
      </w:r>
      <w:r w:rsidR="00150944">
        <w:rPr>
          <w:rFonts w:cstheme="minorHAnsi"/>
          <w:sz w:val="22"/>
          <w:szCs w:val="22"/>
        </w:rPr>
        <w:t>40601</w:t>
      </w:r>
    </w:p>
    <w:bookmarkEnd w:id="0"/>
    <w:p w14:paraId="5A3E9B33" w14:textId="77B3B314" w:rsidR="005654C0" w:rsidRDefault="005654C0" w:rsidP="005654C0">
      <w:pPr>
        <w:jc w:val="right"/>
        <w:rPr>
          <w:rFonts w:cstheme="minorHAnsi"/>
          <w:sz w:val="22"/>
          <w:szCs w:val="22"/>
        </w:rPr>
      </w:pPr>
      <w:r w:rsidRPr="00A207F0">
        <w:rPr>
          <w:rFonts w:cstheme="minorHAnsi"/>
          <w:sz w:val="22"/>
          <w:szCs w:val="22"/>
          <w:highlight w:val="yellow"/>
        </w:rPr>
        <w:t>12</w:t>
      </w:r>
      <w:r>
        <w:rPr>
          <w:rFonts w:cstheme="minorHAnsi"/>
          <w:sz w:val="22"/>
          <w:szCs w:val="22"/>
        </w:rPr>
        <w:t xml:space="preserve"> March 2022</w:t>
      </w:r>
    </w:p>
    <w:p w14:paraId="2ED4D66F" w14:textId="2B1EF506" w:rsidR="005654C0" w:rsidRDefault="005654C0" w:rsidP="005654C0">
      <w:pPr>
        <w:rPr>
          <w:rFonts w:cstheme="minorHAnsi"/>
          <w:sz w:val="22"/>
          <w:szCs w:val="22"/>
        </w:rPr>
      </w:pPr>
      <w:r>
        <w:rPr>
          <w:rFonts w:cstheme="minorHAnsi"/>
          <w:sz w:val="22"/>
          <w:szCs w:val="22"/>
        </w:rPr>
        <w:t>Dear Attorney</w:t>
      </w:r>
      <w:r w:rsidR="00991852">
        <w:rPr>
          <w:rFonts w:cstheme="minorHAnsi"/>
          <w:sz w:val="22"/>
          <w:szCs w:val="22"/>
        </w:rPr>
        <w:t xml:space="preserve"> General</w:t>
      </w:r>
      <w:r>
        <w:rPr>
          <w:rFonts w:cstheme="minorHAnsi"/>
          <w:sz w:val="22"/>
          <w:szCs w:val="22"/>
        </w:rPr>
        <w:t xml:space="preserve"> </w:t>
      </w:r>
      <w:r w:rsidR="00B306B7">
        <w:rPr>
          <w:rFonts w:cstheme="minorHAnsi"/>
          <w:sz w:val="22"/>
          <w:szCs w:val="22"/>
        </w:rPr>
        <w:t>Daniel Cameron</w:t>
      </w:r>
      <w:r>
        <w:rPr>
          <w:rFonts w:cstheme="minorHAnsi"/>
          <w:sz w:val="22"/>
          <w:szCs w:val="22"/>
        </w:rPr>
        <w:t xml:space="preserve">: </w:t>
      </w:r>
    </w:p>
    <w:p w14:paraId="3633312C" w14:textId="77777777" w:rsidR="005654C0" w:rsidRDefault="005654C0" w:rsidP="005654C0">
      <w:pPr>
        <w:rPr>
          <w:rFonts w:cstheme="minorHAnsi"/>
          <w:sz w:val="22"/>
          <w:szCs w:val="22"/>
        </w:rPr>
      </w:pPr>
    </w:p>
    <w:p w14:paraId="64F23E72" w14:textId="651A2CC4" w:rsidR="005654C0" w:rsidRDefault="005654C0" w:rsidP="005654C0">
      <w:pPr>
        <w:rPr>
          <w:rFonts w:cstheme="minorHAnsi"/>
          <w:sz w:val="22"/>
          <w:szCs w:val="22"/>
        </w:rPr>
      </w:pPr>
      <w:r>
        <w:rPr>
          <w:rFonts w:cstheme="minorHAnsi"/>
          <w:sz w:val="22"/>
          <w:szCs w:val="22"/>
        </w:rPr>
        <w:t xml:space="preserve">There is an organization which has no business operating in the United States of America or the State of </w:t>
      </w:r>
      <w:r w:rsidR="00B306B7">
        <w:rPr>
          <w:rFonts w:cstheme="minorHAnsi"/>
          <w:sz w:val="22"/>
          <w:szCs w:val="22"/>
        </w:rPr>
        <w:t>Kentucky</w:t>
      </w:r>
      <w:r>
        <w:rPr>
          <w:rFonts w:cstheme="minorHAnsi"/>
          <w:sz w:val="22"/>
          <w:szCs w:val="22"/>
        </w:rPr>
        <w:t xml:space="preserve">. The sole purpose of this organization is to attack members of the American Bar Association—to disallow attorneys from being able to represent United States citizens on matters with which they do not agree. </w:t>
      </w:r>
    </w:p>
    <w:p w14:paraId="3C5296F9" w14:textId="77777777" w:rsidR="005654C0" w:rsidRDefault="005654C0" w:rsidP="005654C0">
      <w:pPr>
        <w:rPr>
          <w:rFonts w:cstheme="minorHAnsi"/>
          <w:sz w:val="22"/>
          <w:szCs w:val="22"/>
        </w:rPr>
      </w:pPr>
    </w:p>
    <w:p w14:paraId="47769617" w14:textId="77777777" w:rsidR="005654C0" w:rsidRDefault="005654C0" w:rsidP="005654C0">
      <w:pPr>
        <w:rPr>
          <w:rFonts w:cstheme="minorHAnsi"/>
          <w:sz w:val="22"/>
          <w:szCs w:val="22"/>
        </w:rPr>
      </w:pPr>
      <w:r>
        <w:rPr>
          <w:rFonts w:cstheme="minorHAnsi"/>
          <w:sz w:val="22"/>
          <w:szCs w:val="22"/>
        </w:rPr>
        <w:t>“The 65 Project” is financed by domestic and foreign funds, and the mission statement of this organization is published on their website</w:t>
      </w:r>
      <w:r w:rsidRPr="002A3BC2">
        <w:rPr>
          <w:rFonts w:cstheme="minorHAnsi"/>
          <w:sz w:val="22"/>
          <w:szCs w:val="22"/>
          <w:vertAlign w:val="superscript"/>
        </w:rPr>
        <w:t>1</w:t>
      </w:r>
      <w:r>
        <w:rPr>
          <w:rFonts w:cstheme="minorHAnsi"/>
          <w:sz w:val="22"/>
          <w:szCs w:val="22"/>
        </w:rPr>
        <w:t xml:space="preserve"> is as follows: </w:t>
      </w:r>
    </w:p>
    <w:p w14:paraId="2B68BCB5" w14:textId="77777777" w:rsidR="005654C0" w:rsidRDefault="005654C0" w:rsidP="005654C0">
      <w:pPr>
        <w:rPr>
          <w:rFonts w:cstheme="minorHAnsi"/>
          <w:sz w:val="22"/>
          <w:szCs w:val="22"/>
        </w:rPr>
      </w:pPr>
    </w:p>
    <w:p w14:paraId="6C1C491D" w14:textId="77777777" w:rsidR="005654C0" w:rsidRPr="00160C8C" w:rsidRDefault="005654C0" w:rsidP="005654C0">
      <w:pPr>
        <w:ind w:left="720"/>
        <w:rPr>
          <w:rFonts w:cstheme="minorHAnsi"/>
          <w:sz w:val="22"/>
          <w:szCs w:val="22"/>
        </w:rPr>
      </w:pPr>
      <w:r w:rsidRPr="00160C8C">
        <w:rPr>
          <w:rFonts w:cstheme="minorHAnsi"/>
          <w:sz w:val="22"/>
          <w:szCs w:val="22"/>
        </w:rPr>
        <w:t>“</w:t>
      </w:r>
      <w:r w:rsidRPr="00160C8C">
        <w:rPr>
          <w:rFonts w:cstheme="minorHAnsi"/>
          <w:i/>
          <w:iCs/>
          <w:sz w:val="22"/>
          <w:szCs w:val="22"/>
        </w:rPr>
        <w:t>A Bipartisan effort to protect democracy from abuse of the legal system by holding accountable lawyers who engage in fraudulent and malicious lawsuits to overturn legitimate election results and fuel insurrection.</w:t>
      </w:r>
      <w:r w:rsidRPr="00160C8C">
        <w:rPr>
          <w:rFonts w:cstheme="minorHAnsi"/>
          <w:sz w:val="22"/>
          <w:szCs w:val="22"/>
        </w:rPr>
        <w:t>”</w:t>
      </w:r>
    </w:p>
    <w:p w14:paraId="142DC3D1" w14:textId="77777777" w:rsidR="005654C0" w:rsidRDefault="005654C0" w:rsidP="005654C0">
      <w:pPr>
        <w:rPr>
          <w:rFonts w:cstheme="minorHAnsi"/>
          <w:sz w:val="22"/>
          <w:szCs w:val="22"/>
        </w:rPr>
      </w:pPr>
    </w:p>
    <w:p w14:paraId="3ABDDA28" w14:textId="7DB3D043" w:rsidR="005654C0" w:rsidRDefault="005654C0" w:rsidP="005654C0">
      <w:pPr>
        <w:rPr>
          <w:rFonts w:cstheme="minorHAnsi"/>
          <w:sz w:val="22"/>
          <w:szCs w:val="22"/>
        </w:rPr>
      </w:pPr>
      <w:r>
        <w:rPr>
          <w:rFonts w:cstheme="minorHAnsi"/>
          <w:sz w:val="22"/>
          <w:szCs w:val="22"/>
        </w:rPr>
        <w:t>The claims and filings</w:t>
      </w:r>
      <w:r w:rsidRPr="008042A2">
        <w:rPr>
          <w:rFonts w:cstheme="minorHAnsi"/>
          <w:sz w:val="22"/>
          <w:szCs w:val="22"/>
          <w:vertAlign w:val="superscript"/>
        </w:rPr>
        <w:t>2</w:t>
      </w:r>
      <w:r>
        <w:rPr>
          <w:rFonts w:cstheme="minorHAnsi"/>
          <w:sz w:val="22"/>
          <w:szCs w:val="22"/>
        </w:rPr>
        <w:t xml:space="preserve"> of this organization are entirely </w:t>
      </w:r>
      <w:r w:rsidRPr="00677523">
        <w:rPr>
          <w:rFonts w:cstheme="minorHAnsi"/>
          <w:sz w:val="22"/>
          <w:szCs w:val="22"/>
        </w:rPr>
        <w:t>subjective</w:t>
      </w:r>
      <w:r>
        <w:rPr>
          <w:rFonts w:cstheme="minorHAnsi"/>
          <w:sz w:val="22"/>
          <w:szCs w:val="22"/>
        </w:rPr>
        <w:t xml:space="preserve">—a blatant attempt to not only undermine and violate the United States and </w:t>
      </w:r>
      <w:r w:rsidR="00B306B7">
        <w:rPr>
          <w:rFonts w:cstheme="minorHAnsi"/>
          <w:sz w:val="22"/>
          <w:szCs w:val="22"/>
        </w:rPr>
        <w:t>Kentucky</w:t>
      </w:r>
      <w:r>
        <w:rPr>
          <w:rFonts w:cstheme="minorHAnsi"/>
          <w:sz w:val="22"/>
          <w:szCs w:val="22"/>
        </w:rPr>
        <w:t xml:space="preserve"> Constitutions, but to </w:t>
      </w:r>
      <w:r w:rsidRPr="00531459">
        <w:rPr>
          <w:rFonts w:cstheme="minorHAnsi"/>
          <w:sz w:val="22"/>
          <w:szCs w:val="22"/>
        </w:rPr>
        <w:t>malign</w:t>
      </w:r>
      <w:r>
        <w:rPr>
          <w:rFonts w:cstheme="minorHAnsi"/>
          <w:sz w:val="22"/>
          <w:szCs w:val="22"/>
        </w:rPr>
        <w:t xml:space="preserve"> the personal and professional reputations – and erode the individual liberties of – members of the American and </w:t>
      </w:r>
      <w:r w:rsidR="00B306B7">
        <w:rPr>
          <w:rFonts w:cstheme="minorHAnsi"/>
          <w:sz w:val="22"/>
          <w:szCs w:val="22"/>
        </w:rPr>
        <w:t>Kentucky</w:t>
      </w:r>
      <w:r w:rsidRPr="00B306B7">
        <w:rPr>
          <w:rFonts w:cstheme="minorHAnsi"/>
          <w:sz w:val="22"/>
          <w:szCs w:val="22"/>
        </w:rPr>
        <w:t xml:space="preserve"> Bar Associations</w:t>
      </w:r>
      <w:r>
        <w:rPr>
          <w:rFonts w:cstheme="minorHAnsi"/>
          <w:sz w:val="22"/>
          <w:szCs w:val="22"/>
        </w:rPr>
        <w:t xml:space="preserve">. In doing so, their actions are and ought to be an offense to </w:t>
      </w:r>
      <w:r w:rsidRPr="00160C8C">
        <w:rPr>
          <w:rFonts w:cstheme="minorHAnsi"/>
          <w:sz w:val="22"/>
          <w:szCs w:val="22"/>
          <w:u w:val="single"/>
        </w:rPr>
        <w:t>all</w:t>
      </w:r>
      <w:r>
        <w:rPr>
          <w:rFonts w:cstheme="minorHAnsi"/>
          <w:sz w:val="22"/>
          <w:szCs w:val="22"/>
        </w:rPr>
        <w:t xml:space="preserve"> </w:t>
      </w:r>
      <w:r w:rsidR="00B306B7">
        <w:rPr>
          <w:rFonts w:cstheme="minorHAnsi"/>
          <w:sz w:val="22"/>
          <w:szCs w:val="22"/>
        </w:rPr>
        <w:t>Kentuckians</w:t>
      </w:r>
      <w:r>
        <w:rPr>
          <w:rFonts w:cstheme="minorHAnsi"/>
          <w:sz w:val="22"/>
          <w:szCs w:val="22"/>
        </w:rPr>
        <w:t xml:space="preserve"> and Americans. </w:t>
      </w:r>
    </w:p>
    <w:p w14:paraId="2066F0F9" w14:textId="77777777" w:rsidR="005654C0" w:rsidRDefault="005654C0" w:rsidP="005654C0">
      <w:pPr>
        <w:rPr>
          <w:rFonts w:cstheme="minorHAnsi"/>
          <w:sz w:val="22"/>
          <w:szCs w:val="22"/>
        </w:rPr>
      </w:pPr>
    </w:p>
    <w:p w14:paraId="28373C07" w14:textId="709E2FD9" w:rsidR="005654C0" w:rsidRDefault="005654C0" w:rsidP="005654C0">
      <w:pPr>
        <w:rPr>
          <w:rFonts w:cstheme="minorHAnsi"/>
          <w:sz w:val="22"/>
          <w:szCs w:val="22"/>
        </w:rPr>
      </w:pPr>
      <w:r>
        <w:rPr>
          <w:rFonts w:cstheme="minorHAnsi"/>
          <w:sz w:val="22"/>
          <w:szCs w:val="22"/>
        </w:rPr>
        <w:t xml:space="preserve">Who are they to say what constitutes fraudulent and malicious? Who are they to say an election is legitimate or not? Who are they to claim bipartisanship, when their attempted coercion exposes their true position—and it is not on the side of the people of the great State of </w:t>
      </w:r>
      <w:proofErr w:type="gramStart"/>
      <w:r w:rsidR="00B306B7">
        <w:rPr>
          <w:rFonts w:cstheme="minorHAnsi"/>
          <w:sz w:val="22"/>
          <w:szCs w:val="22"/>
        </w:rPr>
        <w:t>Kentucky</w:t>
      </w:r>
      <w:r>
        <w:rPr>
          <w:rFonts w:cstheme="minorHAnsi"/>
          <w:sz w:val="22"/>
          <w:szCs w:val="22"/>
        </w:rPr>
        <w:t>.</w:t>
      </w:r>
      <w:proofErr w:type="gramEnd"/>
      <w:r>
        <w:rPr>
          <w:rFonts w:cstheme="minorHAnsi"/>
          <w:sz w:val="22"/>
          <w:szCs w:val="22"/>
        </w:rPr>
        <w:t xml:space="preserve"> </w:t>
      </w:r>
    </w:p>
    <w:p w14:paraId="6A069B87" w14:textId="77777777" w:rsidR="005654C0" w:rsidRDefault="005654C0" w:rsidP="005654C0">
      <w:pPr>
        <w:rPr>
          <w:rFonts w:cstheme="minorHAnsi"/>
          <w:sz w:val="22"/>
          <w:szCs w:val="22"/>
        </w:rPr>
      </w:pPr>
    </w:p>
    <w:p w14:paraId="1A8972B8" w14:textId="77777777" w:rsidR="005654C0" w:rsidRDefault="005654C0" w:rsidP="005654C0">
      <w:pPr>
        <w:rPr>
          <w:rFonts w:cstheme="minorHAnsi"/>
          <w:sz w:val="22"/>
          <w:szCs w:val="22"/>
        </w:rPr>
      </w:pPr>
      <w:r>
        <w:rPr>
          <w:rFonts w:cstheme="minorHAnsi"/>
          <w:sz w:val="22"/>
          <w:szCs w:val="22"/>
        </w:rPr>
        <w:t xml:space="preserve">The First Amendment of the United States Constitution provides that:  </w:t>
      </w:r>
    </w:p>
    <w:p w14:paraId="2602CD2B" w14:textId="77777777" w:rsidR="005654C0" w:rsidRDefault="005654C0" w:rsidP="005654C0">
      <w:pPr>
        <w:rPr>
          <w:rFonts w:cstheme="minorHAnsi"/>
          <w:sz w:val="22"/>
          <w:szCs w:val="22"/>
        </w:rPr>
      </w:pPr>
    </w:p>
    <w:p w14:paraId="5485B9AB" w14:textId="77777777" w:rsidR="005654C0" w:rsidRPr="00632CD6" w:rsidRDefault="005654C0" w:rsidP="005654C0">
      <w:pPr>
        <w:ind w:left="720"/>
        <w:rPr>
          <w:rFonts w:cstheme="minorHAnsi"/>
          <w:i/>
          <w:iCs/>
          <w:sz w:val="22"/>
          <w:szCs w:val="22"/>
        </w:rPr>
      </w:pPr>
      <w:r w:rsidRPr="00632CD6">
        <w:rPr>
          <w:rFonts w:cstheme="minorHAnsi"/>
          <w:i/>
          <w:iCs/>
          <w:sz w:val="22"/>
          <w:szCs w:val="22"/>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2930C72A" w14:textId="77777777" w:rsidR="005654C0" w:rsidRDefault="005654C0" w:rsidP="005654C0">
      <w:pPr>
        <w:rPr>
          <w:rFonts w:cstheme="minorHAnsi"/>
          <w:sz w:val="22"/>
          <w:szCs w:val="22"/>
        </w:rPr>
      </w:pPr>
    </w:p>
    <w:p w14:paraId="4F555B44" w14:textId="06632734" w:rsidR="005654C0" w:rsidRPr="008F14B5" w:rsidRDefault="008F14B5" w:rsidP="005654C0">
      <w:pPr>
        <w:rPr>
          <w:rFonts w:cstheme="minorHAnsi"/>
          <w:sz w:val="22"/>
          <w:szCs w:val="22"/>
        </w:rPr>
      </w:pPr>
      <w:r>
        <w:rPr>
          <w:rFonts w:cstheme="minorHAnsi"/>
          <w:sz w:val="22"/>
          <w:szCs w:val="22"/>
        </w:rPr>
        <w:t xml:space="preserve">The Bill of Rights </w:t>
      </w:r>
      <w:r w:rsidR="005654C0" w:rsidRPr="008F14B5">
        <w:rPr>
          <w:rFonts w:cstheme="minorHAnsi"/>
          <w:sz w:val="22"/>
          <w:szCs w:val="22"/>
        </w:rPr>
        <w:t xml:space="preserve">of the </w:t>
      </w:r>
      <w:r>
        <w:rPr>
          <w:rFonts w:cstheme="minorHAnsi"/>
          <w:sz w:val="22"/>
          <w:szCs w:val="22"/>
        </w:rPr>
        <w:t>Kentucky</w:t>
      </w:r>
      <w:r w:rsidR="005654C0" w:rsidRPr="008F14B5">
        <w:rPr>
          <w:rFonts w:cstheme="minorHAnsi"/>
          <w:sz w:val="22"/>
          <w:szCs w:val="22"/>
        </w:rPr>
        <w:t xml:space="preserve"> Constitution provides that:</w:t>
      </w:r>
      <w:r w:rsidR="00AF495C" w:rsidRPr="008F14B5">
        <w:rPr>
          <w:rFonts w:cstheme="minorHAnsi"/>
          <w:sz w:val="22"/>
          <w:szCs w:val="22"/>
        </w:rPr>
        <w:t xml:space="preserve"> </w:t>
      </w:r>
      <w:r w:rsidR="005654C0" w:rsidRPr="008F14B5">
        <w:rPr>
          <w:rFonts w:cstheme="minorHAnsi"/>
          <w:sz w:val="22"/>
          <w:szCs w:val="22"/>
        </w:rPr>
        <w:t xml:space="preserve"> </w:t>
      </w:r>
    </w:p>
    <w:p w14:paraId="189B24B6" w14:textId="77777777" w:rsidR="005654C0" w:rsidRPr="008F14B5" w:rsidRDefault="005654C0" w:rsidP="005654C0">
      <w:pPr>
        <w:rPr>
          <w:rFonts w:cstheme="minorHAnsi"/>
          <w:sz w:val="22"/>
          <w:szCs w:val="22"/>
        </w:rPr>
      </w:pPr>
    </w:p>
    <w:p w14:paraId="12DC07E7" w14:textId="72DC7042" w:rsidR="005654C0" w:rsidRPr="008F14B5" w:rsidRDefault="008F14B5" w:rsidP="005654C0">
      <w:pPr>
        <w:ind w:left="720"/>
        <w:rPr>
          <w:rFonts w:cstheme="minorHAnsi"/>
          <w:i/>
          <w:iCs/>
          <w:sz w:val="22"/>
          <w:szCs w:val="22"/>
        </w:rPr>
      </w:pPr>
      <w:r w:rsidRPr="008F14B5">
        <w:rPr>
          <w:rFonts w:cstheme="minorHAnsi"/>
          <w:i/>
          <w:iCs/>
          <w:sz w:val="22"/>
          <w:szCs w:val="22"/>
        </w:rPr>
        <w:t>S</w:t>
      </w:r>
      <w:r>
        <w:rPr>
          <w:rFonts w:cstheme="minorHAnsi"/>
          <w:i/>
          <w:iCs/>
          <w:sz w:val="22"/>
          <w:szCs w:val="22"/>
        </w:rPr>
        <w:t>ECTION</w:t>
      </w:r>
      <w:r w:rsidRPr="008F14B5">
        <w:rPr>
          <w:rFonts w:cstheme="minorHAnsi"/>
          <w:i/>
          <w:iCs/>
          <w:sz w:val="22"/>
          <w:szCs w:val="22"/>
        </w:rPr>
        <w:t xml:space="preserve"> 1 </w:t>
      </w:r>
      <w:r>
        <w:rPr>
          <w:rFonts w:cstheme="minorHAnsi"/>
          <w:i/>
          <w:iCs/>
          <w:sz w:val="22"/>
          <w:szCs w:val="22"/>
        </w:rPr>
        <w:t>“</w:t>
      </w:r>
      <w:r w:rsidRPr="008F14B5">
        <w:rPr>
          <w:rFonts w:cstheme="minorHAnsi"/>
          <w:i/>
          <w:iCs/>
          <w:sz w:val="22"/>
          <w:szCs w:val="22"/>
        </w:rPr>
        <w:t>Rights of life, liberty, worship, pursuit of safety and happiness, free speech, acquiring and protecting property, peaceable assembly, redress of grievances, bearing arms. All men are, by nature, free and equal, and have certain inherent and inalienable rights</w:t>
      </w:r>
      <w:r>
        <w:rPr>
          <w:rFonts w:cstheme="minorHAnsi"/>
          <w:i/>
          <w:iCs/>
          <w:sz w:val="22"/>
          <w:szCs w:val="22"/>
        </w:rPr>
        <w:t>…”</w:t>
      </w:r>
    </w:p>
    <w:p w14:paraId="1E27DBB9" w14:textId="77777777" w:rsidR="005654C0" w:rsidRPr="008F14B5" w:rsidRDefault="005654C0" w:rsidP="005654C0">
      <w:pPr>
        <w:ind w:left="1440"/>
        <w:rPr>
          <w:rFonts w:cstheme="minorHAnsi"/>
          <w:i/>
          <w:iCs/>
          <w:sz w:val="22"/>
          <w:szCs w:val="22"/>
        </w:rPr>
      </w:pPr>
    </w:p>
    <w:p w14:paraId="56B39FBF" w14:textId="31E64035" w:rsidR="005654C0" w:rsidRPr="002A3BC2" w:rsidRDefault="005654C0" w:rsidP="00955092">
      <w:pPr>
        <w:ind w:left="720"/>
        <w:rPr>
          <w:rFonts w:cstheme="minorHAnsi"/>
          <w:i/>
          <w:iCs/>
          <w:sz w:val="22"/>
          <w:szCs w:val="22"/>
        </w:rPr>
      </w:pPr>
      <w:r w:rsidRPr="008F14B5">
        <w:rPr>
          <w:rFonts w:cstheme="minorHAnsi"/>
          <w:i/>
          <w:iCs/>
          <w:sz w:val="22"/>
          <w:szCs w:val="22"/>
        </w:rPr>
        <w:t>SECTION</w:t>
      </w:r>
      <w:r w:rsidR="00955092">
        <w:rPr>
          <w:rFonts w:cstheme="minorHAnsi"/>
          <w:i/>
          <w:iCs/>
          <w:sz w:val="22"/>
          <w:szCs w:val="22"/>
        </w:rPr>
        <w:t xml:space="preserve"> 4 “</w:t>
      </w:r>
      <w:r w:rsidR="00955092" w:rsidRPr="00955092">
        <w:rPr>
          <w:rFonts w:cstheme="minorHAnsi"/>
          <w:i/>
          <w:iCs/>
          <w:sz w:val="22"/>
          <w:szCs w:val="22"/>
        </w:rPr>
        <w:t xml:space="preserve">All power is inherent in the people, and all free governments are founded on their authority and instituted for their peace, safety, happiness and the protection of property. For the advancement of these ends, they </w:t>
      </w:r>
      <w:proofErr w:type="gramStart"/>
      <w:r w:rsidR="00955092" w:rsidRPr="00955092">
        <w:rPr>
          <w:rFonts w:cstheme="minorHAnsi"/>
          <w:i/>
          <w:iCs/>
          <w:sz w:val="22"/>
          <w:szCs w:val="22"/>
        </w:rPr>
        <w:t>have at all times</w:t>
      </w:r>
      <w:proofErr w:type="gramEnd"/>
      <w:r w:rsidR="00955092" w:rsidRPr="00955092">
        <w:rPr>
          <w:rFonts w:cstheme="minorHAnsi"/>
          <w:i/>
          <w:iCs/>
          <w:sz w:val="22"/>
          <w:szCs w:val="22"/>
        </w:rPr>
        <w:t xml:space="preserve"> an inalienable and indefeasible right to alter, reform or abolish their government in such manner as they may deem proper.</w:t>
      </w:r>
      <w:r w:rsidR="00955092">
        <w:rPr>
          <w:rFonts w:cstheme="minorHAnsi"/>
          <w:i/>
          <w:iCs/>
          <w:sz w:val="22"/>
          <w:szCs w:val="22"/>
        </w:rPr>
        <w:t>”</w:t>
      </w:r>
    </w:p>
    <w:p w14:paraId="44044DE9" w14:textId="77777777" w:rsidR="005654C0" w:rsidRDefault="005654C0" w:rsidP="005654C0">
      <w:pPr>
        <w:rPr>
          <w:rFonts w:cstheme="minorHAnsi"/>
          <w:sz w:val="22"/>
          <w:szCs w:val="22"/>
        </w:rPr>
      </w:pPr>
    </w:p>
    <w:p w14:paraId="227ADC84" w14:textId="77777777" w:rsidR="005654C0" w:rsidRDefault="005654C0" w:rsidP="005654C0">
      <w:pPr>
        <w:rPr>
          <w:rFonts w:cstheme="minorHAnsi"/>
          <w:b/>
          <w:bCs/>
          <w:sz w:val="22"/>
          <w:szCs w:val="22"/>
        </w:rPr>
      </w:pPr>
      <w:r>
        <w:rPr>
          <w:rFonts w:cstheme="minorHAnsi"/>
          <w:sz w:val="22"/>
          <w:szCs w:val="22"/>
        </w:rPr>
        <w:t xml:space="preserve">This attempted intimidation of American Bar Association and violation of the peoples’ First Amendment rights is unconstitutional and unconscionable.  </w:t>
      </w:r>
    </w:p>
    <w:p w14:paraId="5CEC1F8A" w14:textId="77777777" w:rsidR="005654C0" w:rsidRDefault="005654C0">
      <w:pPr>
        <w:rPr>
          <w:rFonts w:cstheme="minorHAnsi"/>
          <w:b/>
          <w:bCs/>
          <w:sz w:val="22"/>
          <w:szCs w:val="22"/>
        </w:rPr>
      </w:pPr>
      <w:r>
        <w:rPr>
          <w:rFonts w:cstheme="minorHAnsi"/>
          <w:b/>
          <w:bCs/>
          <w:sz w:val="22"/>
          <w:szCs w:val="22"/>
        </w:rPr>
        <w:br w:type="page"/>
      </w:r>
    </w:p>
    <w:p w14:paraId="5F77A8A9" w14:textId="135C7473" w:rsidR="005654C0" w:rsidRDefault="005654C0" w:rsidP="005654C0">
      <w:pPr>
        <w:jc w:val="center"/>
        <w:rPr>
          <w:rFonts w:cstheme="minorHAnsi"/>
          <w:sz w:val="22"/>
          <w:szCs w:val="22"/>
        </w:rPr>
      </w:pPr>
      <w:r w:rsidRPr="0047433C">
        <w:rPr>
          <w:rFonts w:cstheme="minorHAnsi"/>
          <w:b/>
          <w:bCs/>
          <w:sz w:val="22"/>
          <w:szCs w:val="22"/>
        </w:rPr>
        <w:lastRenderedPageBreak/>
        <w:t xml:space="preserve">APPLICABLE STANDARDS AND RULES OF PROFESSIONAL OF CONDUCT </w:t>
      </w:r>
      <w:r w:rsidRPr="0047433C">
        <w:rPr>
          <w:rFonts w:cstheme="minorHAnsi"/>
          <w:b/>
          <w:bCs/>
          <w:sz w:val="22"/>
          <w:szCs w:val="22"/>
        </w:rPr>
        <w:br/>
      </w:r>
    </w:p>
    <w:p w14:paraId="0C8E3B02" w14:textId="77777777" w:rsidR="005654C0" w:rsidRDefault="005654C0" w:rsidP="005654C0">
      <w:pPr>
        <w:rPr>
          <w:rFonts w:cstheme="minorHAnsi"/>
          <w:sz w:val="22"/>
          <w:szCs w:val="22"/>
        </w:rPr>
      </w:pPr>
      <w:r w:rsidRPr="009152B8">
        <w:rPr>
          <w:rFonts w:cstheme="minorHAnsi"/>
          <w:sz w:val="22"/>
          <w:szCs w:val="22"/>
        </w:rPr>
        <w:t>Rule 1.2</w:t>
      </w:r>
      <w:r>
        <w:rPr>
          <w:rFonts w:cstheme="minorHAnsi"/>
          <w:sz w:val="22"/>
          <w:szCs w:val="22"/>
        </w:rPr>
        <w:t xml:space="preserve"> of the American Bar Association’s </w:t>
      </w:r>
      <w:r w:rsidRPr="009152B8">
        <w:rPr>
          <w:rFonts w:cstheme="minorHAnsi"/>
          <w:sz w:val="22"/>
          <w:szCs w:val="22"/>
        </w:rPr>
        <w:t>Model Rules of Professional Conduct</w:t>
      </w:r>
      <w:r>
        <w:rPr>
          <w:rFonts w:cstheme="minorHAnsi"/>
          <w:sz w:val="22"/>
          <w:szCs w:val="22"/>
        </w:rPr>
        <w:t xml:space="preserve"> </w:t>
      </w:r>
      <w:r>
        <w:t>(</w:t>
      </w:r>
      <w:r w:rsidRPr="009152B8">
        <w:rPr>
          <w:rFonts w:cstheme="minorHAnsi"/>
          <w:sz w:val="22"/>
          <w:szCs w:val="22"/>
        </w:rPr>
        <w:t>Scope of Representation &amp; Allocation of Authority Between Client &amp; Lawyer</w:t>
      </w:r>
      <w:r>
        <w:rPr>
          <w:rFonts w:cstheme="minorHAnsi"/>
          <w:sz w:val="22"/>
          <w:szCs w:val="22"/>
        </w:rPr>
        <w:t>) provides that:</w:t>
      </w:r>
    </w:p>
    <w:p w14:paraId="477A6683" w14:textId="77777777" w:rsidR="005654C0" w:rsidRPr="009152B8" w:rsidRDefault="005654C0" w:rsidP="005654C0">
      <w:pPr>
        <w:rPr>
          <w:rFonts w:cstheme="minorHAnsi"/>
          <w:sz w:val="22"/>
          <w:szCs w:val="22"/>
        </w:rPr>
      </w:pPr>
    </w:p>
    <w:p w14:paraId="3DBB7E91" w14:textId="77777777" w:rsidR="005654C0" w:rsidRPr="00CE620D" w:rsidRDefault="005654C0" w:rsidP="005654C0">
      <w:pPr>
        <w:ind w:left="720"/>
        <w:rPr>
          <w:rFonts w:cstheme="minorHAnsi"/>
          <w:i/>
          <w:iCs/>
          <w:sz w:val="22"/>
          <w:szCs w:val="22"/>
        </w:rPr>
      </w:pPr>
      <w:r w:rsidRPr="00CE620D">
        <w:rPr>
          <w:rFonts w:cstheme="minorHAnsi"/>
          <w:i/>
          <w:iCs/>
          <w:sz w:val="22"/>
          <w:szCs w:val="22"/>
        </w:rPr>
        <w:t xml:space="preserve"> (b) A lawyer's representation of a client, including representation by appointment, does not constitute an endorsement of the client's political, economic, social or moral views or activities.</w:t>
      </w:r>
    </w:p>
    <w:p w14:paraId="5CF34562" w14:textId="77777777" w:rsidR="005654C0" w:rsidRPr="009152B8" w:rsidRDefault="005654C0" w:rsidP="005654C0">
      <w:pPr>
        <w:rPr>
          <w:rFonts w:cstheme="minorHAnsi"/>
          <w:sz w:val="22"/>
          <w:szCs w:val="22"/>
        </w:rPr>
      </w:pPr>
    </w:p>
    <w:p w14:paraId="7BB9B017" w14:textId="77777777" w:rsidR="005654C0" w:rsidRPr="00CE620D" w:rsidRDefault="005654C0" w:rsidP="005654C0">
      <w:pPr>
        <w:ind w:left="720"/>
        <w:rPr>
          <w:rFonts w:cstheme="minorHAnsi"/>
          <w:i/>
          <w:iCs/>
          <w:sz w:val="22"/>
          <w:szCs w:val="22"/>
        </w:rPr>
      </w:pPr>
      <w:r w:rsidRPr="00CE620D">
        <w:rPr>
          <w:rFonts w:cstheme="minorHAnsi"/>
          <w:i/>
          <w:iCs/>
          <w:sz w:val="22"/>
          <w:szCs w:val="22"/>
        </w:rPr>
        <w:t xml:space="preserve">(d) A lawyer shall not counsel a client to engage, or assist a client, in conduct that the lawyer knows is criminal or fraudulent, but </w:t>
      </w:r>
      <w:r w:rsidRPr="00CE620D">
        <w:rPr>
          <w:rFonts w:cstheme="minorHAnsi"/>
          <w:i/>
          <w:iCs/>
          <w:sz w:val="22"/>
          <w:szCs w:val="22"/>
          <w:u w:val="single"/>
        </w:rPr>
        <w:t>a lawyer</w:t>
      </w:r>
      <w:r w:rsidRPr="00CE620D">
        <w:rPr>
          <w:rFonts w:cstheme="minorHAnsi"/>
          <w:i/>
          <w:iCs/>
          <w:sz w:val="22"/>
          <w:szCs w:val="22"/>
        </w:rPr>
        <w:t xml:space="preserve"> may discuss the legal consequences of any proposed course of conduct with a client and </w:t>
      </w:r>
      <w:r w:rsidRPr="00CE620D">
        <w:rPr>
          <w:rFonts w:cstheme="minorHAnsi"/>
          <w:i/>
          <w:iCs/>
          <w:sz w:val="22"/>
          <w:szCs w:val="22"/>
          <w:u w:val="single"/>
        </w:rPr>
        <w:t>may counsel or assist a client to make a good faith effort to determine the validity, scope, meaning or application of the law</w:t>
      </w:r>
      <w:r w:rsidRPr="00CE620D">
        <w:rPr>
          <w:rFonts w:cstheme="minorHAnsi"/>
          <w:i/>
          <w:iCs/>
          <w:sz w:val="22"/>
          <w:szCs w:val="22"/>
        </w:rPr>
        <w:t>.</w:t>
      </w:r>
    </w:p>
    <w:p w14:paraId="1DA56D5A" w14:textId="77777777" w:rsidR="005654C0" w:rsidRDefault="005654C0" w:rsidP="005654C0">
      <w:pPr>
        <w:rPr>
          <w:rFonts w:cstheme="minorHAnsi"/>
          <w:sz w:val="22"/>
          <w:szCs w:val="22"/>
        </w:rPr>
      </w:pPr>
    </w:p>
    <w:p w14:paraId="6E60C712" w14:textId="77777777" w:rsidR="005654C0" w:rsidRDefault="005654C0" w:rsidP="005654C0">
      <w:pPr>
        <w:rPr>
          <w:rFonts w:cstheme="minorHAnsi"/>
          <w:sz w:val="22"/>
          <w:szCs w:val="22"/>
        </w:rPr>
      </w:pPr>
      <w:r>
        <w:rPr>
          <w:rFonts w:cstheme="minorHAnsi"/>
          <w:sz w:val="22"/>
          <w:szCs w:val="22"/>
        </w:rPr>
        <w:t xml:space="preserve">It is the sworn duty of a lawyer to assist their client in determining the meaning or application of the law; it is the law and the interpretation thereof—and not the opinions of “The 65 Project”—which determines what is fraudulent or malicious. </w:t>
      </w:r>
    </w:p>
    <w:p w14:paraId="11C1F248" w14:textId="77777777" w:rsidR="005654C0" w:rsidRDefault="005654C0" w:rsidP="005654C0">
      <w:pPr>
        <w:rPr>
          <w:rFonts w:cstheme="minorHAnsi"/>
          <w:sz w:val="22"/>
          <w:szCs w:val="22"/>
        </w:rPr>
      </w:pPr>
    </w:p>
    <w:p w14:paraId="587867A1" w14:textId="77777777" w:rsidR="005654C0" w:rsidRDefault="005654C0" w:rsidP="005654C0">
      <w:pPr>
        <w:rPr>
          <w:rFonts w:cstheme="minorHAnsi"/>
          <w:sz w:val="22"/>
          <w:szCs w:val="22"/>
        </w:rPr>
      </w:pPr>
      <w:r>
        <w:rPr>
          <w:rFonts w:cstheme="minorHAnsi"/>
          <w:sz w:val="22"/>
          <w:szCs w:val="22"/>
        </w:rPr>
        <w:t xml:space="preserve">Furthermore, </w:t>
      </w:r>
      <w:r w:rsidRPr="00CE620D">
        <w:rPr>
          <w:rFonts w:cstheme="minorHAnsi"/>
          <w:sz w:val="22"/>
          <w:szCs w:val="22"/>
        </w:rPr>
        <w:t>Rule 8.4</w:t>
      </w:r>
      <w:r>
        <w:rPr>
          <w:rFonts w:cstheme="minorHAnsi"/>
          <w:sz w:val="22"/>
          <w:szCs w:val="22"/>
        </w:rPr>
        <w:t xml:space="preserve"> provides that it constitutes professional misconduct to:</w:t>
      </w:r>
    </w:p>
    <w:p w14:paraId="1E2C8387" w14:textId="77777777" w:rsidR="005654C0" w:rsidRDefault="005654C0" w:rsidP="005654C0">
      <w:pPr>
        <w:rPr>
          <w:rFonts w:cstheme="minorHAnsi"/>
          <w:sz w:val="22"/>
          <w:szCs w:val="22"/>
        </w:rPr>
      </w:pPr>
    </w:p>
    <w:p w14:paraId="2CBE8512" w14:textId="77777777" w:rsidR="005654C0" w:rsidRPr="00E802BD" w:rsidRDefault="005654C0" w:rsidP="005654C0">
      <w:pPr>
        <w:ind w:left="720"/>
        <w:rPr>
          <w:rFonts w:cstheme="minorHAnsi"/>
          <w:i/>
          <w:iCs/>
          <w:sz w:val="22"/>
          <w:szCs w:val="22"/>
        </w:rPr>
      </w:pPr>
      <w:r w:rsidRPr="00CE620D">
        <w:rPr>
          <w:rFonts w:cstheme="minorHAnsi"/>
          <w:i/>
          <w:iCs/>
          <w:sz w:val="22"/>
          <w:szCs w:val="22"/>
        </w:rPr>
        <w:t xml:space="preserve">(g) engage in conduct that the lawyer knows or reasonably should know is harassment or discrimination on the basis of race, sex, religion, national origin, ethnicity, disability, age, sexual orientation, gender identity, marital status or socioeconomic status in conduct related to the practice of law. </w:t>
      </w:r>
    </w:p>
    <w:p w14:paraId="1DE71EC8" w14:textId="77777777" w:rsidR="005654C0" w:rsidRDefault="005654C0" w:rsidP="005654C0">
      <w:pPr>
        <w:rPr>
          <w:rFonts w:cstheme="minorHAnsi"/>
          <w:sz w:val="22"/>
          <w:szCs w:val="22"/>
        </w:rPr>
      </w:pPr>
    </w:p>
    <w:p w14:paraId="46949248" w14:textId="77777777" w:rsidR="005654C0" w:rsidRDefault="005654C0" w:rsidP="005654C0">
      <w:pPr>
        <w:rPr>
          <w:rFonts w:cstheme="minorHAnsi"/>
          <w:sz w:val="22"/>
          <w:szCs w:val="22"/>
        </w:rPr>
      </w:pPr>
      <w:r w:rsidRPr="004C5938">
        <w:rPr>
          <w:rFonts w:cstheme="minorHAnsi"/>
          <w:sz w:val="22"/>
          <w:szCs w:val="22"/>
        </w:rPr>
        <w:t xml:space="preserve">That </w:t>
      </w:r>
      <w:r>
        <w:rPr>
          <w:rFonts w:cstheme="minorHAnsi"/>
          <w:sz w:val="22"/>
          <w:szCs w:val="22"/>
        </w:rPr>
        <w:t>a non-profit organization would use foreign interest money to attack people and</w:t>
      </w:r>
      <w:r w:rsidRPr="004C5938">
        <w:rPr>
          <w:rFonts w:cstheme="minorHAnsi"/>
          <w:sz w:val="22"/>
          <w:szCs w:val="22"/>
        </w:rPr>
        <w:t xml:space="preserve"> engage in such </w:t>
      </w:r>
      <w:r>
        <w:rPr>
          <w:rFonts w:cstheme="minorHAnsi"/>
          <w:sz w:val="22"/>
          <w:szCs w:val="22"/>
        </w:rPr>
        <w:t>tactic</w:t>
      </w:r>
      <w:r w:rsidRPr="004C5938">
        <w:rPr>
          <w:rFonts w:cstheme="minorHAnsi"/>
          <w:sz w:val="22"/>
          <w:szCs w:val="22"/>
        </w:rPr>
        <w:t>s should cause considerable distress within the entire legal community</w:t>
      </w:r>
      <w:r>
        <w:rPr>
          <w:rFonts w:cstheme="minorHAnsi"/>
          <w:sz w:val="22"/>
          <w:szCs w:val="22"/>
        </w:rPr>
        <w:t xml:space="preserve">, but all lawyers. </w:t>
      </w:r>
    </w:p>
    <w:p w14:paraId="4CBCB3C4" w14:textId="77777777" w:rsidR="005654C0" w:rsidRDefault="005654C0" w:rsidP="005654C0">
      <w:pPr>
        <w:rPr>
          <w:rFonts w:cstheme="minorHAnsi"/>
          <w:sz w:val="22"/>
          <w:szCs w:val="22"/>
        </w:rPr>
      </w:pPr>
    </w:p>
    <w:p w14:paraId="7E493759" w14:textId="5E928819" w:rsidR="005654C0" w:rsidRDefault="005654C0" w:rsidP="005654C0">
      <w:pPr>
        <w:rPr>
          <w:rFonts w:cstheme="minorHAnsi"/>
          <w:sz w:val="22"/>
          <w:szCs w:val="22"/>
        </w:rPr>
      </w:pPr>
      <w:r w:rsidRPr="004C5938">
        <w:rPr>
          <w:rFonts w:cstheme="minorHAnsi"/>
          <w:sz w:val="22"/>
          <w:szCs w:val="22"/>
        </w:rPr>
        <w:t xml:space="preserve">For the reasons set forth above, </w:t>
      </w:r>
      <w:r>
        <w:rPr>
          <w:rFonts w:cstheme="minorHAnsi"/>
          <w:sz w:val="22"/>
          <w:szCs w:val="22"/>
        </w:rPr>
        <w:t xml:space="preserve">I </w:t>
      </w:r>
      <w:r w:rsidRPr="004C5938">
        <w:rPr>
          <w:rFonts w:cstheme="minorHAnsi"/>
          <w:sz w:val="22"/>
          <w:szCs w:val="22"/>
        </w:rPr>
        <w:t>respectfully request that</w:t>
      </w:r>
      <w:r>
        <w:rPr>
          <w:rFonts w:cstheme="minorHAnsi"/>
          <w:sz w:val="22"/>
          <w:szCs w:val="22"/>
        </w:rPr>
        <w:t xml:space="preserve"> </w:t>
      </w:r>
      <w:r w:rsidRPr="004C5938">
        <w:rPr>
          <w:rFonts w:cstheme="minorHAnsi"/>
          <w:sz w:val="22"/>
          <w:szCs w:val="22"/>
        </w:rPr>
        <w:t xml:space="preserve">the </w:t>
      </w:r>
      <w:r>
        <w:rPr>
          <w:rFonts w:cstheme="minorHAnsi"/>
          <w:sz w:val="22"/>
          <w:szCs w:val="22"/>
        </w:rPr>
        <w:t>O</w:t>
      </w:r>
      <w:r w:rsidRPr="004C5938">
        <w:rPr>
          <w:rFonts w:cstheme="minorHAnsi"/>
          <w:sz w:val="22"/>
          <w:szCs w:val="22"/>
        </w:rPr>
        <w:t xml:space="preserve">ffice of the </w:t>
      </w:r>
      <w:r>
        <w:rPr>
          <w:rFonts w:cstheme="minorHAnsi"/>
          <w:sz w:val="22"/>
          <w:szCs w:val="22"/>
        </w:rPr>
        <w:t>Attorney General</w:t>
      </w:r>
      <w:r w:rsidRPr="004C5938">
        <w:rPr>
          <w:rFonts w:cstheme="minorHAnsi"/>
          <w:sz w:val="22"/>
          <w:szCs w:val="22"/>
        </w:rPr>
        <w:t xml:space="preserve"> investigate and impose appropriate removal on the 65 Projec</w:t>
      </w:r>
      <w:r>
        <w:rPr>
          <w:rFonts w:cstheme="minorHAnsi"/>
          <w:sz w:val="22"/>
          <w:szCs w:val="22"/>
        </w:rPr>
        <w:t xml:space="preserve">t from operating within the State </w:t>
      </w:r>
      <w:r w:rsidRPr="00955092">
        <w:rPr>
          <w:rFonts w:cstheme="minorHAnsi"/>
          <w:sz w:val="22"/>
          <w:szCs w:val="22"/>
        </w:rPr>
        <w:t xml:space="preserve">of </w:t>
      </w:r>
      <w:r w:rsidR="00955092">
        <w:rPr>
          <w:rFonts w:cstheme="minorHAnsi"/>
          <w:sz w:val="22"/>
          <w:szCs w:val="22"/>
        </w:rPr>
        <w:t>Kentucky</w:t>
      </w:r>
      <w:r w:rsidRPr="00955092">
        <w:rPr>
          <w:rFonts w:cstheme="minorHAnsi"/>
          <w:sz w:val="22"/>
          <w:szCs w:val="22"/>
        </w:rPr>
        <w:t>.</w:t>
      </w:r>
      <w:r>
        <w:rPr>
          <w:rFonts w:cstheme="minorHAnsi"/>
          <w:sz w:val="22"/>
          <w:szCs w:val="22"/>
        </w:rPr>
        <w:t xml:space="preserve"> </w:t>
      </w:r>
    </w:p>
    <w:p w14:paraId="59DD46AB" w14:textId="77777777" w:rsidR="005654C0" w:rsidRDefault="005654C0" w:rsidP="005654C0">
      <w:pPr>
        <w:rPr>
          <w:rFonts w:cstheme="minorHAnsi"/>
          <w:sz w:val="22"/>
          <w:szCs w:val="22"/>
        </w:rPr>
      </w:pPr>
    </w:p>
    <w:p w14:paraId="18ECF959" w14:textId="77777777" w:rsidR="005654C0" w:rsidRDefault="005654C0" w:rsidP="005654C0">
      <w:pPr>
        <w:rPr>
          <w:rFonts w:cstheme="minorHAnsi"/>
          <w:sz w:val="22"/>
          <w:szCs w:val="22"/>
        </w:rPr>
      </w:pPr>
      <w:r>
        <w:rPr>
          <w:rFonts w:cstheme="minorHAnsi"/>
          <w:sz w:val="22"/>
          <w:szCs w:val="22"/>
        </w:rPr>
        <w:t xml:space="preserve">Sincerely, </w:t>
      </w:r>
    </w:p>
    <w:p w14:paraId="56267C09" w14:textId="77777777" w:rsidR="005654C0" w:rsidRDefault="005654C0" w:rsidP="005654C0">
      <w:pPr>
        <w:rPr>
          <w:rFonts w:cstheme="minorHAnsi"/>
          <w:sz w:val="22"/>
          <w:szCs w:val="22"/>
        </w:rPr>
      </w:pPr>
    </w:p>
    <w:p w14:paraId="1D7141A9" w14:textId="47B7F55F" w:rsidR="005654C0" w:rsidRDefault="005654C0" w:rsidP="005654C0">
      <w:pPr>
        <w:rPr>
          <w:rFonts w:cstheme="minorHAnsi"/>
          <w:sz w:val="22"/>
          <w:szCs w:val="22"/>
        </w:rPr>
      </w:pPr>
    </w:p>
    <w:p w14:paraId="1CF0A273" w14:textId="04201B94" w:rsidR="005654C0" w:rsidRDefault="00955092" w:rsidP="005654C0">
      <w:pPr>
        <w:rPr>
          <w:rFonts w:cstheme="minorHAnsi"/>
          <w:sz w:val="22"/>
          <w:szCs w:val="22"/>
        </w:rPr>
      </w:pPr>
      <w:r>
        <w:rPr>
          <w:rFonts w:cstheme="minorHAnsi"/>
          <w:sz w:val="22"/>
          <w:szCs w:val="22"/>
        </w:rPr>
        <w:t>Kentucky</w:t>
      </w:r>
      <w:r w:rsidR="005654C0">
        <w:rPr>
          <w:rFonts w:cstheme="minorHAnsi"/>
          <w:sz w:val="22"/>
          <w:szCs w:val="22"/>
        </w:rPr>
        <w:t xml:space="preserve"> Resident </w:t>
      </w:r>
    </w:p>
    <w:p w14:paraId="0D07B5EB" w14:textId="7BDAC159" w:rsidR="005654C0" w:rsidRDefault="005654C0" w:rsidP="005654C0">
      <w:pPr>
        <w:rPr>
          <w:rFonts w:cstheme="minorHAnsi"/>
          <w:sz w:val="22"/>
          <w:szCs w:val="22"/>
        </w:rPr>
      </w:pPr>
    </w:p>
    <w:p w14:paraId="293CEB3F" w14:textId="3638420B" w:rsidR="005654C0" w:rsidRDefault="005654C0" w:rsidP="005654C0">
      <w:pPr>
        <w:rPr>
          <w:rFonts w:cstheme="minorHAnsi"/>
          <w:sz w:val="22"/>
          <w:szCs w:val="22"/>
        </w:rPr>
      </w:pPr>
    </w:p>
    <w:p w14:paraId="5778934E" w14:textId="77777777" w:rsidR="005654C0" w:rsidRDefault="005654C0" w:rsidP="005654C0">
      <w:pPr>
        <w:rPr>
          <w:rFonts w:cstheme="minorHAnsi"/>
          <w:sz w:val="22"/>
          <w:szCs w:val="22"/>
        </w:rPr>
      </w:pPr>
    </w:p>
    <w:p w14:paraId="07D4496C" w14:textId="77777777" w:rsidR="005654C0" w:rsidRDefault="005654C0" w:rsidP="005654C0">
      <w:pPr>
        <w:rPr>
          <w:rFonts w:cstheme="minorHAnsi"/>
          <w:sz w:val="22"/>
          <w:szCs w:val="22"/>
        </w:rPr>
      </w:pPr>
      <w:r w:rsidRPr="002A3BC2">
        <w:rPr>
          <w:rFonts w:cstheme="minorHAnsi"/>
          <w:sz w:val="22"/>
          <w:szCs w:val="22"/>
          <w:vertAlign w:val="superscript"/>
        </w:rPr>
        <w:t>1</w:t>
      </w:r>
      <w:hyperlink r:id="rId6" w:history="1">
        <w:r w:rsidRPr="00A615E3">
          <w:rPr>
            <w:rStyle w:val="Hyperlink"/>
            <w:rFonts w:cstheme="minorHAnsi"/>
            <w:sz w:val="22"/>
            <w:szCs w:val="22"/>
          </w:rPr>
          <w:t>https://the65project.com</w:t>
        </w:r>
      </w:hyperlink>
      <w:r>
        <w:rPr>
          <w:rFonts w:cstheme="minorHAnsi"/>
          <w:sz w:val="22"/>
          <w:szCs w:val="22"/>
        </w:rPr>
        <w:t xml:space="preserve"> </w:t>
      </w:r>
    </w:p>
    <w:p w14:paraId="316FBB40" w14:textId="28F0BABA" w:rsidR="005654C0" w:rsidRDefault="005654C0" w:rsidP="005654C0">
      <w:pPr>
        <w:rPr>
          <w:rFonts w:cstheme="minorHAnsi"/>
          <w:sz w:val="22"/>
          <w:szCs w:val="22"/>
        </w:rPr>
      </w:pPr>
      <w:r w:rsidRPr="008042A2">
        <w:rPr>
          <w:rFonts w:cstheme="minorHAnsi"/>
          <w:sz w:val="22"/>
          <w:szCs w:val="22"/>
          <w:vertAlign w:val="superscript"/>
        </w:rPr>
        <w:t>2</w:t>
      </w:r>
      <w:hyperlink r:id="rId7" w:history="1">
        <w:r w:rsidRPr="00A615E3">
          <w:rPr>
            <w:rStyle w:val="Hyperlink"/>
            <w:rFonts w:cstheme="minorHAnsi"/>
            <w:sz w:val="22"/>
            <w:szCs w:val="22"/>
          </w:rPr>
          <w:t>https://the65project.com/filings/</w:t>
        </w:r>
      </w:hyperlink>
    </w:p>
    <w:sectPr w:rsidR="005654C0" w:rsidSect="005654C0">
      <w:footerReference w:type="default" r:id="rId8"/>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7645" w14:textId="77777777" w:rsidR="00501708" w:rsidRDefault="00501708" w:rsidP="005654C0">
      <w:r>
        <w:separator/>
      </w:r>
    </w:p>
  </w:endnote>
  <w:endnote w:type="continuationSeparator" w:id="0">
    <w:p w14:paraId="20719A41" w14:textId="77777777" w:rsidR="00501708" w:rsidRDefault="00501708" w:rsidP="0056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93E" w14:textId="1CDB7317" w:rsidR="005654C0" w:rsidRPr="005654C0" w:rsidRDefault="005654C0" w:rsidP="005654C0">
    <w:pPr>
      <w:pStyle w:val="Footer"/>
      <w:jc w:val="right"/>
      <w:rPr>
        <w:rFonts w:cstheme="minorHAnsi"/>
        <w:sz w:val="22"/>
        <w:szCs w:val="22"/>
      </w:rPr>
    </w:pPr>
    <w:r w:rsidRPr="005654C0">
      <w:rPr>
        <w:rFonts w:cstheme="minorHAnsi"/>
        <w:sz w:val="22"/>
        <w:szCs w:val="22"/>
      </w:rPr>
      <w:t xml:space="preserve">Page </w:t>
    </w:r>
    <w:r w:rsidRPr="005654C0">
      <w:rPr>
        <w:rFonts w:cstheme="minorHAnsi"/>
        <w:sz w:val="22"/>
        <w:szCs w:val="22"/>
      </w:rPr>
      <w:fldChar w:fldCharType="begin"/>
    </w:r>
    <w:r w:rsidRPr="005654C0">
      <w:rPr>
        <w:rFonts w:cstheme="minorHAnsi"/>
        <w:sz w:val="22"/>
        <w:szCs w:val="22"/>
      </w:rPr>
      <w:instrText xml:space="preserve"> PAGE </w:instrText>
    </w:r>
    <w:r w:rsidRPr="005654C0">
      <w:rPr>
        <w:rFonts w:cstheme="minorHAnsi"/>
        <w:sz w:val="22"/>
        <w:szCs w:val="22"/>
      </w:rPr>
      <w:fldChar w:fldCharType="separate"/>
    </w:r>
    <w:r w:rsidRPr="005654C0">
      <w:rPr>
        <w:rFonts w:cstheme="minorHAnsi"/>
        <w:noProof/>
        <w:sz w:val="22"/>
        <w:szCs w:val="22"/>
      </w:rPr>
      <w:t>1</w:t>
    </w:r>
    <w:r w:rsidRPr="005654C0">
      <w:rPr>
        <w:rFonts w:cstheme="minorHAnsi"/>
        <w:sz w:val="22"/>
        <w:szCs w:val="22"/>
      </w:rPr>
      <w:fldChar w:fldCharType="end"/>
    </w:r>
    <w:r w:rsidRPr="005654C0">
      <w:rPr>
        <w:rFonts w:cstheme="minorHAnsi"/>
        <w:sz w:val="22"/>
        <w:szCs w:val="22"/>
      </w:rPr>
      <w:t xml:space="preserve"> of </w:t>
    </w:r>
    <w:r w:rsidRPr="005654C0">
      <w:rPr>
        <w:rFonts w:cstheme="minorHAnsi"/>
        <w:sz w:val="22"/>
        <w:szCs w:val="22"/>
      </w:rPr>
      <w:fldChar w:fldCharType="begin"/>
    </w:r>
    <w:r w:rsidRPr="005654C0">
      <w:rPr>
        <w:rFonts w:cstheme="minorHAnsi"/>
        <w:sz w:val="22"/>
        <w:szCs w:val="22"/>
      </w:rPr>
      <w:instrText xml:space="preserve"> NUMPAGES </w:instrText>
    </w:r>
    <w:r w:rsidRPr="005654C0">
      <w:rPr>
        <w:rFonts w:cstheme="minorHAnsi"/>
        <w:sz w:val="22"/>
        <w:szCs w:val="22"/>
      </w:rPr>
      <w:fldChar w:fldCharType="separate"/>
    </w:r>
    <w:r w:rsidRPr="005654C0">
      <w:rPr>
        <w:rFonts w:cstheme="minorHAnsi"/>
        <w:noProof/>
        <w:sz w:val="22"/>
        <w:szCs w:val="22"/>
      </w:rPr>
      <w:t>3</w:t>
    </w:r>
    <w:r w:rsidRPr="005654C0">
      <w:rPr>
        <w:rFonts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2603" w14:textId="77777777" w:rsidR="00501708" w:rsidRDefault="00501708" w:rsidP="005654C0">
      <w:r>
        <w:separator/>
      </w:r>
    </w:p>
  </w:footnote>
  <w:footnote w:type="continuationSeparator" w:id="0">
    <w:p w14:paraId="457B3FFB" w14:textId="77777777" w:rsidR="00501708" w:rsidRDefault="00501708" w:rsidP="00565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C0"/>
    <w:rsid w:val="000D6CA3"/>
    <w:rsid w:val="00150944"/>
    <w:rsid w:val="00313C37"/>
    <w:rsid w:val="0035393F"/>
    <w:rsid w:val="004D52B2"/>
    <w:rsid w:val="00501708"/>
    <w:rsid w:val="005654C0"/>
    <w:rsid w:val="00726806"/>
    <w:rsid w:val="007A391D"/>
    <w:rsid w:val="00886152"/>
    <w:rsid w:val="008F14B5"/>
    <w:rsid w:val="00955092"/>
    <w:rsid w:val="00991852"/>
    <w:rsid w:val="00A207F0"/>
    <w:rsid w:val="00A564A7"/>
    <w:rsid w:val="00AF495C"/>
    <w:rsid w:val="00B306B7"/>
    <w:rsid w:val="00BE0105"/>
    <w:rsid w:val="00CB1FC2"/>
    <w:rsid w:val="00F0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CF31"/>
  <w15:chartTrackingRefBased/>
  <w15:docId w15:val="{F3EA5652-290E-AC43-B6A5-F9052158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4C0"/>
    <w:pPr>
      <w:ind w:left="720"/>
      <w:contextualSpacing/>
    </w:pPr>
  </w:style>
  <w:style w:type="character" w:styleId="Hyperlink">
    <w:name w:val="Hyperlink"/>
    <w:basedOn w:val="DefaultParagraphFont"/>
    <w:uiPriority w:val="99"/>
    <w:unhideWhenUsed/>
    <w:rsid w:val="005654C0"/>
    <w:rPr>
      <w:color w:val="0563C1" w:themeColor="hyperlink"/>
      <w:u w:val="single"/>
    </w:rPr>
  </w:style>
  <w:style w:type="paragraph" w:styleId="Header">
    <w:name w:val="header"/>
    <w:basedOn w:val="Normal"/>
    <w:link w:val="HeaderChar"/>
    <w:uiPriority w:val="99"/>
    <w:unhideWhenUsed/>
    <w:rsid w:val="005654C0"/>
    <w:pPr>
      <w:tabs>
        <w:tab w:val="center" w:pos="4680"/>
        <w:tab w:val="right" w:pos="9360"/>
      </w:tabs>
    </w:pPr>
  </w:style>
  <w:style w:type="character" w:customStyle="1" w:styleId="HeaderChar">
    <w:name w:val="Header Char"/>
    <w:basedOn w:val="DefaultParagraphFont"/>
    <w:link w:val="Header"/>
    <w:uiPriority w:val="99"/>
    <w:rsid w:val="005654C0"/>
  </w:style>
  <w:style w:type="paragraph" w:styleId="Footer">
    <w:name w:val="footer"/>
    <w:basedOn w:val="Normal"/>
    <w:link w:val="FooterChar"/>
    <w:uiPriority w:val="99"/>
    <w:unhideWhenUsed/>
    <w:rsid w:val="005654C0"/>
    <w:pPr>
      <w:tabs>
        <w:tab w:val="center" w:pos="4680"/>
        <w:tab w:val="right" w:pos="9360"/>
      </w:tabs>
    </w:pPr>
  </w:style>
  <w:style w:type="character" w:customStyle="1" w:styleId="FooterChar">
    <w:name w:val="Footer Char"/>
    <w:basedOn w:val="DefaultParagraphFont"/>
    <w:link w:val="Footer"/>
    <w:uiPriority w:val="99"/>
    <w:rsid w:val="0056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he65project.com/fil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65projec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Kujala</dc:creator>
  <cp:keywords/>
  <dc:description/>
  <cp:lastModifiedBy>MacKenzie Harju</cp:lastModifiedBy>
  <cp:revision>2</cp:revision>
  <dcterms:created xsi:type="dcterms:W3CDTF">2022-03-14T16:10:00Z</dcterms:created>
  <dcterms:modified xsi:type="dcterms:W3CDTF">2022-03-14T16:10:00Z</dcterms:modified>
</cp:coreProperties>
</file>