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276D" w14:textId="77777777" w:rsidR="00C00AF7" w:rsidRDefault="00C00AF7">
      <w:pPr>
        <w:spacing w:after="277"/>
        <w:ind w:left="27"/>
        <w:jc w:val="center"/>
      </w:pPr>
      <w:r>
        <w:rPr>
          <w:rFonts w:ascii="Lucida Sans" w:eastAsia="Lucida Sans" w:hAnsi="Lucida Sans" w:cs="Lucida Sans"/>
          <w:b/>
        </w:rPr>
        <w:t xml:space="preserve">AS9100 SUPPLIER FLOWDOWN REQUIREMENTS </w:t>
      </w:r>
    </w:p>
    <w:p w14:paraId="30A894F4" w14:textId="75B82D75" w:rsidR="00C00AF7" w:rsidRDefault="00C00AF7" w:rsidP="00BB28B6">
      <w:pPr>
        <w:spacing w:after="119"/>
        <w:ind w:left="-15"/>
      </w:pPr>
      <w:r>
        <w:t xml:space="preserve">By accepting a purchase order as a supplier to </w:t>
      </w:r>
      <w:r w:rsidR="00BB28B6">
        <w:t>Aremco</w:t>
      </w:r>
      <w:r>
        <w:t xml:space="preserve"> a vendor agrees to comply with the additional terms and conditions listed below with respect to any product or services provided to </w:t>
      </w:r>
      <w:r w:rsidR="00BB28B6">
        <w:t>Aremco</w:t>
      </w:r>
      <w:r>
        <w:t xml:space="preserve">    </w:t>
      </w:r>
    </w:p>
    <w:p w14:paraId="4E671D19" w14:textId="4D71E456" w:rsidR="00C00AF7" w:rsidRDefault="00C00AF7" w:rsidP="00C00AF7">
      <w:pPr>
        <w:numPr>
          <w:ilvl w:val="0"/>
          <w:numId w:val="1"/>
        </w:numPr>
        <w:spacing w:after="57" w:line="365" w:lineRule="auto"/>
        <w:ind w:hanging="370"/>
      </w:pPr>
      <w:r>
        <w:rPr>
          <w:rFonts w:ascii="Lucida Sans" w:eastAsia="Lucida Sans" w:hAnsi="Lucida Sans" w:cs="Lucida Sans"/>
          <w:b/>
        </w:rPr>
        <w:t xml:space="preserve">Nonconforming Products and Materials: </w:t>
      </w:r>
      <w:r w:rsidR="00BB28B6">
        <w:t>Aremco is</w:t>
      </w:r>
      <w:r>
        <w:t xml:space="preserve"> to be contacted by the supplier in the event of nonconforming product/material.  Arrangements for the approval of supplier nonconforming product/material must be as directed by </w:t>
      </w:r>
      <w:r w:rsidR="00BB28B6">
        <w:t>Aremco</w:t>
      </w:r>
      <w:r>
        <w:t xml:space="preserve">. </w:t>
      </w:r>
    </w:p>
    <w:p w14:paraId="64D4145B" w14:textId="6CF0960D" w:rsidR="00C00AF7" w:rsidRDefault="00C00AF7" w:rsidP="00C00AF7">
      <w:pPr>
        <w:numPr>
          <w:ilvl w:val="0"/>
          <w:numId w:val="1"/>
        </w:numPr>
        <w:spacing w:after="57" w:line="365" w:lineRule="auto"/>
        <w:ind w:hanging="370"/>
      </w:pPr>
      <w:r>
        <w:rPr>
          <w:rFonts w:ascii="Lucida Sans" w:eastAsia="Lucida Sans" w:hAnsi="Lucida Sans" w:cs="Lucida Sans"/>
          <w:b/>
        </w:rPr>
        <w:t xml:space="preserve">Changes in Process or Product: </w:t>
      </w:r>
      <w:r>
        <w:t xml:space="preserve">Supplier is required to notify </w:t>
      </w:r>
      <w:r w:rsidR="00AC27AB">
        <w:t>Aremco of</w:t>
      </w:r>
      <w:r>
        <w:t xml:space="preserve"> any changes to a product and/or process and to obtain approval from </w:t>
      </w:r>
      <w:r w:rsidR="00BB28B6">
        <w:t>Aremco</w:t>
      </w:r>
      <w:r>
        <w:t xml:space="preserve"> when applicable. </w:t>
      </w:r>
    </w:p>
    <w:p w14:paraId="371DE3D1" w14:textId="58563FCE" w:rsidR="00C00AF7" w:rsidRDefault="00C00AF7" w:rsidP="00C00AF7">
      <w:pPr>
        <w:numPr>
          <w:ilvl w:val="0"/>
          <w:numId w:val="1"/>
        </w:numPr>
        <w:spacing w:after="57" w:line="365" w:lineRule="auto"/>
        <w:ind w:hanging="370"/>
      </w:pPr>
      <w:r>
        <w:rPr>
          <w:rFonts w:ascii="Lucida Sans" w:eastAsia="Lucida Sans" w:hAnsi="Lucida Sans" w:cs="Lucida Sans"/>
          <w:b/>
        </w:rPr>
        <w:t xml:space="preserve">Counterfeit Parts:  </w:t>
      </w:r>
      <w:r>
        <w:t xml:space="preserve">The Supplier shall certify that only new and authentic materials are used in products or goods delivered to </w:t>
      </w:r>
      <w:r w:rsidR="00BB28B6">
        <w:t>Aremco and</w:t>
      </w:r>
      <w:r>
        <w:t xml:space="preserve"> that the products/goods delivered contain no counterfeit parts. </w:t>
      </w:r>
    </w:p>
    <w:p w14:paraId="10B98CF7" w14:textId="3DA782FD" w:rsidR="00C00AF7" w:rsidRDefault="00C00AF7" w:rsidP="00C00AF7">
      <w:pPr>
        <w:numPr>
          <w:ilvl w:val="0"/>
          <w:numId w:val="1"/>
        </w:numPr>
        <w:spacing w:after="57" w:line="365" w:lineRule="auto"/>
        <w:ind w:hanging="370"/>
      </w:pPr>
      <w:r>
        <w:rPr>
          <w:rFonts w:ascii="Lucida Sans" w:eastAsia="Lucida Sans" w:hAnsi="Lucida Sans" w:cs="Lucida Sans"/>
          <w:b/>
        </w:rPr>
        <w:t xml:space="preserve">Right of Access: </w:t>
      </w:r>
      <w:r w:rsidR="00BB28B6">
        <w:t>Aremco,</w:t>
      </w:r>
      <w:r>
        <w:t xml:space="preserve"> their customers and regulatory authorities retain the </w:t>
      </w:r>
      <w:r w:rsidR="00BB28B6">
        <w:t>right to access</w:t>
      </w:r>
      <w:r>
        <w:t xml:space="preserve"> all supplier facilities involved in the aerospace orders and to all applicable records. </w:t>
      </w:r>
    </w:p>
    <w:p w14:paraId="39619082" w14:textId="281596F3" w:rsidR="00C00AF7" w:rsidRDefault="00C00AF7" w:rsidP="00C00AF7">
      <w:pPr>
        <w:numPr>
          <w:ilvl w:val="0"/>
          <w:numId w:val="1"/>
        </w:numPr>
        <w:spacing w:after="57" w:line="365" w:lineRule="auto"/>
        <w:ind w:hanging="370"/>
      </w:pPr>
      <w:r>
        <w:rPr>
          <w:rFonts w:ascii="Lucida Sans" w:eastAsia="Lucida Sans" w:hAnsi="Lucida Sans" w:cs="Lucida Sans"/>
          <w:b/>
        </w:rPr>
        <w:t xml:space="preserve">Flow Down to Sub-tier Suppliers: </w:t>
      </w:r>
      <w:r>
        <w:t xml:space="preserve">The AS9100 standard requires that all applicable customer/regulatory/AS9100 requirements for the supplier to </w:t>
      </w:r>
      <w:r w:rsidR="00BB28B6">
        <w:t>flow down</w:t>
      </w:r>
      <w:r>
        <w:t xml:space="preserve"> to sub-tier suppliers (including requirements in the purchasing documents and key characteristics where required).  However, </w:t>
      </w:r>
      <w:r w:rsidR="00BB28B6">
        <w:t>Aremco does</w:t>
      </w:r>
      <w:r>
        <w:t xml:space="preserve"> not allow its aerospace suppliers to subcontract any product or process to a sub-tier supplier without </w:t>
      </w:r>
      <w:r w:rsidR="00BB28B6">
        <w:t>Aremco</w:t>
      </w:r>
      <w:r>
        <w:t xml:space="preserve"> ’s expressed written consent. </w:t>
      </w:r>
    </w:p>
    <w:p w14:paraId="6EF1AE94" w14:textId="644779A0" w:rsidR="00C00AF7" w:rsidRDefault="00C00AF7" w:rsidP="00C00AF7">
      <w:pPr>
        <w:numPr>
          <w:ilvl w:val="0"/>
          <w:numId w:val="1"/>
        </w:numPr>
        <w:spacing w:after="57" w:line="365" w:lineRule="auto"/>
        <w:ind w:hanging="370"/>
      </w:pPr>
      <w:r>
        <w:rPr>
          <w:rFonts w:ascii="Lucida Sans" w:eastAsia="Lucida Sans" w:hAnsi="Lucida Sans" w:cs="Lucida Sans"/>
          <w:b/>
        </w:rPr>
        <w:t xml:space="preserve">Certificate of Conformance: </w:t>
      </w:r>
      <w:r>
        <w:t xml:space="preserve">Supplier’s acceptance of </w:t>
      </w:r>
      <w:r w:rsidR="00BB28B6">
        <w:t>Aremco</w:t>
      </w:r>
      <w:r>
        <w:t xml:space="preserve">’s purchase order certifies that the materials and processes supplied under the purchase order shall be or have been controlled and inspected in accordance with </w:t>
      </w:r>
      <w:r w:rsidR="00BB28B6">
        <w:t>Aremco</w:t>
      </w:r>
      <w:r>
        <w:t xml:space="preserve">’s purchase order and they meet the specified order requirements, referenced specifications and drawings.  </w:t>
      </w:r>
      <w:r w:rsidR="00BB28B6">
        <w:t>Suppliers</w:t>
      </w:r>
      <w:r>
        <w:t xml:space="preserve"> must provide a Certificate of Conformance for all orders, verifying that all products meet those requirements.  All products and serial numbers must be clearly identified and labeled and must be traceable to and linked to the Certificate of Conformance. </w:t>
      </w:r>
    </w:p>
    <w:p w14:paraId="48C35E6C" w14:textId="2511DD0C" w:rsidR="00C00AF7" w:rsidRDefault="00C00AF7" w:rsidP="00C00AF7">
      <w:pPr>
        <w:numPr>
          <w:ilvl w:val="0"/>
          <w:numId w:val="1"/>
        </w:numPr>
        <w:spacing w:after="57" w:line="365" w:lineRule="auto"/>
        <w:ind w:hanging="370"/>
      </w:pPr>
      <w:r>
        <w:rPr>
          <w:rFonts w:ascii="Lucida Sans" w:eastAsia="Lucida Sans" w:hAnsi="Lucida Sans" w:cs="Lucida Sans"/>
          <w:b/>
        </w:rPr>
        <w:t xml:space="preserve">Calibration System: </w:t>
      </w:r>
      <w:r>
        <w:t>All inspection, measuring and test equipment used by the supplier during in-process and final inspection to make a compliance evaluation shall be calibrated to the AS9100 Standard traceable to NIST.</w:t>
      </w:r>
      <w:r>
        <w:rPr>
          <w:rFonts w:ascii="Lucida Sans" w:eastAsia="Lucida Sans" w:hAnsi="Lucida Sans" w:cs="Lucida Sans"/>
          <w:b/>
        </w:rPr>
        <w:t xml:space="preserve"> </w:t>
      </w:r>
    </w:p>
    <w:p w14:paraId="0A0A3C6A" w14:textId="0052EA10" w:rsidR="00C00AF7" w:rsidRDefault="00C00AF7" w:rsidP="00C00AF7">
      <w:pPr>
        <w:numPr>
          <w:ilvl w:val="0"/>
          <w:numId w:val="1"/>
        </w:numPr>
        <w:spacing w:after="57" w:line="365" w:lineRule="auto"/>
        <w:ind w:hanging="370"/>
      </w:pPr>
      <w:r>
        <w:rPr>
          <w:rFonts w:ascii="Lucida Sans" w:eastAsia="Lucida Sans" w:hAnsi="Lucida Sans" w:cs="Lucida Sans"/>
          <w:b/>
        </w:rPr>
        <w:lastRenderedPageBreak/>
        <w:t xml:space="preserve">On Time Delivery: </w:t>
      </w:r>
      <w:r w:rsidR="00BB28B6">
        <w:t>Aremco expects</w:t>
      </w:r>
      <w:r>
        <w:t xml:space="preserve"> 100% on time delivery.  If the agreed upon delivery cannot be met, </w:t>
      </w:r>
      <w:r w:rsidR="00BB28B6">
        <w:t>Aremco</w:t>
      </w:r>
      <w:r>
        <w:t xml:space="preserve"> must be notified in advance.  If </w:t>
      </w:r>
      <w:r w:rsidR="00BB28B6">
        <w:t>Aremco</w:t>
      </w:r>
      <w:r>
        <w:t xml:space="preserve"> ’s annual supplier evaluation identifies a supplier with an </w:t>
      </w:r>
      <w:r w:rsidR="00BB28B6">
        <w:t>on-time</w:t>
      </w:r>
      <w:r>
        <w:t xml:space="preserve"> delivery rate of 95% or less a corrective action can be issued. </w:t>
      </w:r>
    </w:p>
    <w:p w14:paraId="45BC668E" w14:textId="5B597575" w:rsidR="00C00AF7" w:rsidRDefault="00C00AF7" w:rsidP="00C00AF7">
      <w:pPr>
        <w:numPr>
          <w:ilvl w:val="0"/>
          <w:numId w:val="1"/>
        </w:numPr>
        <w:spacing w:after="57" w:line="365" w:lineRule="auto"/>
        <w:ind w:hanging="370"/>
      </w:pPr>
      <w:r>
        <w:rPr>
          <w:rFonts w:ascii="Lucida Sans" w:eastAsia="Lucida Sans" w:hAnsi="Lucida Sans" w:cs="Lucida Sans"/>
          <w:b/>
        </w:rPr>
        <w:t xml:space="preserve">Defects: </w:t>
      </w:r>
      <w:r w:rsidR="00BB28B6">
        <w:t>Aremco requires</w:t>
      </w:r>
      <w:r>
        <w:t xml:space="preserve"> that products provided by its Approved Suppliers be correct and free of </w:t>
      </w:r>
      <w:r w:rsidR="00AC27AB">
        <w:t>defects</w:t>
      </w:r>
      <w:r>
        <w:t xml:space="preserve"> </w:t>
      </w:r>
      <w:r w:rsidR="00AC27AB">
        <w:t>from</w:t>
      </w:r>
      <w:r>
        <w:t xml:space="preserve"> the </w:t>
      </w:r>
      <w:r w:rsidR="00AC27AB">
        <w:t>supplier’s</w:t>
      </w:r>
      <w:r>
        <w:t xml:space="preserve"> Purchase Order.  If </w:t>
      </w:r>
      <w:r w:rsidR="00BB28B6">
        <w:t>Aremco</w:t>
      </w:r>
      <w:r>
        <w:t xml:space="preserve"> ’s annual supplier evaluation identifies a supplier with a scrap/rework rate that exceeds 10% of their </w:t>
      </w:r>
      <w:r w:rsidR="00BB28B6">
        <w:t>Aremco</w:t>
      </w:r>
      <w:r>
        <w:t xml:space="preserve"> work orders, a corrective action can be issued. </w:t>
      </w:r>
    </w:p>
    <w:p w14:paraId="67B72A54" w14:textId="0AFC4E3A" w:rsidR="00C00AF7" w:rsidRDefault="00C00AF7" w:rsidP="00C00AF7">
      <w:pPr>
        <w:numPr>
          <w:ilvl w:val="0"/>
          <w:numId w:val="1"/>
        </w:numPr>
        <w:spacing w:after="57" w:line="365" w:lineRule="auto"/>
        <w:ind w:hanging="370"/>
      </w:pPr>
      <w:r>
        <w:rPr>
          <w:rFonts w:ascii="Lucida Sans" w:eastAsia="Lucida Sans" w:hAnsi="Lucida Sans" w:cs="Lucida Sans"/>
          <w:b/>
        </w:rPr>
        <w:t xml:space="preserve">Remedies for Supplier Noncompliance: </w:t>
      </w:r>
      <w:r w:rsidR="00BB28B6">
        <w:t>Aremco may</w:t>
      </w:r>
      <w:r>
        <w:t xml:space="preserve"> also require specific actions where timely and/or effective corrective actions to a supplier issue(s) are not achieved.  These actions may include but are not limited to any or </w:t>
      </w:r>
      <w:r w:rsidR="00AC27AB">
        <w:t>all</w:t>
      </w:r>
      <w:r>
        <w:t xml:space="preserve"> the following</w:t>
      </w:r>
      <w:r w:rsidR="00AC27AB">
        <w:t>: withholding</w:t>
      </w:r>
      <w:r>
        <w:t xml:space="preserve"> payment until the issue is resolved, removal of the supplier from </w:t>
      </w:r>
      <w:r w:rsidR="00BB28B6">
        <w:t>Aremco</w:t>
      </w:r>
      <w:r>
        <w:t xml:space="preserve"> ’s Approved Supplier list, and/or legal action. </w:t>
      </w:r>
    </w:p>
    <w:p w14:paraId="78DFC30F" w14:textId="480D4804" w:rsidR="00C00AF7" w:rsidRDefault="00C00AF7" w:rsidP="00C00AF7">
      <w:pPr>
        <w:numPr>
          <w:ilvl w:val="0"/>
          <w:numId w:val="1"/>
        </w:numPr>
        <w:spacing w:after="57" w:line="365" w:lineRule="auto"/>
        <w:ind w:hanging="370"/>
      </w:pPr>
      <w:r>
        <w:rPr>
          <w:rFonts w:ascii="Lucida Sans" w:eastAsia="Lucida Sans" w:hAnsi="Lucida Sans" w:cs="Lucida Sans"/>
          <w:b/>
        </w:rPr>
        <w:t xml:space="preserve">Confidentiality:  </w:t>
      </w:r>
      <w:r>
        <w:t xml:space="preserve">Supplier shall hold all information received from </w:t>
      </w:r>
      <w:r w:rsidR="00BB28B6">
        <w:t>Aremco in</w:t>
      </w:r>
      <w:r>
        <w:t xml:space="preserve"> confidence and no third-party request for information will be authorized unless approved, in writing, by </w:t>
      </w:r>
      <w:r w:rsidR="00BB28B6">
        <w:t>Aremco</w:t>
      </w:r>
      <w:r>
        <w:t xml:space="preserve">.   </w:t>
      </w:r>
    </w:p>
    <w:p w14:paraId="41FFDE14" w14:textId="77777777" w:rsidR="00A26B59" w:rsidRDefault="00A26B59"/>
    <w:sectPr w:rsidR="00A26B59" w:rsidSect="00C00AF7">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6FB9" w14:textId="77777777" w:rsidR="007E7EDB" w:rsidRDefault="007E7EDB">
      <w:pPr>
        <w:spacing w:after="0" w:line="240" w:lineRule="auto"/>
      </w:pPr>
      <w:r>
        <w:separator/>
      </w:r>
    </w:p>
  </w:endnote>
  <w:endnote w:type="continuationSeparator" w:id="0">
    <w:p w14:paraId="210C76A3" w14:textId="77777777" w:rsidR="007E7EDB" w:rsidRDefault="007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21E4" w14:textId="77777777" w:rsidR="00EA67D3" w:rsidRDefault="00000000">
    <w:pPr>
      <w:spacing w:after="0"/>
      <w:ind w:left="-360"/>
    </w:pPr>
    <w:r>
      <w:rPr>
        <w:rFonts w:ascii="Calibri" w:eastAsia="Calibri" w:hAnsi="Calibri" w:cs="Calibri"/>
      </w:rPr>
      <w:t xml:space="preserve">June 18,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AD8B" w14:textId="21B220BE" w:rsidR="00AC27AB" w:rsidRDefault="00AC27AB">
    <w:pPr>
      <w:spacing w:after="0"/>
      <w:ind w:left="-360"/>
      <w:rPr>
        <w:rFonts w:ascii="Calibri" w:eastAsia="Calibri" w:hAnsi="Calibri" w:cs="Calibri"/>
      </w:rPr>
    </w:pPr>
    <w:r>
      <w:rPr>
        <w:rFonts w:ascii="Calibri" w:eastAsia="Calibri" w:hAnsi="Calibri" w:cs="Calibri"/>
      </w:rPr>
      <w:t>January 15,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7F96" w14:textId="77777777" w:rsidR="00EA67D3" w:rsidRDefault="00000000">
    <w:pPr>
      <w:spacing w:after="0"/>
      <w:ind w:left="-360"/>
    </w:pPr>
    <w:r>
      <w:rPr>
        <w:rFonts w:ascii="Calibri" w:eastAsia="Calibri" w:hAnsi="Calibri" w:cs="Calibri"/>
      </w:rPr>
      <w:t xml:space="preserve">June 18,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480E" w14:textId="77777777" w:rsidR="007E7EDB" w:rsidRDefault="007E7EDB">
      <w:pPr>
        <w:spacing w:after="0" w:line="240" w:lineRule="auto"/>
      </w:pPr>
      <w:r>
        <w:separator/>
      </w:r>
    </w:p>
  </w:footnote>
  <w:footnote w:type="continuationSeparator" w:id="0">
    <w:p w14:paraId="245B9B49" w14:textId="77777777" w:rsidR="007E7EDB" w:rsidRDefault="007E7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7DC"/>
    <w:multiLevelType w:val="hybridMultilevel"/>
    <w:tmpl w:val="135E741E"/>
    <w:lvl w:ilvl="0" w:tplc="1EA29B20">
      <w:start w:val="1"/>
      <w:numFmt w:val="decimal"/>
      <w:lvlText w:val="%1."/>
      <w:lvlJc w:val="left"/>
      <w:pPr>
        <w:ind w:left="37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1" w:tplc="B4AEED36">
      <w:start w:val="1"/>
      <w:numFmt w:val="lowerLetter"/>
      <w:lvlText w:val="%2"/>
      <w:lvlJc w:val="left"/>
      <w:pPr>
        <w:ind w:left="108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2" w:tplc="C9C6614C">
      <w:start w:val="1"/>
      <w:numFmt w:val="lowerRoman"/>
      <w:lvlText w:val="%3"/>
      <w:lvlJc w:val="left"/>
      <w:pPr>
        <w:ind w:left="180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3" w:tplc="342839EE">
      <w:start w:val="1"/>
      <w:numFmt w:val="decimal"/>
      <w:lvlText w:val="%4"/>
      <w:lvlJc w:val="left"/>
      <w:pPr>
        <w:ind w:left="252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4" w:tplc="C444DD8E">
      <w:start w:val="1"/>
      <w:numFmt w:val="lowerLetter"/>
      <w:lvlText w:val="%5"/>
      <w:lvlJc w:val="left"/>
      <w:pPr>
        <w:ind w:left="324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5" w:tplc="2586FB1A">
      <w:start w:val="1"/>
      <w:numFmt w:val="lowerRoman"/>
      <w:lvlText w:val="%6"/>
      <w:lvlJc w:val="left"/>
      <w:pPr>
        <w:ind w:left="396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6" w:tplc="A714471A">
      <w:start w:val="1"/>
      <w:numFmt w:val="decimal"/>
      <w:lvlText w:val="%7"/>
      <w:lvlJc w:val="left"/>
      <w:pPr>
        <w:ind w:left="468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7" w:tplc="4594CC0E">
      <w:start w:val="1"/>
      <w:numFmt w:val="lowerLetter"/>
      <w:lvlText w:val="%8"/>
      <w:lvlJc w:val="left"/>
      <w:pPr>
        <w:ind w:left="540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8" w:tplc="F2EC0062">
      <w:start w:val="1"/>
      <w:numFmt w:val="lowerRoman"/>
      <w:lvlText w:val="%9"/>
      <w:lvlJc w:val="left"/>
      <w:pPr>
        <w:ind w:left="612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abstractNum>
  <w:num w:numId="1" w16cid:durableId="72202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F7"/>
    <w:rsid w:val="0007270A"/>
    <w:rsid w:val="007E7EDB"/>
    <w:rsid w:val="00A26B59"/>
    <w:rsid w:val="00AC27AB"/>
    <w:rsid w:val="00BB28B6"/>
    <w:rsid w:val="00BB69AA"/>
    <w:rsid w:val="00C00AF7"/>
    <w:rsid w:val="00EA67D3"/>
    <w:rsid w:val="00F3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A650"/>
  <w15:chartTrackingRefBased/>
  <w15:docId w15:val="{F5B471CB-51A2-486A-828C-3E4E7463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AF7"/>
    <w:rPr>
      <w:rFonts w:eastAsiaTheme="majorEastAsia" w:cstheme="majorBidi"/>
      <w:color w:val="272727" w:themeColor="text1" w:themeTint="D8"/>
    </w:rPr>
  </w:style>
  <w:style w:type="paragraph" w:styleId="Title">
    <w:name w:val="Title"/>
    <w:basedOn w:val="Normal"/>
    <w:next w:val="Normal"/>
    <w:link w:val="TitleChar"/>
    <w:uiPriority w:val="10"/>
    <w:qFormat/>
    <w:rsid w:val="00C00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AF7"/>
    <w:pPr>
      <w:spacing w:before="160"/>
      <w:jc w:val="center"/>
    </w:pPr>
    <w:rPr>
      <w:i/>
      <w:iCs/>
      <w:color w:val="404040" w:themeColor="text1" w:themeTint="BF"/>
    </w:rPr>
  </w:style>
  <w:style w:type="character" w:customStyle="1" w:styleId="QuoteChar">
    <w:name w:val="Quote Char"/>
    <w:basedOn w:val="DefaultParagraphFont"/>
    <w:link w:val="Quote"/>
    <w:uiPriority w:val="29"/>
    <w:rsid w:val="00C00AF7"/>
    <w:rPr>
      <w:i/>
      <w:iCs/>
      <w:color w:val="404040" w:themeColor="text1" w:themeTint="BF"/>
    </w:rPr>
  </w:style>
  <w:style w:type="paragraph" w:styleId="ListParagraph">
    <w:name w:val="List Paragraph"/>
    <w:basedOn w:val="Normal"/>
    <w:uiPriority w:val="34"/>
    <w:qFormat/>
    <w:rsid w:val="00C00AF7"/>
    <w:pPr>
      <w:ind w:left="720"/>
      <w:contextualSpacing/>
    </w:pPr>
  </w:style>
  <w:style w:type="character" w:styleId="IntenseEmphasis">
    <w:name w:val="Intense Emphasis"/>
    <w:basedOn w:val="DefaultParagraphFont"/>
    <w:uiPriority w:val="21"/>
    <w:qFormat/>
    <w:rsid w:val="00C00AF7"/>
    <w:rPr>
      <w:i/>
      <w:iCs/>
      <w:color w:val="0F4761" w:themeColor="accent1" w:themeShade="BF"/>
    </w:rPr>
  </w:style>
  <w:style w:type="paragraph" w:styleId="IntenseQuote">
    <w:name w:val="Intense Quote"/>
    <w:basedOn w:val="Normal"/>
    <w:next w:val="Normal"/>
    <w:link w:val="IntenseQuoteChar"/>
    <w:uiPriority w:val="30"/>
    <w:qFormat/>
    <w:rsid w:val="00C00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AF7"/>
    <w:rPr>
      <w:i/>
      <w:iCs/>
      <w:color w:val="0F4761" w:themeColor="accent1" w:themeShade="BF"/>
    </w:rPr>
  </w:style>
  <w:style w:type="character" w:styleId="IntenseReference">
    <w:name w:val="Intense Reference"/>
    <w:basedOn w:val="DefaultParagraphFont"/>
    <w:uiPriority w:val="32"/>
    <w:qFormat/>
    <w:rsid w:val="00C00AF7"/>
    <w:rPr>
      <w:b/>
      <w:bCs/>
      <w:smallCaps/>
      <w:color w:val="0F4761" w:themeColor="accent1" w:themeShade="BF"/>
      <w:spacing w:val="5"/>
    </w:rPr>
  </w:style>
  <w:style w:type="paragraph" w:styleId="Header">
    <w:name w:val="header"/>
    <w:basedOn w:val="Normal"/>
    <w:link w:val="HeaderChar"/>
    <w:uiPriority w:val="99"/>
    <w:unhideWhenUsed/>
    <w:rsid w:val="00AC2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Henriksen</dc:creator>
  <cp:keywords/>
  <dc:description/>
  <cp:lastModifiedBy>Dave Henriksen</cp:lastModifiedBy>
  <cp:revision>4</cp:revision>
  <dcterms:created xsi:type="dcterms:W3CDTF">2025-01-15T17:37:00Z</dcterms:created>
  <dcterms:modified xsi:type="dcterms:W3CDTF">2025-04-23T14:29:00Z</dcterms:modified>
</cp:coreProperties>
</file>