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13" w:rsidRPr="0035289F" w:rsidRDefault="0025417D" w:rsidP="00152413">
      <w:pPr>
        <w:spacing w:after="0" w:line="240" w:lineRule="auto"/>
        <w:jc w:val="center"/>
        <w:rPr>
          <w:sz w:val="32"/>
          <w:szCs w:val="32"/>
        </w:rPr>
      </w:pPr>
      <w:r w:rsidRPr="0035289F">
        <w:rPr>
          <w:b/>
          <w:sz w:val="32"/>
          <w:szCs w:val="32"/>
        </w:rPr>
        <w:t xml:space="preserve">2023 </w:t>
      </w:r>
      <w:r w:rsidR="00152413" w:rsidRPr="0035289F">
        <w:rPr>
          <w:b/>
          <w:sz w:val="32"/>
          <w:szCs w:val="32"/>
        </w:rPr>
        <w:t>Michigan Fundraising Climate Survey</w:t>
      </w:r>
      <w:r w:rsidR="00A34470" w:rsidRPr="0035289F">
        <w:rPr>
          <w:b/>
          <w:sz w:val="32"/>
          <w:szCs w:val="32"/>
        </w:rPr>
        <w:t xml:space="preserve">  </w:t>
      </w:r>
    </w:p>
    <w:p w:rsidR="00152413" w:rsidRPr="00152413" w:rsidRDefault="00152413" w:rsidP="00152413">
      <w:pPr>
        <w:spacing w:after="0" w:line="240" w:lineRule="auto"/>
        <w:jc w:val="center"/>
        <w:rPr>
          <w:sz w:val="24"/>
          <w:szCs w:val="24"/>
        </w:rPr>
      </w:pPr>
      <w:r w:rsidRPr="00152413">
        <w:rPr>
          <w:sz w:val="24"/>
          <w:szCs w:val="24"/>
        </w:rPr>
        <w:t>Montgomery Consulting, Inc.</w:t>
      </w:r>
    </w:p>
    <w:p w:rsidR="00152413" w:rsidRDefault="000D0736" w:rsidP="00152413">
      <w:pPr>
        <w:spacing w:after="0" w:line="240" w:lineRule="auto"/>
        <w:jc w:val="center"/>
        <w:rPr>
          <w:sz w:val="24"/>
          <w:szCs w:val="24"/>
        </w:rPr>
      </w:pPr>
      <w:r>
        <w:rPr>
          <w:sz w:val="24"/>
          <w:szCs w:val="24"/>
        </w:rPr>
        <w:t>Spring 2023</w:t>
      </w:r>
    </w:p>
    <w:p w:rsidR="00152413" w:rsidRDefault="00152413" w:rsidP="00152413">
      <w:pPr>
        <w:spacing w:after="0" w:line="240" w:lineRule="auto"/>
        <w:jc w:val="center"/>
        <w:rPr>
          <w:sz w:val="24"/>
          <w:szCs w:val="24"/>
        </w:rPr>
      </w:pPr>
    </w:p>
    <w:p w:rsidR="00080831" w:rsidRDefault="00A40CCC">
      <w:pPr>
        <w:rPr>
          <w:sz w:val="20"/>
          <w:szCs w:val="20"/>
        </w:rPr>
      </w:pPr>
      <w:r w:rsidRPr="0035289F">
        <w:rPr>
          <w:sz w:val="20"/>
          <w:szCs w:val="20"/>
        </w:rPr>
        <w:t xml:space="preserve">This </w:t>
      </w:r>
      <w:r w:rsidR="00A0657B" w:rsidRPr="0035289F">
        <w:rPr>
          <w:sz w:val="20"/>
          <w:szCs w:val="20"/>
        </w:rPr>
        <w:t xml:space="preserve">is the </w:t>
      </w:r>
      <w:r w:rsidR="0025417D" w:rsidRPr="0035289F">
        <w:rPr>
          <w:sz w:val="20"/>
          <w:szCs w:val="20"/>
        </w:rPr>
        <w:t>11</w:t>
      </w:r>
      <w:r w:rsidRPr="0035289F">
        <w:rPr>
          <w:sz w:val="20"/>
          <w:szCs w:val="20"/>
          <w:vertAlign w:val="superscript"/>
        </w:rPr>
        <w:t>th</w:t>
      </w:r>
      <w:r w:rsidRPr="0035289F">
        <w:rPr>
          <w:sz w:val="20"/>
          <w:szCs w:val="20"/>
        </w:rPr>
        <w:t xml:space="preserve"> edition of the</w:t>
      </w:r>
      <w:r w:rsidRPr="0035289F">
        <w:rPr>
          <w:i/>
          <w:sz w:val="20"/>
          <w:szCs w:val="20"/>
        </w:rPr>
        <w:t xml:space="preserve"> Michigan Fundraising </w:t>
      </w:r>
      <w:r w:rsidR="00A0657B" w:rsidRPr="0035289F">
        <w:rPr>
          <w:i/>
          <w:sz w:val="20"/>
          <w:szCs w:val="20"/>
        </w:rPr>
        <w:t>Climate Survey</w:t>
      </w:r>
      <w:r w:rsidR="0057290E" w:rsidRPr="0035289F">
        <w:rPr>
          <w:i/>
          <w:sz w:val="20"/>
          <w:szCs w:val="20"/>
        </w:rPr>
        <w:t xml:space="preserve"> </w:t>
      </w:r>
      <w:r w:rsidR="0057290E" w:rsidRPr="0035289F">
        <w:rPr>
          <w:sz w:val="20"/>
          <w:szCs w:val="20"/>
        </w:rPr>
        <w:t>from Montgomery Consulting, Inc</w:t>
      </w:r>
      <w:r w:rsidR="00822548" w:rsidRPr="0035289F">
        <w:rPr>
          <w:sz w:val="20"/>
          <w:szCs w:val="20"/>
        </w:rPr>
        <w:t>. This year’s</w:t>
      </w:r>
      <w:r w:rsidR="00A0657B" w:rsidRPr="0035289F">
        <w:rPr>
          <w:sz w:val="20"/>
          <w:szCs w:val="20"/>
        </w:rPr>
        <w:t xml:space="preserve"> </w:t>
      </w:r>
      <w:r w:rsidR="00A0657B" w:rsidRPr="0035289F">
        <w:rPr>
          <w:i/>
          <w:sz w:val="20"/>
          <w:szCs w:val="20"/>
        </w:rPr>
        <w:t>Su</w:t>
      </w:r>
      <w:r w:rsidRPr="0035289F">
        <w:rPr>
          <w:i/>
          <w:sz w:val="20"/>
          <w:szCs w:val="20"/>
        </w:rPr>
        <w:t>rvey</w:t>
      </w:r>
      <w:r w:rsidRPr="0035289F">
        <w:rPr>
          <w:sz w:val="20"/>
          <w:szCs w:val="20"/>
        </w:rPr>
        <w:t xml:space="preserve"> uses </w:t>
      </w:r>
      <w:r w:rsidR="00822548" w:rsidRPr="0035289F">
        <w:rPr>
          <w:sz w:val="20"/>
          <w:szCs w:val="20"/>
        </w:rPr>
        <w:t xml:space="preserve">63 </w:t>
      </w:r>
      <w:r w:rsidR="00A33467">
        <w:rPr>
          <w:sz w:val="20"/>
          <w:szCs w:val="20"/>
        </w:rPr>
        <w:t xml:space="preserve">valid </w:t>
      </w:r>
      <w:r w:rsidRPr="0035289F">
        <w:rPr>
          <w:sz w:val="20"/>
          <w:szCs w:val="20"/>
        </w:rPr>
        <w:t xml:space="preserve">responses </w:t>
      </w:r>
      <w:r w:rsidR="00CD2D84" w:rsidRPr="0035289F">
        <w:rPr>
          <w:sz w:val="20"/>
          <w:szCs w:val="20"/>
        </w:rPr>
        <w:t xml:space="preserve">from leaders at a </w:t>
      </w:r>
      <w:r w:rsidR="005A48B7" w:rsidRPr="0035289F">
        <w:rPr>
          <w:sz w:val="20"/>
          <w:szCs w:val="20"/>
        </w:rPr>
        <w:t xml:space="preserve">stratified </w:t>
      </w:r>
      <w:r w:rsidR="00EA5878" w:rsidRPr="0035289F">
        <w:rPr>
          <w:sz w:val="20"/>
          <w:szCs w:val="20"/>
        </w:rPr>
        <w:t>sample of Michigan nonprofit organizations to estimate cond</w:t>
      </w:r>
      <w:r w:rsidR="00A0657B" w:rsidRPr="0035289F">
        <w:rPr>
          <w:sz w:val="20"/>
          <w:szCs w:val="20"/>
        </w:rPr>
        <w:t xml:space="preserve">itions and </w:t>
      </w:r>
      <w:r w:rsidR="0057290E" w:rsidRPr="0035289F">
        <w:rPr>
          <w:sz w:val="20"/>
          <w:szCs w:val="20"/>
        </w:rPr>
        <w:t xml:space="preserve">predict </w:t>
      </w:r>
      <w:r w:rsidR="00A0657B" w:rsidRPr="0035289F">
        <w:rPr>
          <w:sz w:val="20"/>
          <w:szCs w:val="20"/>
        </w:rPr>
        <w:t xml:space="preserve">attitudes across Michigan’s </w:t>
      </w:r>
      <w:r w:rsidR="00EA5878" w:rsidRPr="0035289F">
        <w:rPr>
          <w:sz w:val="20"/>
          <w:szCs w:val="20"/>
        </w:rPr>
        <w:t xml:space="preserve">nonprofit community as a whole. We observe the norms of </w:t>
      </w:r>
      <w:r w:rsidR="00A0657B" w:rsidRPr="0035289F">
        <w:rPr>
          <w:sz w:val="20"/>
          <w:szCs w:val="20"/>
        </w:rPr>
        <w:t xml:space="preserve">professional </w:t>
      </w:r>
      <w:r w:rsidR="00EA5878" w:rsidRPr="0035289F">
        <w:rPr>
          <w:sz w:val="20"/>
          <w:szCs w:val="20"/>
        </w:rPr>
        <w:t>social science and</w:t>
      </w:r>
      <w:r w:rsidR="00F21EBA">
        <w:rPr>
          <w:sz w:val="20"/>
          <w:szCs w:val="20"/>
        </w:rPr>
        <w:t xml:space="preserve"> so</w:t>
      </w:r>
      <w:r w:rsidR="00EA5878" w:rsidRPr="0035289F">
        <w:rPr>
          <w:sz w:val="20"/>
          <w:szCs w:val="20"/>
        </w:rPr>
        <w:t xml:space="preserve"> believe our results to</w:t>
      </w:r>
      <w:r w:rsidR="00E108EF" w:rsidRPr="0035289F">
        <w:rPr>
          <w:sz w:val="20"/>
          <w:szCs w:val="20"/>
        </w:rPr>
        <w:t xml:space="preserve"> be accurate for the</w:t>
      </w:r>
      <w:r w:rsidR="00EA5878" w:rsidRPr="0035289F">
        <w:rPr>
          <w:sz w:val="20"/>
          <w:szCs w:val="20"/>
        </w:rPr>
        <w:t xml:space="preserve"> </w:t>
      </w:r>
      <w:r w:rsidR="00E108EF" w:rsidRPr="0035289F">
        <w:rPr>
          <w:sz w:val="20"/>
          <w:szCs w:val="20"/>
        </w:rPr>
        <w:t xml:space="preserve">specific </w:t>
      </w:r>
      <w:r w:rsidR="00EA5878" w:rsidRPr="0035289F">
        <w:rPr>
          <w:sz w:val="20"/>
          <w:szCs w:val="20"/>
        </w:rPr>
        <w:t>questio</w:t>
      </w:r>
      <w:r w:rsidR="00A0657B" w:rsidRPr="0035289F">
        <w:rPr>
          <w:sz w:val="20"/>
          <w:szCs w:val="20"/>
        </w:rPr>
        <w:t xml:space="preserve">ns we </w:t>
      </w:r>
      <w:r w:rsidR="00550E73" w:rsidRPr="0035289F">
        <w:rPr>
          <w:sz w:val="20"/>
          <w:szCs w:val="20"/>
        </w:rPr>
        <w:t xml:space="preserve">ask and issues we </w:t>
      </w:r>
      <w:r w:rsidR="00A0657B" w:rsidRPr="0035289F">
        <w:rPr>
          <w:sz w:val="20"/>
          <w:szCs w:val="20"/>
        </w:rPr>
        <w:t>cover</w:t>
      </w:r>
      <w:r w:rsidR="00EA5878" w:rsidRPr="0035289F">
        <w:rPr>
          <w:sz w:val="20"/>
          <w:szCs w:val="20"/>
        </w:rPr>
        <w:t>.</w:t>
      </w:r>
      <w:r w:rsidR="00152413" w:rsidRPr="0035289F">
        <w:rPr>
          <w:sz w:val="20"/>
          <w:szCs w:val="20"/>
        </w:rPr>
        <w:t xml:space="preserve"> </w:t>
      </w:r>
      <w:r w:rsidR="00F21EBA">
        <w:rPr>
          <w:sz w:val="20"/>
          <w:szCs w:val="20"/>
        </w:rPr>
        <w:t xml:space="preserve">For more information </w:t>
      </w:r>
      <w:r w:rsidR="00A0657B" w:rsidRPr="0035289F">
        <w:rPr>
          <w:sz w:val="20"/>
          <w:szCs w:val="20"/>
        </w:rPr>
        <w:t xml:space="preserve">on </w:t>
      </w:r>
      <w:r w:rsidR="00E108EF" w:rsidRPr="0035289F">
        <w:rPr>
          <w:sz w:val="20"/>
          <w:szCs w:val="20"/>
        </w:rPr>
        <w:t xml:space="preserve">our process, </w:t>
      </w:r>
      <w:r w:rsidR="0035289F">
        <w:rPr>
          <w:sz w:val="20"/>
          <w:szCs w:val="20"/>
        </w:rPr>
        <w:t>see</w:t>
      </w:r>
      <w:r w:rsidR="00550E73" w:rsidRPr="0035289F">
        <w:rPr>
          <w:sz w:val="20"/>
          <w:szCs w:val="20"/>
        </w:rPr>
        <w:t xml:space="preserve"> Section </w:t>
      </w:r>
      <w:r w:rsidR="0035289F">
        <w:rPr>
          <w:sz w:val="20"/>
          <w:szCs w:val="20"/>
        </w:rPr>
        <w:t>V</w:t>
      </w:r>
      <w:r w:rsidR="00A0657B" w:rsidRPr="0035289F">
        <w:rPr>
          <w:sz w:val="20"/>
          <w:szCs w:val="20"/>
        </w:rPr>
        <w:t>.</w:t>
      </w:r>
    </w:p>
    <w:p w:rsidR="00A33467" w:rsidRPr="00A33467" w:rsidRDefault="00A33467" w:rsidP="00A33467">
      <w:pPr>
        <w:rPr>
          <w:rFonts w:cstheme="minorHAnsi"/>
          <w:b/>
          <w:sz w:val="28"/>
          <w:szCs w:val="28"/>
        </w:rPr>
      </w:pPr>
      <w:r>
        <w:rPr>
          <w:rFonts w:cstheme="minorHAnsi"/>
          <w:b/>
          <w:sz w:val="28"/>
          <w:szCs w:val="28"/>
        </w:rPr>
        <w:t>The Takeaway</w:t>
      </w:r>
      <w:r w:rsidRPr="00A33467">
        <w:rPr>
          <w:rFonts w:cstheme="minorHAnsi"/>
          <w:b/>
          <w:sz w:val="28"/>
          <w:szCs w:val="28"/>
        </w:rPr>
        <w:t xml:space="preserve">: </w:t>
      </w:r>
      <w:r>
        <w:rPr>
          <w:rFonts w:cstheme="minorHAnsi"/>
          <w:b/>
          <w:sz w:val="28"/>
          <w:szCs w:val="28"/>
        </w:rPr>
        <w:t xml:space="preserve"> </w:t>
      </w:r>
    </w:p>
    <w:p w:rsidR="00A33467" w:rsidRPr="00143F50" w:rsidRDefault="00A33467" w:rsidP="00A33467">
      <w:pPr>
        <w:rPr>
          <w:rFonts w:cstheme="minorHAnsi"/>
          <w:i/>
          <w:sz w:val="20"/>
          <w:szCs w:val="20"/>
        </w:rPr>
      </w:pPr>
      <w:r>
        <w:rPr>
          <w:rFonts w:cstheme="minorHAnsi"/>
          <w:i/>
          <w:sz w:val="20"/>
          <w:szCs w:val="20"/>
        </w:rPr>
        <w:t>T</w:t>
      </w:r>
      <w:r w:rsidRPr="00143F50">
        <w:rPr>
          <w:rFonts w:cstheme="minorHAnsi"/>
          <w:i/>
          <w:sz w:val="20"/>
          <w:szCs w:val="20"/>
        </w:rPr>
        <w:t xml:space="preserve">his year’s respondents were </w:t>
      </w:r>
      <w:r>
        <w:rPr>
          <w:rFonts w:cstheme="minorHAnsi"/>
          <w:i/>
          <w:sz w:val="20"/>
          <w:szCs w:val="20"/>
        </w:rPr>
        <w:t xml:space="preserve">noticeably </w:t>
      </w:r>
      <w:r w:rsidRPr="00143F50">
        <w:rPr>
          <w:rFonts w:cstheme="minorHAnsi"/>
          <w:i/>
          <w:sz w:val="20"/>
          <w:szCs w:val="20"/>
        </w:rPr>
        <w:t>less upbeat than our 2022 panel</w:t>
      </w:r>
      <w:r>
        <w:rPr>
          <w:rFonts w:cstheme="minorHAnsi"/>
          <w:i/>
          <w:sz w:val="20"/>
          <w:szCs w:val="20"/>
        </w:rPr>
        <w:t>. That</w:t>
      </w:r>
      <w:r w:rsidRPr="00143F50">
        <w:rPr>
          <w:rFonts w:cstheme="minorHAnsi"/>
          <w:i/>
          <w:sz w:val="20"/>
          <w:szCs w:val="20"/>
        </w:rPr>
        <w:t xml:space="preserve"> suggests</w:t>
      </w:r>
      <w:r>
        <w:rPr>
          <w:rFonts w:cstheme="minorHAnsi"/>
          <w:i/>
          <w:sz w:val="20"/>
          <w:szCs w:val="20"/>
        </w:rPr>
        <w:t xml:space="preserve"> real </w:t>
      </w:r>
      <w:r w:rsidRPr="00143F50">
        <w:rPr>
          <w:rFonts w:cstheme="minorHAnsi"/>
          <w:i/>
          <w:sz w:val="20"/>
          <w:szCs w:val="20"/>
        </w:rPr>
        <w:t xml:space="preserve">inflation and </w:t>
      </w:r>
      <w:r>
        <w:rPr>
          <w:rFonts w:cstheme="minorHAnsi"/>
          <w:i/>
          <w:sz w:val="20"/>
          <w:szCs w:val="20"/>
        </w:rPr>
        <w:t xml:space="preserve">possible </w:t>
      </w:r>
      <w:r w:rsidRPr="00143F50">
        <w:rPr>
          <w:rFonts w:cstheme="minorHAnsi"/>
          <w:i/>
          <w:sz w:val="20"/>
          <w:szCs w:val="20"/>
        </w:rPr>
        <w:t>r</w:t>
      </w:r>
      <w:r>
        <w:rPr>
          <w:rFonts w:cstheme="minorHAnsi"/>
          <w:i/>
          <w:sz w:val="20"/>
          <w:szCs w:val="20"/>
        </w:rPr>
        <w:t xml:space="preserve">ecession </w:t>
      </w:r>
      <w:r w:rsidRPr="00143F50">
        <w:rPr>
          <w:rFonts w:cstheme="minorHAnsi"/>
          <w:i/>
          <w:sz w:val="20"/>
          <w:szCs w:val="20"/>
        </w:rPr>
        <w:t>may be starting to take a toll</w:t>
      </w:r>
      <w:r>
        <w:rPr>
          <w:rFonts w:cstheme="minorHAnsi"/>
          <w:i/>
          <w:sz w:val="20"/>
          <w:szCs w:val="20"/>
        </w:rPr>
        <w:t xml:space="preserve"> on</w:t>
      </w:r>
      <w:r w:rsidR="00A67B77">
        <w:rPr>
          <w:rFonts w:cstheme="minorHAnsi"/>
          <w:i/>
          <w:sz w:val="20"/>
          <w:szCs w:val="20"/>
        </w:rPr>
        <w:t xml:space="preserve"> both</w:t>
      </w:r>
      <w:r w:rsidRPr="00143F50">
        <w:rPr>
          <w:rFonts w:cstheme="minorHAnsi"/>
          <w:i/>
          <w:sz w:val="20"/>
          <w:szCs w:val="20"/>
        </w:rPr>
        <w:t xml:space="preserve"> fundraising results and how nonprofit leaders</w:t>
      </w:r>
      <w:r>
        <w:rPr>
          <w:rFonts w:cstheme="minorHAnsi"/>
          <w:i/>
          <w:sz w:val="20"/>
          <w:szCs w:val="20"/>
        </w:rPr>
        <w:t xml:space="preserve"> rate Michigan’s </w:t>
      </w:r>
      <w:r w:rsidRPr="00143F50">
        <w:rPr>
          <w:rFonts w:cstheme="minorHAnsi"/>
          <w:i/>
          <w:sz w:val="20"/>
          <w:szCs w:val="20"/>
        </w:rPr>
        <w:t>c</w:t>
      </w:r>
      <w:r>
        <w:rPr>
          <w:rFonts w:cstheme="minorHAnsi"/>
          <w:i/>
          <w:sz w:val="20"/>
          <w:szCs w:val="20"/>
        </w:rPr>
        <w:t>urrent c</w:t>
      </w:r>
      <w:r w:rsidR="002D20AD">
        <w:rPr>
          <w:rFonts w:cstheme="minorHAnsi"/>
          <w:i/>
          <w:sz w:val="20"/>
          <w:szCs w:val="20"/>
        </w:rPr>
        <w:t xml:space="preserve">limate for </w:t>
      </w:r>
      <w:bookmarkStart w:id="0" w:name="_GoBack"/>
      <w:bookmarkEnd w:id="0"/>
      <w:r w:rsidRPr="00143F50">
        <w:rPr>
          <w:rFonts w:cstheme="minorHAnsi"/>
          <w:i/>
          <w:sz w:val="20"/>
          <w:szCs w:val="20"/>
        </w:rPr>
        <w:t xml:space="preserve">fundraising.  </w:t>
      </w:r>
    </w:p>
    <w:p w:rsidR="00080831" w:rsidRPr="00B76436" w:rsidRDefault="0071643B" w:rsidP="002C5381">
      <w:pPr>
        <w:pStyle w:val="ListParagraph"/>
        <w:numPr>
          <w:ilvl w:val="0"/>
          <w:numId w:val="12"/>
        </w:numPr>
        <w:rPr>
          <w:sz w:val="28"/>
          <w:szCs w:val="28"/>
        </w:rPr>
      </w:pPr>
      <w:r w:rsidRPr="00B76436">
        <w:rPr>
          <w:b/>
          <w:sz w:val="28"/>
          <w:szCs w:val="28"/>
        </w:rPr>
        <w:t>Fundraising Performance and Trends</w:t>
      </w:r>
    </w:p>
    <w:p w:rsidR="007441D5" w:rsidRPr="0035289F" w:rsidRDefault="00080831">
      <w:pPr>
        <w:rPr>
          <w:sz w:val="20"/>
          <w:szCs w:val="20"/>
        </w:rPr>
      </w:pPr>
      <w:r w:rsidRPr="002933C1">
        <w:rPr>
          <w:b/>
        </w:rPr>
        <w:t xml:space="preserve">#1 </w:t>
      </w:r>
      <w:r w:rsidR="00B076C0">
        <w:rPr>
          <w:b/>
        </w:rPr>
        <w:t>–</w:t>
      </w:r>
      <w:r w:rsidRPr="002933C1">
        <w:rPr>
          <w:b/>
        </w:rPr>
        <w:t xml:space="preserve"> </w:t>
      </w:r>
      <w:r w:rsidR="005862B2">
        <w:rPr>
          <w:b/>
        </w:rPr>
        <w:t>Fewer organizations reported raising</w:t>
      </w:r>
      <w:r w:rsidR="00A33467">
        <w:rPr>
          <w:b/>
        </w:rPr>
        <w:t xml:space="preserve"> more money. </w:t>
      </w:r>
      <w:r w:rsidR="0077429A">
        <w:rPr>
          <w:sz w:val="20"/>
          <w:szCs w:val="20"/>
        </w:rPr>
        <w:t>Last year</w:t>
      </w:r>
      <w:r w:rsidR="00B076C0">
        <w:rPr>
          <w:sz w:val="20"/>
          <w:szCs w:val="20"/>
        </w:rPr>
        <w:t xml:space="preserve">, </w:t>
      </w:r>
      <w:r w:rsidR="0077429A">
        <w:rPr>
          <w:sz w:val="20"/>
          <w:szCs w:val="20"/>
        </w:rPr>
        <w:t xml:space="preserve">a record high </w:t>
      </w:r>
      <w:r w:rsidR="007441D5" w:rsidRPr="0035289F">
        <w:rPr>
          <w:sz w:val="20"/>
          <w:szCs w:val="20"/>
        </w:rPr>
        <w:t xml:space="preserve">59% of </w:t>
      </w:r>
      <w:r w:rsidR="0077429A">
        <w:rPr>
          <w:sz w:val="20"/>
          <w:szCs w:val="20"/>
        </w:rPr>
        <w:t xml:space="preserve">our </w:t>
      </w:r>
      <w:r w:rsidR="007441D5" w:rsidRPr="0035289F">
        <w:rPr>
          <w:sz w:val="20"/>
          <w:szCs w:val="20"/>
        </w:rPr>
        <w:t xml:space="preserve">respondents reported </w:t>
      </w:r>
      <w:r w:rsidR="0035289F">
        <w:rPr>
          <w:sz w:val="20"/>
          <w:szCs w:val="20"/>
        </w:rPr>
        <w:t>“</w:t>
      </w:r>
      <w:r w:rsidR="007441D5" w:rsidRPr="0035289F">
        <w:rPr>
          <w:sz w:val="20"/>
          <w:szCs w:val="20"/>
        </w:rPr>
        <w:t>Much Better</w:t>
      </w:r>
      <w:r w:rsidR="0035289F">
        <w:rPr>
          <w:sz w:val="20"/>
          <w:szCs w:val="20"/>
        </w:rPr>
        <w:t>”</w:t>
      </w:r>
      <w:r w:rsidR="007441D5" w:rsidRPr="0035289F">
        <w:rPr>
          <w:sz w:val="20"/>
          <w:szCs w:val="20"/>
        </w:rPr>
        <w:t xml:space="preserve"> or </w:t>
      </w:r>
      <w:r w:rsidR="0035289F">
        <w:rPr>
          <w:sz w:val="20"/>
          <w:szCs w:val="20"/>
        </w:rPr>
        <w:t>“</w:t>
      </w:r>
      <w:r w:rsidR="007441D5" w:rsidRPr="0035289F">
        <w:rPr>
          <w:sz w:val="20"/>
          <w:szCs w:val="20"/>
        </w:rPr>
        <w:t>Somewhat Better</w:t>
      </w:r>
      <w:r w:rsidR="0035289F">
        <w:rPr>
          <w:sz w:val="20"/>
          <w:szCs w:val="20"/>
        </w:rPr>
        <w:t>”</w:t>
      </w:r>
      <w:r w:rsidR="007441D5" w:rsidRPr="0035289F">
        <w:rPr>
          <w:sz w:val="20"/>
          <w:szCs w:val="20"/>
        </w:rPr>
        <w:t xml:space="preserve"> </w:t>
      </w:r>
      <w:r w:rsidR="00A33467">
        <w:rPr>
          <w:sz w:val="20"/>
          <w:szCs w:val="20"/>
        </w:rPr>
        <w:t xml:space="preserve">year-over-year </w:t>
      </w:r>
      <w:r w:rsidR="007441D5" w:rsidRPr="0035289F">
        <w:rPr>
          <w:sz w:val="20"/>
          <w:szCs w:val="20"/>
        </w:rPr>
        <w:t>fundraisi</w:t>
      </w:r>
      <w:r w:rsidR="00572A46">
        <w:rPr>
          <w:sz w:val="20"/>
          <w:szCs w:val="20"/>
        </w:rPr>
        <w:t>ng results</w:t>
      </w:r>
      <w:r w:rsidR="0077429A">
        <w:rPr>
          <w:sz w:val="20"/>
          <w:szCs w:val="20"/>
        </w:rPr>
        <w:t>. This year, that dropped to 44% but</w:t>
      </w:r>
      <w:r w:rsidR="0035289F">
        <w:rPr>
          <w:sz w:val="20"/>
          <w:szCs w:val="20"/>
        </w:rPr>
        <w:t xml:space="preserve"> </w:t>
      </w:r>
      <w:r w:rsidR="00572A46">
        <w:rPr>
          <w:sz w:val="20"/>
          <w:szCs w:val="20"/>
        </w:rPr>
        <w:t>is consistent with the longer term</w:t>
      </w:r>
      <w:r w:rsidR="0035289F">
        <w:rPr>
          <w:sz w:val="20"/>
          <w:szCs w:val="20"/>
        </w:rPr>
        <w:t xml:space="preserve"> </w:t>
      </w:r>
      <w:r w:rsidR="00B076C0">
        <w:rPr>
          <w:sz w:val="20"/>
          <w:szCs w:val="20"/>
        </w:rPr>
        <w:t>trend of</w:t>
      </w:r>
      <w:r w:rsidR="0035289F">
        <w:rPr>
          <w:sz w:val="20"/>
          <w:szCs w:val="20"/>
        </w:rPr>
        <w:t xml:space="preserve"> </w:t>
      </w:r>
      <w:r w:rsidR="0077429A">
        <w:rPr>
          <w:sz w:val="20"/>
          <w:szCs w:val="20"/>
        </w:rPr>
        <w:t>roughly 70%</w:t>
      </w:r>
      <w:r w:rsidR="0035289F">
        <w:rPr>
          <w:sz w:val="20"/>
          <w:szCs w:val="20"/>
        </w:rPr>
        <w:t xml:space="preserve"> our respondents </w:t>
      </w:r>
      <w:r w:rsidR="00A33467">
        <w:rPr>
          <w:sz w:val="20"/>
          <w:szCs w:val="20"/>
        </w:rPr>
        <w:t>raising</w:t>
      </w:r>
      <w:r w:rsidR="0035289F">
        <w:rPr>
          <w:sz w:val="20"/>
          <w:szCs w:val="20"/>
        </w:rPr>
        <w:t xml:space="preserve"> a</w:t>
      </w:r>
      <w:r w:rsidR="00572A46">
        <w:rPr>
          <w:sz w:val="20"/>
          <w:szCs w:val="20"/>
        </w:rPr>
        <w:t>t least as much money in t</w:t>
      </w:r>
      <w:r w:rsidR="0077429A">
        <w:rPr>
          <w:sz w:val="20"/>
          <w:szCs w:val="20"/>
        </w:rPr>
        <w:t>he year just concluded as they did</w:t>
      </w:r>
      <w:r w:rsidR="00572A46">
        <w:rPr>
          <w:sz w:val="20"/>
          <w:szCs w:val="20"/>
        </w:rPr>
        <w:t xml:space="preserve"> year before (see the bold horizontal line on the chart below).</w:t>
      </w:r>
      <w:r w:rsidR="00F21EBA">
        <w:rPr>
          <w:sz w:val="20"/>
          <w:szCs w:val="20"/>
        </w:rPr>
        <w:t xml:space="preserve"> </w:t>
      </w:r>
      <w:r w:rsidR="0077429A">
        <w:rPr>
          <w:sz w:val="20"/>
          <w:szCs w:val="20"/>
        </w:rPr>
        <w:t>Interestingly</w:t>
      </w:r>
      <w:r w:rsidR="00F21EBA" w:rsidRPr="002933C1">
        <w:rPr>
          <w:sz w:val="20"/>
          <w:szCs w:val="20"/>
        </w:rPr>
        <w:t>, just 27% of metro Detroit respondents reported raising more money</w:t>
      </w:r>
      <w:r w:rsidR="0077429A">
        <w:rPr>
          <w:sz w:val="20"/>
          <w:szCs w:val="20"/>
        </w:rPr>
        <w:t xml:space="preserve"> with 23%  raising</w:t>
      </w:r>
      <w:r w:rsidR="00F21EBA" w:rsidRPr="002933C1">
        <w:rPr>
          <w:sz w:val="20"/>
          <w:szCs w:val="20"/>
        </w:rPr>
        <w:t xml:space="preserve"> about the “about the same”</w:t>
      </w:r>
      <w:r w:rsidR="0077429A">
        <w:rPr>
          <w:sz w:val="20"/>
          <w:szCs w:val="20"/>
        </w:rPr>
        <w:t xml:space="preserve"> amount of money and </w:t>
      </w:r>
      <w:r w:rsidR="00F21EBA" w:rsidRPr="002933C1">
        <w:rPr>
          <w:sz w:val="20"/>
          <w:szCs w:val="20"/>
        </w:rPr>
        <w:t>41% re</w:t>
      </w:r>
      <w:r w:rsidR="00B076C0">
        <w:rPr>
          <w:sz w:val="20"/>
          <w:szCs w:val="20"/>
        </w:rPr>
        <w:t>porting</w:t>
      </w:r>
      <w:r w:rsidR="00F21EBA" w:rsidRPr="002933C1">
        <w:rPr>
          <w:sz w:val="20"/>
          <w:szCs w:val="20"/>
        </w:rPr>
        <w:t xml:space="preserve"> worse or much worse fundraising results.</w:t>
      </w:r>
    </w:p>
    <w:p w:rsidR="00D86A22" w:rsidRDefault="00D86A22">
      <w:r>
        <w:rPr>
          <w:noProof/>
        </w:rPr>
        <w:drawing>
          <wp:inline distT="0" distB="0" distL="0" distR="0" wp14:anchorId="5AFB74A0" wp14:editId="0FC58718">
            <wp:extent cx="6111551" cy="2827176"/>
            <wp:effectExtent l="0" t="0" r="2286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5776" w:rsidRPr="005862B2" w:rsidRDefault="00C65776">
      <w:pPr>
        <w:rPr>
          <w:sz w:val="20"/>
          <w:szCs w:val="20"/>
        </w:rPr>
      </w:pPr>
      <w:r w:rsidRPr="00626479">
        <w:rPr>
          <w:b/>
        </w:rPr>
        <w:t xml:space="preserve">#2 </w:t>
      </w:r>
      <w:r w:rsidRPr="00F14E8C">
        <w:rPr>
          <w:b/>
        </w:rPr>
        <w:t xml:space="preserve">– </w:t>
      </w:r>
      <w:r w:rsidR="005862B2" w:rsidRPr="00F14E8C">
        <w:rPr>
          <w:rFonts w:cstheme="minorHAnsi"/>
          <w:b/>
        </w:rPr>
        <w:t>Fewer reported having met their fundraising goal</w:t>
      </w:r>
      <w:r w:rsidR="005862B2" w:rsidRPr="005862B2">
        <w:rPr>
          <w:rFonts w:cstheme="minorHAnsi"/>
          <w:b/>
          <w:sz w:val="24"/>
          <w:szCs w:val="24"/>
        </w:rPr>
        <w:t xml:space="preserve">. </w:t>
      </w:r>
      <w:r w:rsidRPr="005862B2">
        <w:t>This year, 56%</w:t>
      </w:r>
      <w:r w:rsidR="005B7271" w:rsidRPr="005862B2">
        <w:t xml:space="preserve"> </w:t>
      </w:r>
      <w:r w:rsidR="0070273C" w:rsidRPr="005862B2">
        <w:t>of our respondents</w:t>
      </w:r>
      <w:r w:rsidR="0072744E" w:rsidRPr="005862B2">
        <w:t xml:space="preserve"> </w:t>
      </w:r>
      <w:r w:rsidR="00165D2A" w:rsidRPr="005862B2">
        <w:t xml:space="preserve">reported </w:t>
      </w:r>
      <w:r w:rsidR="006C2A1C" w:rsidRPr="005862B2">
        <w:t>that</w:t>
      </w:r>
      <w:r w:rsidR="00550E73" w:rsidRPr="005862B2">
        <w:t xml:space="preserve"> their </w:t>
      </w:r>
      <w:r w:rsidRPr="005862B2">
        <w:t>organization had</w:t>
      </w:r>
      <w:r w:rsidR="00E35736" w:rsidRPr="005862B2">
        <w:t xml:space="preserve"> met its </w:t>
      </w:r>
      <w:r w:rsidR="005B7271" w:rsidRPr="005862B2">
        <w:t>2022</w:t>
      </w:r>
      <w:r w:rsidR="00165D2A" w:rsidRPr="005862B2">
        <w:t xml:space="preserve"> fundraising goal</w:t>
      </w:r>
      <w:r w:rsidRPr="005862B2">
        <w:t xml:space="preserve"> while 42% reported that their organization had not made goal</w:t>
      </w:r>
      <w:r w:rsidR="00165D2A" w:rsidRPr="005862B2">
        <w:t>.</w:t>
      </w:r>
      <w:r w:rsidR="00165D2A" w:rsidRPr="002933C1">
        <w:rPr>
          <w:b/>
          <w:sz w:val="20"/>
          <w:szCs w:val="20"/>
        </w:rPr>
        <w:t xml:space="preserve"> </w:t>
      </w:r>
      <w:r w:rsidR="005B7271" w:rsidRPr="002933C1">
        <w:rPr>
          <w:sz w:val="20"/>
          <w:szCs w:val="20"/>
        </w:rPr>
        <w:t>This is the highest proportion of responde</w:t>
      </w:r>
      <w:r w:rsidRPr="002933C1">
        <w:rPr>
          <w:sz w:val="20"/>
          <w:szCs w:val="20"/>
        </w:rPr>
        <w:t xml:space="preserve">nts reporting not making goal </w:t>
      </w:r>
      <w:r w:rsidR="002933C1">
        <w:rPr>
          <w:sz w:val="20"/>
          <w:szCs w:val="20"/>
        </w:rPr>
        <w:t xml:space="preserve">in all </w:t>
      </w:r>
      <w:r w:rsidR="005862B2">
        <w:rPr>
          <w:sz w:val="20"/>
          <w:szCs w:val="20"/>
        </w:rPr>
        <w:t>11 surveys of this series</w:t>
      </w:r>
      <w:r w:rsidR="005862B2" w:rsidRPr="005862B2">
        <w:rPr>
          <w:sz w:val="20"/>
          <w:szCs w:val="20"/>
        </w:rPr>
        <w:t xml:space="preserve">. </w:t>
      </w:r>
      <w:r w:rsidR="005862B2" w:rsidRPr="005862B2">
        <w:rPr>
          <w:rFonts w:cstheme="minorHAnsi"/>
          <w:sz w:val="20"/>
          <w:szCs w:val="20"/>
        </w:rPr>
        <w:lastRenderedPageBreak/>
        <w:t>About 1/3</w:t>
      </w:r>
      <w:r w:rsidR="005862B2" w:rsidRPr="005862B2">
        <w:rPr>
          <w:rFonts w:cstheme="minorHAnsi"/>
          <w:sz w:val="20"/>
          <w:szCs w:val="20"/>
          <w:vertAlign w:val="superscript"/>
        </w:rPr>
        <w:t>rd</w:t>
      </w:r>
      <w:r w:rsidR="005862B2" w:rsidRPr="005862B2">
        <w:rPr>
          <w:rFonts w:cstheme="minorHAnsi"/>
          <w:sz w:val="20"/>
          <w:szCs w:val="20"/>
        </w:rPr>
        <w:t xml:space="preserve"> of our respondents typically report having missed their fundraising goal in any given year.  To see that jump to 42% statewide is significant</w:t>
      </w:r>
      <w:r w:rsidR="005B7271" w:rsidRPr="005862B2">
        <w:rPr>
          <w:sz w:val="20"/>
          <w:szCs w:val="20"/>
        </w:rPr>
        <w:t xml:space="preserve"> </w:t>
      </w:r>
      <w:r w:rsidR="005862B2" w:rsidRPr="005862B2">
        <w:rPr>
          <w:sz w:val="20"/>
          <w:szCs w:val="20"/>
        </w:rPr>
        <w:t>and</w:t>
      </w:r>
      <w:r w:rsidR="00A67B77">
        <w:rPr>
          <w:sz w:val="20"/>
          <w:szCs w:val="20"/>
        </w:rPr>
        <w:t xml:space="preserve"> to</w:t>
      </w:r>
      <w:r w:rsidR="005862B2" w:rsidRPr="005862B2">
        <w:rPr>
          <w:sz w:val="20"/>
          <w:szCs w:val="20"/>
        </w:rPr>
        <w:t xml:space="preserve"> 59% for</w:t>
      </w:r>
      <w:r w:rsidR="00B640EC" w:rsidRPr="005862B2">
        <w:rPr>
          <w:sz w:val="20"/>
          <w:szCs w:val="20"/>
        </w:rPr>
        <w:t xml:space="preserve"> </w:t>
      </w:r>
      <w:r w:rsidRPr="005862B2">
        <w:rPr>
          <w:sz w:val="20"/>
          <w:szCs w:val="20"/>
        </w:rPr>
        <w:t xml:space="preserve">metro Detroit </w:t>
      </w:r>
      <w:r w:rsidR="005862B2" w:rsidRPr="005862B2">
        <w:rPr>
          <w:sz w:val="20"/>
          <w:szCs w:val="20"/>
        </w:rPr>
        <w:t>respondents is alarming.</w:t>
      </w:r>
    </w:p>
    <w:p w:rsidR="00CE271D" w:rsidRDefault="00354CB8" w:rsidP="00626479">
      <w:pPr>
        <w:jc w:val="center"/>
      </w:pPr>
      <w:r w:rsidRPr="00626479">
        <w:rPr>
          <w:b/>
          <w:sz w:val="24"/>
          <w:szCs w:val="24"/>
        </w:rPr>
        <w:t>Proportion Meeting/Not Meeting Prior Year Goal, 2017-2023</w:t>
      </w:r>
      <w:r w:rsidRPr="00626479">
        <w:rPr>
          <w:sz w:val="24"/>
          <w:szCs w:val="24"/>
        </w:rPr>
        <w:t xml:space="preserve"> (Year of Survey)</w:t>
      </w:r>
      <w:r>
        <w:t xml:space="preserve"> </w:t>
      </w:r>
      <w:r w:rsidR="00CE271D">
        <w:rPr>
          <w:noProof/>
        </w:rPr>
        <w:drawing>
          <wp:inline distT="0" distB="0" distL="0" distR="0" wp14:anchorId="393246FD" wp14:editId="58DA1F04">
            <wp:extent cx="6006849" cy="2558874"/>
            <wp:effectExtent l="0" t="0" r="1333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4E8C" w:rsidRPr="00F14E8C" w:rsidRDefault="00AC12E8" w:rsidP="00F14E8C">
      <w:pPr>
        <w:rPr>
          <w:sz w:val="20"/>
          <w:szCs w:val="20"/>
        </w:rPr>
      </w:pPr>
      <w:r w:rsidRPr="00626479">
        <w:rPr>
          <w:b/>
        </w:rPr>
        <w:t>#3 - F</w:t>
      </w:r>
      <w:r w:rsidR="00BF07FE" w:rsidRPr="00626479">
        <w:rPr>
          <w:b/>
        </w:rPr>
        <w:t>ewer</w:t>
      </w:r>
      <w:r w:rsidR="0070273C" w:rsidRPr="00626479">
        <w:rPr>
          <w:b/>
        </w:rPr>
        <w:t xml:space="preserve"> re</w:t>
      </w:r>
      <w:r w:rsidR="00F14E8C">
        <w:rPr>
          <w:b/>
        </w:rPr>
        <w:t>ported having</w:t>
      </w:r>
      <w:r w:rsidR="00F21EBA">
        <w:rPr>
          <w:b/>
        </w:rPr>
        <w:t xml:space="preserve"> </w:t>
      </w:r>
      <w:r w:rsidR="0070273C" w:rsidRPr="00626479">
        <w:rPr>
          <w:b/>
        </w:rPr>
        <w:t xml:space="preserve">added </w:t>
      </w:r>
      <w:r w:rsidR="00BF07FE" w:rsidRPr="00626479">
        <w:rPr>
          <w:b/>
        </w:rPr>
        <w:t>donors</w:t>
      </w:r>
      <w:r w:rsidR="00F14E8C">
        <w:rPr>
          <w:sz w:val="20"/>
          <w:szCs w:val="20"/>
        </w:rPr>
        <w:t>. Between our 2022 and 2023 surveys, the proportion of or</w:t>
      </w:r>
      <w:r w:rsidR="00C34934">
        <w:rPr>
          <w:sz w:val="20"/>
          <w:szCs w:val="20"/>
        </w:rPr>
        <w:t>g</w:t>
      </w:r>
      <w:r w:rsidR="00F14E8C">
        <w:rPr>
          <w:sz w:val="20"/>
          <w:szCs w:val="20"/>
        </w:rPr>
        <w:t xml:space="preserve">anizations adding donors fell from 38% to 32% </w:t>
      </w:r>
      <w:r w:rsidR="00F14E8C">
        <w:rPr>
          <w:rFonts w:cstheme="minorHAnsi"/>
          <w:sz w:val="20"/>
          <w:szCs w:val="20"/>
        </w:rPr>
        <w:t xml:space="preserve">while the proportion reporting </w:t>
      </w:r>
      <w:r w:rsidR="00F14E8C" w:rsidRPr="00143F50">
        <w:rPr>
          <w:rFonts w:cstheme="minorHAnsi"/>
          <w:sz w:val="20"/>
          <w:szCs w:val="20"/>
        </w:rPr>
        <w:t>“about the same number of donors”</w:t>
      </w:r>
      <w:r w:rsidR="00025164">
        <w:rPr>
          <w:rFonts w:cstheme="minorHAnsi"/>
          <w:sz w:val="20"/>
          <w:szCs w:val="20"/>
        </w:rPr>
        <w:t xml:space="preserve"> rose from 33% to 47%</w:t>
      </w:r>
      <w:r w:rsidR="00F14E8C" w:rsidRPr="00143F50">
        <w:rPr>
          <w:rFonts w:cstheme="minorHAns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248"/>
      </w:tblGrid>
      <w:tr w:rsidR="00C34934" w:rsidTr="00C34934">
        <w:tc>
          <w:tcPr>
            <w:tcW w:w="5328" w:type="dxa"/>
          </w:tcPr>
          <w:p w:rsidR="00C34934" w:rsidRDefault="00C34934" w:rsidP="00F14E8C">
            <w:pPr>
              <w:rPr>
                <w:rFonts w:cstheme="minorHAnsi"/>
                <w:sz w:val="20"/>
                <w:szCs w:val="20"/>
              </w:rPr>
            </w:pPr>
            <w:r w:rsidRPr="00143F50">
              <w:rPr>
                <w:rFonts w:cstheme="minorHAnsi"/>
                <w:sz w:val="20"/>
                <w:szCs w:val="20"/>
              </w:rPr>
              <w:t>Organizations reporting having gained donors</w:t>
            </w:r>
          </w:p>
        </w:tc>
        <w:tc>
          <w:tcPr>
            <w:tcW w:w="4248" w:type="dxa"/>
          </w:tcPr>
          <w:p w:rsidR="00C34934" w:rsidRDefault="00C34934" w:rsidP="00C34934">
            <w:pPr>
              <w:jc w:val="right"/>
              <w:rPr>
                <w:rFonts w:cstheme="minorHAnsi"/>
                <w:sz w:val="20"/>
                <w:szCs w:val="20"/>
              </w:rPr>
            </w:pPr>
            <w:r w:rsidRPr="00143F50">
              <w:rPr>
                <w:rFonts w:cstheme="minorHAnsi"/>
                <w:sz w:val="20"/>
                <w:szCs w:val="20"/>
              </w:rPr>
              <w:t xml:space="preserve">2023 Survey: </w:t>
            </w:r>
            <w:r w:rsidRPr="00203CFE">
              <w:rPr>
                <w:rFonts w:cstheme="minorHAnsi"/>
                <w:b/>
                <w:sz w:val="20"/>
                <w:szCs w:val="20"/>
              </w:rPr>
              <w:t>32%</w:t>
            </w:r>
            <w:r w:rsidRPr="00143F50">
              <w:rPr>
                <w:rFonts w:cstheme="minorHAnsi"/>
                <w:sz w:val="20"/>
                <w:szCs w:val="20"/>
              </w:rPr>
              <w:t>, 2022 Survey: 38%</w:t>
            </w:r>
          </w:p>
        </w:tc>
      </w:tr>
      <w:tr w:rsidR="00C34934" w:rsidTr="00C34934">
        <w:tc>
          <w:tcPr>
            <w:tcW w:w="5328" w:type="dxa"/>
          </w:tcPr>
          <w:p w:rsidR="00C34934" w:rsidRDefault="00C34934" w:rsidP="00F14E8C">
            <w:pPr>
              <w:rPr>
                <w:rFonts w:cstheme="minorHAnsi"/>
                <w:sz w:val="20"/>
                <w:szCs w:val="20"/>
              </w:rPr>
            </w:pPr>
            <w:r w:rsidRPr="00143F50">
              <w:rPr>
                <w:rFonts w:cstheme="minorHAnsi"/>
                <w:sz w:val="20"/>
                <w:szCs w:val="20"/>
              </w:rPr>
              <w:t xml:space="preserve">Reporting about the same number of Donors:  </w:t>
            </w:r>
          </w:p>
        </w:tc>
        <w:tc>
          <w:tcPr>
            <w:tcW w:w="4248" w:type="dxa"/>
          </w:tcPr>
          <w:p w:rsidR="00C34934" w:rsidRDefault="00C34934" w:rsidP="00C34934">
            <w:pPr>
              <w:jc w:val="right"/>
              <w:rPr>
                <w:rFonts w:cstheme="minorHAnsi"/>
                <w:sz w:val="20"/>
                <w:szCs w:val="20"/>
              </w:rPr>
            </w:pPr>
            <w:r w:rsidRPr="00143F50">
              <w:rPr>
                <w:rFonts w:cstheme="minorHAnsi"/>
                <w:sz w:val="20"/>
                <w:szCs w:val="20"/>
              </w:rPr>
              <w:t>2023</w:t>
            </w:r>
            <w:r>
              <w:rPr>
                <w:rFonts w:cstheme="minorHAnsi"/>
                <w:sz w:val="20"/>
                <w:szCs w:val="20"/>
              </w:rPr>
              <w:t xml:space="preserve"> Survey: </w:t>
            </w:r>
            <w:r w:rsidRPr="00203CFE">
              <w:rPr>
                <w:rFonts w:cstheme="minorHAnsi"/>
                <w:b/>
                <w:sz w:val="20"/>
                <w:szCs w:val="20"/>
              </w:rPr>
              <w:t>47%</w:t>
            </w:r>
            <w:r>
              <w:rPr>
                <w:rFonts w:cstheme="minorHAnsi"/>
                <w:sz w:val="20"/>
                <w:szCs w:val="20"/>
              </w:rPr>
              <w:t>, 2022 Survey:</w:t>
            </w:r>
            <w:r>
              <w:rPr>
                <w:rFonts w:cstheme="minorHAnsi"/>
                <w:sz w:val="20"/>
                <w:szCs w:val="20"/>
              </w:rPr>
              <w:t xml:space="preserve"> 33%</w:t>
            </w:r>
          </w:p>
        </w:tc>
      </w:tr>
      <w:tr w:rsidR="00C34934" w:rsidTr="00C34934">
        <w:tc>
          <w:tcPr>
            <w:tcW w:w="5328" w:type="dxa"/>
          </w:tcPr>
          <w:p w:rsidR="00C34934" w:rsidRPr="00143F50" w:rsidRDefault="00C34934" w:rsidP="00F14E8C">
            <w:pPr>
              <w:rPr>
                <w:rFonts w:cstheme="minorHAnsi"/>
                <w:sz w:val="20"/>
                <w:szCs w:val="20"/>
              </w:rPr>
            </w:pPr>
            <w:r w:rsidRPr="00143F50">
              <w:rPr>
                <w:rFonts w:cstheme="minorHAnsi"/>
                <w:sz w:val="20"/>
                <w:szCs w:val="20"/>
              </w:rPr>
              <w:t>Organizations with at least as many donors as year before:</w:t>
            </w:r>
          </w:p>
        </w:tc>
        <w:tc>
          <w:tcPr>
            <w:tcW w:w="4248" w:type="dxa"/>
          </w:tcPr>
          <w:p w:rsidR="00C34934" w:rsidRPr="00143F50" w:rsidRDefault="00C34934" w:rsidP="00C34934">
            <w:pPr>
              <w:jc w:val="right"/>
              <w:rPr>
                <w:rFonts w:cstheme="minorHAnsi"/>
                <w:sz w:val="20"/>
                <w:szCs w:val="20"/>
              </w:rPr>
            </w:pPr>
            <w:r w:rsidRPr="00143F50">
              <w:rPr>
                <w:rFonts w:cstheme="minorHAnsi"/>
                <w:sz w:val="20"/>
                <w:szCs w:val="20"/>
              </w:rPr>
              <w:t xml:space="preserve">2023 Survey: </w:t>
            </w:r>
            <w:r w:rsidRPr="00203CFE">
              <w:rPr>
                <w:rFonts w:cstheme="minorHAnsi"/>
                <w:b/>
                <w:sz w:val="20"/>
                <w:szCs w:val="20"/>
              </w:rPr>
              <w:t>79%</w:t>
            </w:r>
            <w:r w:rsidRPr="00143F50">
              <w:rPr>
                <w:rFonts w:cstheme="minorHAnsi"/>
                <w:sz w:val="20"/>
                <w:szCs w:val="20"/>
              </w:rPr>
              <w:t>, 2022 Survey: 71%</w:t>
            </w:r>
          </w:p>
        </w:tc>
      </w:tr>
      <w:tr w:rsidR="00C34934" w:rsidTr="00C34934">
        <w:tc>
          <w:tcPr>
            <w:tcW w:w="5328" w:type="dxa"/>
          </w:tcPr>
          <w:p w:rsidR="00C34934" w:rsidRPr="00143F50" w:rsidRDefault="00C34934" w:rsidP="00F14E8C">
            <w:pPr>
              <w:rPr>
                <w:rFonts w:cstheme="minorHAnsi"/>
                <w:sz w:val="20"/>
                <w:szCs w:val="20"/>
              </w:rPr>
            </w:pPr>
          </w:p>
        </w:tc>
        <w:tc>
          <w:tcPr>
            <w:tcW w:w="4248" w:type="dxa"/>
          </w:tcPr>
          <w:p w:rsidR="00C34934" w:rsidRPr="00143F50" w:rsidRDefault="00C34934" w:rsidP="00C34934">
            <w:pPr>
              <w:jc w:val="right"/>
              <w:rPr>
                <w:rFonts w:cstheme="minorHAnsi"/>
                <w:sz w:val="20"/>
                <w:szCs w:val="20"/>
              </w:rPr>
            </w:pPr>
          </w:p>
        </w:tc>
      </w:tr>
    </w:tbl>
    <w:p w:rsidR="00BF4263" w:rsidRDefault="00AC12E8" w:rsidP="008B1D27">
      <w:r>
        <w:rPr>
          <w:noProof/>
        </w:rPr>
        <w:drawing>
          <wp:inline distT="0" distB="0" distL="0" distR="0" wp14:anchorId="69A311FA" wp14:editId="2FF59CFB">
            <wp:extent cx="6158204" cy="3125756"/>
            <wp:effectExtent l="0" t="0" r="14605"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82B62" w:rsidRPr="00507C2F">
        <w:rPr>
          <w:b/>
        </w:rPr>
        <w:t xml:space="preserve"> </w:t>
      </w:r>
    </w:p>
    <w:p w:rsidR="00025164" w:rsidRDefault="007C6C7F" w:rsidP="00025164">
      <w:pPr>
        <w:tabs>
          <w:tab w:val="left" w:pos="924"/>
        </w:tabs>
        <w:ind w:left="90"/>
      </w:pPr>
      <w:r>
        <w:rPr>
          <w:b/>
        </w:rPr>
        <w:t>#4</w:t>
      </w:r>
      <w:r w:rsidR="00025164" w:rsidRPr="00E9554C">
        <w:rPr>
          <w:b/>
        </w:rPr>
        <w:t xml:space="preserve"> - Respondents were a little less optimistic about Michigan’s current fundraising climate</w:t>
      </w:r>
      <w:r w:rsidR="00025164" w:rsidRPr="00E9554C">
        <w:t>. This year, 28% of our panel members expected Michigan’s fundraising climate to improve down from 33% expecting improvement last year sugge</w:t>
      </w:r>
      <w:r w:rsidR="00E9554C" w:rsidRPr="00E9554C">
        <w:t xml:space="preserve">sting a lower level of optimism, </w:t>
      </w:r>
      <w:r w:rsidR="00025164" w:rsidRPr="00E9554C">
        <w:t>or growing nervousness</w:t>
      </w:r>
      <w:r w:rsidR="00E9554C" w:rsidRPr="00E9554C">
        <w:t>,</w:t>
      </w:r>
      <w:r w:rsidR="00025164" w:rsidRPr="00E9554C">
        <w:t xml:space="preserve"> about what the future may hold. Our respondents, however, remain MUCH more optimistic than they were in 2020 when we administered this part of our s</w:t>
      </w:r>
      <w:r w:rsidR="00E9554C" w:rsidRPr="00E9554C">
        <w:t>urvey twice --</w:t>
      </w:r>
      <w:r w:rsidR="00025164" w:rsidRPr="00E9554C">
        <w:t xml:space="preserve"> just prior to the pandemic’s onset </w:t>
      </w:r>
      <w:r w:rsidR="00E9554C" w:rsidRPr="00E9554C">
        <w:t xml:space="preserve">(2020-I) and </w:t>
      </w:r>
      <w:r w:rsidR="00025164" w:rsidRPr="00E9554C">
        <w:t>during the April</w:t>
      </w:r>
      <w:r w:rsidR="00E9554C" w:rsidRPr="00E9554C">
        <w:t>-May</w:t>
      </w:r>
      <w:r w:rsidR="00025164" w:rsidRPr="00E9554C">
        <w:t xml:space="preserve"> 2020 “lock down” </w:t>
      </w:r>
      <w:r w:rsidR="00E9554C" w:rsidRPr="00E9554C">
        <w:t>(2020-II)</w:t>
      </w:r>
      <w:r w:rsidR="00E9554C" w:rsidRPr="00E9554C">
        <w:t xml:space="preserve"> </w:t>
      </w:r>
      <w:r w:rsidR="00025164" w:rsidRPr="00E9554C">
        <w:t>when</w:t>
      </w:r>
      <w:r w:rsidR="00E9554C" w:rsidRPr="00E9554C">
        <w:t xml:space="preserve"> </w:t>
      </w:r>
      <w:r w:rsidR="00025164" w:rsidRPr="00E9554C">
        <w:t>87% of told us they expected that year’s climate for successful fundraising to get worse.</w:t>
      </w:r>
    </w:p>
    <w:p w:rsidR="00A67B77" w:rsidRPr="00E9554C" w:rsidRDefault="00A67B77" w:rsidP="00025164">
      <w:pPr>
        <w:tabs>
          <w:tab w:val="left" w:pos="924"/>
        </w:tabs>
        <w:ind w:left="90"/>
      </w:pPr>
    </w:p>
    <w:p w:rsidR="00025164" w:rsidRDefault="00025164" w:rsidP="00025164">
      <w:pPr>
        <w:tabs>
          <w:tab w:val="left" w:pos="924"/>
        </w:tabs>
      </w:pPr>
      <w:r>
        <w:rPr>
          <w:noProof/>
        </w:rPr>
        <w:drawing>
          <wp:inline distT="0" distB="0" distL="0" distR="0" wp14:anchorId="5BB56278" wp14:editId="588F6F6E">
            <wp:extent cx="6209523" cy="4376057"/>
            <wp:effectExtent l="0" t="0" r="20320" b="247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554C" w:rsidRDefault="00E9554C" w:rsidP="00025164">
      <w:pPr>
        <w:tabs>
          <w:tab w:val="left" w:pos="924"/>
        </w:tabs>
      </w:pPr>
    </w:p>
    <w:p w:rsidR="00025164" w:rsidRDefault="00025164" w:rsidP="00025164">
      <w:pPr>
        <w:tabs>
          <w:tab w:val="left" w:pos="924"/>
        </w:tabs>
      </w:pPr>
      <w:r>
        <w:t>S</w:t>
      </w:r>
      <w:r>
        <w:t>ta</w:t>
      </w:r>
      <w:r>
        <w:t>rting with our 2021 survey, sta</w:t>
      </w:r>
      <w:r>
        <w:t xml:space="preserve">bility appears to have </w:t>
      </w:r>
      <w:r>
        <w:t>re-</w:t>
      </w:r>
      <w:r>
        <w:t>emerged for this measure with a little more than 70% of our respondents (2021: 73%; 2022: 76%; 2023: 72%) expecting Michigan’s climate for successful fundraising to either stay the same or improve.  It is important to note, however, that our respondents remain much less optimistic about the conditions for successful fundraising than they were back in 2017 and 2018.</w:t>
      </w:r>
    </w:p>
    <w:p w:rsidR="00025164" w:rsidRDefault="00025164">
      <w:pPr>
        <w:rPr>
          <w:b/>
        </w:rPr>
      </w:pPr>
      <w:r>
        <w:rPr>
          <w:b/>
        </w:rPr>
        <w:br w:type="page"/>
      </w:r>
    </w:p>
    <w:p w:rsidR="008B1D27" w:rsidRDefault="007C6C7F" w:rsidP="008B1D27">
      <w:pPr>
        <w:tabs>
          <w:tab w:val="left" w:pos="924"/>
        </w:tabs>
      </w:pPr>
      <w:r>
        <w:rPr>
          <w:b/>
        </w:rPr>
        <w:t>#5</w:t>
      </w:r>
      <w:r w:rsidR="008B1D27">
        <w:rPr>
          <w:b/>
        </w:rPr>
        <w:t xml:space="preserve"> - </w:t>
      </w:r>
      <w:r w:rsidR="00B76436">
        <w:rPr>
          <w:b/>
        </w:rPr>
        <w:t>Corporate D</w:t>
      </w:r>
      <w:r w:rsidR="008B1D27" w:rsidRPr="00D022AB">
        <w:rPr>
          <w:b/>
        </w:rPr>
        <w:t xml:space="preserve">onors continue to be </w:t>
      </w:r>
      <w:r w:rsidR="008B1D27" w:rsidRPr="00B076C0">
        <w:rPr>
          <w:b/>
          <w:i/>
        </w:rPr>
        <w:t>more</w:t>
      </w:r>
      <w:r w:rsidR="008B1D27" w:rsidRPr="00D022AB">
        <w:rPr>
          <w:b/>
        </w:rPr>
        <w:t xml:space="preserve">, and </w:t>
      </w:r>
      <w:r w:rsidR="00B76436">
        <w:rPr>
          <w:b/>
        </w:rPr>
        <w:t>I</w:t>
      </w:r>
      <w:r w:rsidR="00B076C0" w:rsidRPr="00D022AB">
        <w:rPr>
          <w:b/>
        </w:rPr>
        <w:t>ndividual</w:t>
      </w:r>
      <w:r w:rsidR="00B76436">
        <w:rPr>
          <w:b/>
        </w:rPr>
        <w:t xml:space="preserve"> D</w:t>
      </w:r>
      <w:r w:rsidR="008B1D27" w:rsidRPr="00D022AB">
        <w:rPr>
          <w:b/>
        </w:rPr>
        <w:t xml:space="preserve">onors </w:t>
      </w:r>
      <w:r w:rsidR="008B1D27" w:rsidRPr="00B076C0">
        <w:rPr>
          <w:b/>
          <w:i/>
        </w:rPr>
        <w:t>less</w:t>
      </w:r>
      <w:r w:rsidR="008B1D27" w:rsidRPr="00D022AB">
        <w:rPr>
          <w:b/>
        </w:rPr>
        <w:t xml:space="preserve">, important </w:t>
      </w:r>
      <w:r w:rsidR="00B076C0">
        <w:rPr>
          <w:b/>
        </w:rPr>
        <w:t>to</w:t>
      </w:r>
      <w:r w:rsidR="00203CFE">
        <w:rPr>
          <w:b/>
        </w:rPr>
        <w:t xml:space="preserve"> secular </w:t>
      </w:r>
      <w:r w:rsidR="00B076C0">
        <w:rPr>
          <w:b/>
        </w:rPr>
        <w:t xml:space="preserve">Michigan nonprofits </w:t>
      </w:r>
      <w:r w:rsidR="008B1D27" w:rsidRPr="00D022AB">
        <w:rPr>
          <w:b/>
        </w:rPr>
        <w:t>than implie</w:t>
      </w:r>
      <w:r w:rsidR="008B1D27">
        <w:rPr>
          <w:b/>
        </w:rPr>
        <w:t xml:space="preserve">d by national averages coming from </w:t>
      </w:r>
      <w:r w:rsidR="008B1D27" w:rsidRPr="00D022AB">
        <w:rPr>
          <w:b/>
          <w:i/>
        </w:rPr>
        <w:t>Giving USA</w:t>
      </w:r>
      <w:r w:rsidR="008B1D27">
        <w:rPr>
          <w:b/>
        </w:rPr>
        <w:t xml:space="preserve"> </w:t>
      </w:r>
      <w:r w:rsidR="008B1D27" w:rsidRPr="00626479">
        <w:rPr>
          <w:b/>
          <w:sz w:val="20"/>
          <w:szCs w:val="20"/>
        </w:rPr>
        <w:t xml:space="preserve">-- </w:t>
      </w:r>
      <w:r w:rsidR="008B1D27" w:rsidRPr="00626479">
        <w:rPr>
          <w:sz w:val="20"/>
          <w:szCs w:val="20"/>
        </w:rPr>
        <w:t>this has been the single most consistent finding</w:t>
      </w:r>
      <w:r w:rsidR="00B076C0">
        <w:rPr>
          <w:sz w:val="20"/>
          <w:szCs w:val="20"/>
        </w:rPr>
        <w:t xml:space="preserve"> in</w:t>
      </w:r>
      <w:r w:rsidR="008B1D27" w:rsidRPr="00626479">
        <w:rPr>
          <w:sz w:val="20"/>
          <w:szCs w:val="20"/>
        </w:rPr>
        <w:t xml:space="preserve"> all 11 editions of the </w:t>
      </w:r>
      <w:r w:rsidR="008B1D27" w:rsidRPr="00B076C0">
        <w:rPr>
          <w:i/>
          <w:sz w:val="20"/>
          <w:szCs w:val="20"/>
        </w:rPr>
        <w:t>Michigan Fundraising Climate Survey</w:t>
      </w:r>
      <w:r w:rsidR="008B1D27">
        <w:t xml:space="preserve">. </w:t>
      </w:r>
    </w:p>
    <w:p w:rsidR="008B1D27" w:rsidRDefault="008B1D27" w:rsidP="008B1D27">
      <w:pPr>
        <w:tabs>
          <w:tab w:val="left" w:pos="924"/>
        </w:tabs>
      </w:pPr>
      <w:r>
        <w:rPr>
          <w:noProof/>
        </w:rPr>
        <w:drawing>
          <wp:inline distT="0" distB="0" distL="0" distR="0" wp14:anchorId="65182715" wp14:editId="6AA05028">
            <wp:extent cx="5901612" cy="3415004"/>
            <wp:effectExtent l="0" t="0" r="23495"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CFE" w:rsidRDefault="008B1D27" w:rsidP="008B1D27">
      <w:pPr>
        <w:tabs>
          <w:tab w:val="left" w:pos="924"/>
        </w:tabs>
        <w:rPr>
          <w:sz w:val="20"/>
          <w:szCs w:val="20"/>
        </w:rPr>
      </w:pPr>
      <w:r w:rsidRPr="008B1D27">
        <w:rPr>
          <w:sz w:val="20"/>
          <w:szCs w:val="20"/>
        </w:rPr>
        <w:t xml:space="preserve">Differences between our figures and those from </w:t>
      </w:r>
      <w:r w:rsidRPr="008B1D27">
        <w:rPr>
          <w:i/>
          <w:sz w:val="20"/>
          <w:szCs w:val="20"/>
        </w:rPr>
        <w:t>GUSA</w:t>
      </w:r>
      <w:r w:rsidRPr="008B1D27">
        <w:rPr>
          <w:sz w:val="20"/>
          <w:szCs w:val="20"/>
        </w:rPr>
        <w:t xml:space="preserve"> are partly a regional effect; Michigan has not had a strong tradition of </w:t>
      </w:r>
      <w:r w:rsidR="00B076C0">
        <w:rPr>
          <w:sz w:val="20"/>
          <w:szCs w:val="20"/>
        </w:rPr>
        <w:t>major individual</w:t>
      </w:r>
      <w:r w:rsidRPr="008B1D27">
        <w:rPr>
          <w:sz w:val="20"/>
          <w:szCs w:val="20"/>
        </w:rPr>
        <w:t xml:space="preserve"> giving</w:t>
      </w:r>
      <w:r w:rsidR="003A6D40">
        <w:rPr>
          <w:sz w:val="20"/>
          <w:szCs w:val="20"/>
        </w:rPr>
        <w:t xml:space="preserve"> but remains </w:t>
      </w:r>
      <w:r w:rsidRPr="008B1D27">
        <w:rPr>
          <w:sz w:val="20"/>
          <w:szCs w:val="20"/>
        </w:rPr>
        <w:t>the headquarters of</w:t>
      </w:r>
      <w:r w:rsidRPr="008B1D27">
        <w:rPr>
          <w:sz w:val="20"/>
          <w:szCs w:val="20"/>
          <w:u w:val="single"/>
        </w:rPr>
        <w:t xml:space="preserve"> </w:t>
      </w:r>
      <w:r w:rsidRPr="008B1D27">
        <w:rPr>
          <w:sz w:val="20"/>
          <w:szCs w:val="20"/>
        </w:rPr>
        <w:t xml:space="preserve">some of America’s largest corporate givers. Differences </w:t>
      </w:r>
      <w:r>
        <w:rPr>
          <w:sz w:val="20"/>
          <w:szCs w:val="20"/>
        </w:rPr>
        <w:t xml:space="preserve">between our figures and the ones from </w:t>
      </w:r>
      <w:r w:rsidRPr="008B1D27">
        <w:rPr>
          <w:i/>
          <w:sz w:val="20"/>
          <w:szCs w:val="20"/>
        </w:rPr>
        <w:t>GUSA</w:t>
      </w:r>
      <w:r>
        <w:rPr>
          <w:sz w:val="20"/>
          <w:szCs w:val="20"/>
        </w:rPr>
        <w:t xml:space="preserve"> </w:t>
      </w:r>
      <w:r w:rsidRPr="008B1D27">
        <w:rPr>
          <w:sz w:val="20"/>
          <w:szCs w:val="20"/>
        </w:rPr>
        <w:t xml:space="preserve">are </w:t>
      </w:r>
      <w:r w:rsidR="009163CB">
        <w:rPr>
          <w:sz w:val="20"/>
          <w:szCs w:val="20"/>
        </w:rPr>
        <w:t>also partly methodologica</w:t>
      </w:r>
      <w:r w:rsidR="003A6D40">
        <w:rPr>
          <w:sz w:val="20"/>
          <w:szCs w:val="20"/>
        </w:rPr>
        <w:t xml:space="preserve">l; </w:t>
      </w:r>
      <w:r w:rsidR="009163CB">
        <w:rPr>
          <w:sz w:val="20"/>
          <w:szCs w:val="20"/>
        </w:rPr>
        <w:t>w</w:t>
      </w:r>
      <w:r w:rsidRPr="008B1D27">
        <w:rPr>
          <w:sz w:val="20"/>
          <w:szCs w:val="20"/>
        </w:rPr>
        <w:t xml:space="preserve">e do not include religious congregations in our study because they </w:t>
      </w:r>
      <w:r w:rsidR="009163CB">
        <w:rPr>
          <w:sz w:val="20"/>
          <w:szCs w:val="20"/>
        </w:rPr>
        <w:t xml:space="preserve">typically </w:t>
      </w:r>
      <w:r w:rsidRPr="008B1D27">
        <w:rPr>
          <w:sz w:val="20"/>
          <w:szCs w:val="20"/>
        </w:rPr>
        <w:t>use different fundraising methods than other nonprofits</w:t>
      </w:r>
      <w:r w:rsidR="009163CB">
        <w:rPr>
          <w:sz w:val="20"/>
          <w:szCs w:val="20"/>
        </w:rPr>
        <w:t>.</w:t>
      </w:r>
      <w:r w:rsidRPr="008B1D27">
        <w:rPr>
          <w:sz w:val="20"/>
          <w:szCs w:val="20"/>
        </w:rPr>
        <w:t xml:space="preserve"> </w:t>
      </w:r>
    </w:p>
    <w:p w:rsidR="008B1D27" w:rsidRPr="008B1D27" w:rsidRDefault="008B1D27" w:rsidP="008B1D27">
      <w:pPr>
        <w:tabs>
          <w:tab w:val="left" w:pos="924"/>
        </w:tabs>
        <w:rPr>
          <w:sz w:val="20"/>
          <w:szCs w:val="20"/>
        </w:rPr>
      </w:pPr>
      <w:r w:rsidRPr="008B1D27">
        <w:rPr>
          <w:sz w:val="20"/>
          <w:szCs w:val="20"/>
        </w:rPr>
        <w:t xml:space="preserve">Even among Michigan nonprofits, </w:t>
      </w:r>
      <w:r w:rsidR="009163CB">
        <w:rPr>
          <w:sz w:val="20"/>
          <w:szCs w:val="20"/>
        </w:rPr>
        <w:t xml:space="preserve">however, </w:t>
      </w:r>
      <w:r w:rsidRPr="008B1D27">
        <w:rPr>
          <w:sz w:val="20"/>
          <w:szCs w:val="20"/>
        </w:rPr>
        <w:t>patterns of giving vary significantly by a variety of factors – including region.</w:t>
      </w:r>
      <w:r w:rsidR="009163CB">
        <w:rPr>
          <w:sz w:val="20"/>
          <w:szCs w:val="20"/>
        </w:rPr>
        <w:t xml:space="preserve"> When s</w:t>
      </w:r>
      <w:r w:rsidR="003A6D40">
        <w:rPr>
          <w:sz w:val="20"/>
          <w:szCs w:val="20"/>
        </w:rPr>
        <w:t>eparated-</w:t>
      </w:r>
      <w:r w:rsidR="009163CB">
        <w:rPr>
          <w:sz w:val="20"/>
          <w:szCs w:val="20"/>
        </w:rPr>
        <w:t xml:space="preserve">out, </w:t>
      </w:r>
      <w:r w:rsidR="00203CFE">
        <w:rPr>
          <w:sz w:val="20"/>
          <w:szCs w:val="20"/>
        </w:rPr>
        <w:t xml:space="preserve">respondents from </w:t>
      </w:r>
      <w:r w:rsidRPr="008B1D27">
        <w:rPr>
          <w:sz w:val="20"/>
          <w:szCs w:val="20"/>
        </w:rPr>
        <w:t xml:space="preserve">Metro Detroit and Outstate reported significantly different patterns of giving than our “All Michigan” average with the largest differences being in the areas of Individual Donors (Metro: -10, Outstate: +5)  and Corporations (Metro: +6, Outstate: -4) </w:t>
      </w:r>
      <w:r w:rsidRPr="008B1D27">
        <w:rPr>
          <w:i/>
          <w:sz w:val="20"/>
          <w:szCs w:val="20"/>
        </w:rPr>
        <w:t>see data table below for details.</w:t>
      </w:r>
      <w:r w:rsidRPr="008B1D27">
        <w:rPr>
          <w:sz w:val="20"/>
          <w:szCs w:val="20"/>
        </w:rPr>
        <w:t xml:space="preserve">  </w:t>
      </w:r>
    </w:p>
    <w:tbl>
      <w:tblPr>
        <w:tblStyle w:val="TableGrid"/>
        <w:tblW w:w="0" w:type="auto"/>
        <w:tblLook w:val="04A0" w:firstRow="1" w:lastRow="0" w:firstColumn="1" w:lastColumn="0" w:noHBand="0" w:noVBand="1"/>
      </w:tblPr>
      <w:tblGrid>
        <w:gridCol w:w="1915"/>
        <w:gridCol w:w="1915"/>
        <w:gridCol w:w="1915"/>
        <w:gridCol w:w="1915"/>
        <w:gridCol w:w="1916"/>
      </w:tblGrid>
      <w:tr w:rsidR="008B1D27" w:rsidRPr="008B1D27" w:rsidTr="000A7C12">
        <w:tc>
          <w:tcPr>
            <w:tcW w:w="1915" w:type="dxa"/>
          </w:tcPr>
          <w:p w:rsidR="008B1D27" w:rsidRPr="00203CFE" w:rsidRDefault="008B1D27" w:rsidP="000A7C12">
            <w:pPr>
              <w:tabs>
                <w:tab w:val="left" w:pos="924"/>
              </w:tabs>
              <w:jc w:val="center"/>
              <w:rPr>
                <w:sz w:val="20"/>
                <w:szCs w:val="20"/>
              </w:rPr>
            </w:pPr>
          </w:p>
        </w:tc>
        <w:tc>
          <w:tcPr>
            <w:tcW w:w="1915" w:type="dxa"/>
          </w:tcPr>
          <w:p w:rsidR="008B1D27" w:rsidRPr="00203CFE" w:rsidRDefault="008B1D27" w:rsidP="000A7C12">
            <w:pPr>
              <w:tabs>
                <w:tab w:val="left" w:pos="924"/>
              </w:tabs>
              <w:jc w:val="center"/>
              <w:rPr>
                <w:sz w:val="20"/>
                <w:szCs w:val="20"/>
              </w:rPr>
            </w:pPr>
            <w:r w:rsidRPr="00203CFE">
              <w:rPr>
                <w:sz w:val="20"/>
                <w:szCs w:val="20"/>
              </w:rPr>
              <w:t>INDIVIDUAL</w:t>
            </w:r>
            <w:r w:rsidR="003A6D40" w:rsidRPr="00203CFE">
              <w:rPr>
                <w:sz w:val="20"/>
                <w:szCs w:val="20"/>
              </w:rPr>
              <w:t xml:space="preserve"> DONOR</w:t>
            </w:r>
            <w:r w:rsidRPr="00203CFE">
              <w:rPr>
                <w:sz w:val="20"/>
                <w:szCs w:val="20"/>
              </w:rPr>
              <w:t>S</w:t>
            </w:r>
          </w:p>
        </w:tc>
        <w:tc>
          <w:tcPr>
            <w:tcW w:w="1915" w:type="dxa"/>
          </w:tcPr>
          <w:p w:rsidR="008B1D27" w:rsidRPr="00203CFE" w:rsidRDefault="008B1D27" w:rsidP="000A7C12">
            <w:pPr>
              <w:tabs>
                <w:tab w:val="left" w:pos="924"/>
              </w:tabs>
              <w:jc w:val="center"/>
              <w:rPr>
                <w:sz w:val="20"/>
                <w:szCs w:val="20"/>
              </w:rPr>
            </w:pPr>
            <w:r w:rsidRPr="00203CFE">
              <w:rPr>
                <w:sz w:val="20"/>
                <w:szCs w:val="20"/>
              </w:rPr>
              <w:t>BEQUESTS</w:t>
            </w:r>
          </w:p>
        </w:tc>
        <w:tc>
          <w:tcPr>
            <w:tcW w:w="1915" w:type="dxa"/>
          </w:tcPr>
          <w:p w:rsidR="008B1D27" w:rsidRPr="00203CFE" w:rsidRDefault="008B1D27" w:rsidP="000A7C12">
            <w:pPr>
              <w:tabs>
                <w:tab w:val="left" w:pos="924"/>
              </w:tabs>
              <w:jc w:val="center"/>
              <w:rPr>
                <w:sz w:val="20"/>
                <w:szCs w:val="20"/>
              </w:rPr>
            </w:pPr>
            <w:r w:rsidRPr="00203CFE">
              <w:rPr>
                <w:sz w:val="20"/>
                <w:szCs w:val="20"/>
              </w:rPr>
              <w:t>CORPORATIONS</w:t>
            </w:r>
          </w:p>
        </w:tc>
        <w:tc>
          <w:tcPr>
            <w:tcW w:w="1916" w:type="dxa"/>
          </w:tcPr>
          <w:p w:rsidR="008B1D27" w:rsidRPr="00203CFE" w:rsidRDefault="008B1D27" w:rsidP="000A7C12">
            <w:pPr>
              <w:tabs>
                <w:tab w:val="left" w:pos="924"/>
              </w:tabs>
              <w:jc w:val="center"/>
              <w:rPr>
                <w:sz w:val="20"/>
                <w:szCs w:val="20"/>
              </w:rPr>
            </w:pPr>
            <w:r w:rsidRPr="00203CFE">
              <w:rPr>
                <w:sz w:val="20"/>
                <w:szCs w:val="20"/>
              </w:rPr>
              <w:t>FOUNDATIONS</w:t>
            </w:r>
          </w:p>
        </w:tc>
      </w:tr>
      <w:tr w:rsidR="008B1D27" w:rsidRPr="008B1D27" w:rsidTr="000A7C12">
        <w:tc>
          <w:tcPr>
            <w:tcW w:w="1915" w:type="dxa"/>
          </w:tcPr>
          <w:p w:rsidR="008B1D27" w:rsidRPr="00203CFE" w:rsidRDefault="008B1D27" w:rsidP="000A7C12">
            <w:pPr>
              <w:tabs>
                <w:tab w:val="left" w:pos="924"/>
              </w:tabs>
              <w:rPr>
                <w:sz w:val="20"/>
                <w:szCs w:val="20"/>
              </w:rPr>
            </w:pPr>
            <w:r w:rsidRPr="00203CFE">
              <w:rPr>
                <w:sz w:val="20"/>
                <w:szCs w:val="20"/>
              </w:rPr>
              <w:t>Metro Detroit</w:t>
            </w:r>
          </w:p>
        </w:tc>
        <w:tc>
          <w:tcPr>
            <w:tcW w:w="1915" w:type="dxa"/>
          </w:tcPr>
          <w:p w:rsidR="008B1D27" w:rsidRPr="00203CFE" w:rsidRDefault="008B1D27" w:rsidP="000A7C12">
            <w:pPr>
              <w:tabs>
                <w:tab w:val="left" w:pos="924"/>
              </w:tabs>
              <w:jc w:val="center"/>
              <w:rPr>
                <w:sz w:val="20"/>
                <w:szCs w:val="20"/>
              </w:rPr>
            </w:pPr>
            <w:r w:rsidRPr="00203CFE">
              <w:rPr>
                <w:sz w:val="20"/>
                <w:szCs w:val="20"/>
              </w:rPr>
              <w:t>43%</w:t>
            </w:r>
          </w:p>
        </w:tc>
        <w:tc>
          <w:tcPr>
            <w:tcW w:w="1915" w:type="dxa"/>
          </w:tcPr>
          <w:p w:rsidR="008B1D27" w:rsidRPr="00203CFE" w:rsidRDefault="008B1D27" w:rsidP="000A7C12">
            <w:pPr>
              <w:tabs>
                <w:tab w:val="left" w:pos="924"/>
              </w:tabs>
              <w:jc w:val="center"/>
              <w:rPr>
                <w:sz w:val="20"/>
                <w:szCs w:val="20"/>
              </w:rPr>
            </w:pPr>
            <w:r w:rsidRPr="00203CFE">
              <w:rPr>
                <w:sz w:val="20"/>
                <w:szCs w:val="20"/>
              </w:rPr>
              <w:t>5%</w:t>
            </w:r>
          </w:p>
        </w:tc>
        <w:tc>
          <w:tcPr>
            <w:tcW w:w="1915" w:type="dxa"/>
          </w:tcPr>
          <w:p w:rsidR="008B1D27" w:rsidRPr="00203CFE" w:rsidRDefault="008B1D27" w:rsidP="000A7C12">
            <w:pPr>
              <w:tabs>
                <w:tab w:val="left" w:pos="924"/>
              </w:tabs>
              <w:jc w:val="center"/>
              <w:rPr>
                <w:sz w:val="20"/>
                <w:szCs w:val="20"/>
              </w:rPr>
            </w:pPr>
            <w:r w:rsidRPr="00203CFE">
              <w:rPr>
                <w:sz w:val="20"/>
                <w:szCs w:val="20"/>
              </w:rPr>
              <w:t>28%</w:t>
            </w:r>
          </w:p>
        </w:tc>
        <w:tc>
          <w:tcPr>
            <w:tcW w:w="1916" w:type="dxa"/>
          </w:tcPr>
          <w:p w:rsidR="008B1D27" w:rsidRPr="00203CFE" w:rsidRDefault="008B1D27" w:rsidP="000A7C12">
            <w:pPr>
              <w:tabs>
                <w:tab w:val="left" w:pos="924"/>
              </w:tabs>
              <w:jc w:val="center"/>
              <w:rPr>
                <w:sz w:val="20"/>
                <w:szCs w:val="20"/>
              </w:rPr>
            </w:pPr>
            <w:r w:rsidRPr="00203CFE">
              <w:rPr>
                <w:sz w:val="20"/>
                <w:szCs w:val="20"/>
              </w:rPr>
              <w:t>23%</w:t>
            </w:r>
          </w:p>
        </w:tc>
      </w:tr>
      <w:tr w:rsidR="008B1D27" w:rsidRPr="008B1D27" w:rsidTr="000A7C12">
        <w:tc>
          <w:tcPr>
            <w:tcW w:w="1915" w:type="dxa"/>
          </w:tcPr>
          <w:p w:rsidR="008B1D27" w:rsidRPr="00203CFE" w:rsidRDefault="008B1D27" w:rsidP="000A7C12">
            <w:pPr>
              <w:tabs>
                <w:tab w:val="left" w:pos="924"/>
              </w:tabs>
              <w:rPr>
                <w:b/>
                <w:i/>
                <w:sz w:val="20"/>
                <w:szCs w:val="20"/>
              </w:rPr>
            </w:pPr>
            <w:r w:rsidRPr="00203CFE">
              <w:rPr>
                <w:b/>
                <w:i/>
                <w:sz w:val="20"/>
                <w:szCs w:val="20"/>
              </w:rPr>
              <w:t>All Michigan</w:t>
            </w:r>
          </w:p>
        </w:tc>
        <w:tc>
          <w:tcPr>
            <w:tcW w:w="1915" w:type="dxa"/>
          </w:tcPr>
          <w:p w:rsidR="008B1D27" w:rsidRPr="00203CFE" w:rsidRDefault="008B1D27" w:rsidP="000A7C12">
            <w:pPr>
              <w:tabs>
                <w:tab w:val="left" w:pos="924"/>
              </w:tabs>
              <w:jc w:val="center"/>
              <w:rPr>
                <w:b/>
                <w:i/>
                <w:sz w:val="20"/>
                <w:szCs w:val="20"/>
              </w:rPr>
            </w:pPr>
            <w:r w:rsidRPr="00203CFE">
              <w:rPr>
                <w:b/>
                <w:i/>
                <w:sz w:val="20"/>
                <w:szCs w:val="20"/>
              </w:rPr>
              <w:t>53%</w:t>
            </w:r>
          </w:p>
        </w:tc>
        <w:tc>
          <w:tcPr>
            <w:tcW w:w="1915" w:type="dxa"/>
          </w:tcPr>
          <w:p w:rsidR="008B1D27" w:rsidRPr="00203CFE" w:rsidRDefault="008B1D27" w:rsidP="000A7C12">
            <w:pPr>
              <w:tabs>
                <w:tab w:val="left" w:pos="924"/>
              </w:tabs>
              <w:jc w:val="center"/>
              <w:rPr>
                <w:b/>
                <w:i/>
                <w:sz w:val="20"/>
                <w:szCs w:val="20"/>
              </w:rPr>
            </w:pPr>
            <w:r w:rsidRPr="00203CFE">
              <w:rPr>
                <w:b/>
                <w:i/>
                <w:sz w:val="20"/>
                <w:szCs w:val="20"/>
              </w:rPr>
              <w:t>5%</w:t>
            </w:r>
          </w:p>
        </w:tc>
        <w:tc>
          <w:tcPr>
            <w:tcW w:w="1915" w:type="dxa"/>
          </w:tcPr>
          <w:p w:rsidR="008B1D27" w:rsidRPr="00203CFE" w:rsidRDefault="008B1D27" w:rsidP="000A7C12">
            <w:pPr>
              <w:tabs>
                <w:tab w:val="left" w:pos="924"/>
              </w:tabs>
              <w:jc w:val="center"/>
              <w:rPr>
                <w:b/>
                <w:i/>
                <w:sz w:val="20"/>
                <w:szCs w:val="20"/>
              </w:rPr>
            </w:pPr>
            <w:r w:rsidRPr="00203CFE">
              <w:rPr>
                <w:b/>
                <w:i/>
                <w:sz w:val="20"/>
                <w:szCs w:val="20"/>
              </w:rPr>
              <w:t>22%</w:t>
            </w:r>
          </w:p>
        </w:tc>
        <w:tc>
          <w:tcPr>
            <w:tcW w:w="1916" w:type="dxa"/>
          </w:tcPr>
          <w:p w:rsidR="008B1D27" w:rsidRPr="00203CFE" w:rsidRDefault="008B1D27" w:rsidP="000A7C12">
            <w:pPr>
              <w:tabs>
                <w:tab w:val="left" w:pos="924"/>
              </w:tabs>
              <w:jc w:val="center"/>
              <w:rPr>
                <w:b/>
                <w:i/>
                <w:sz w:val="20"/>
                <w:szCs w:val="20"/>
              </w:rPr>
            </w:pPr>
            <w:r w:rsidRPr="00203CFE">
              <w:rPr>
                <w:b/>
                <w:i/>
                <w:sz w:val="20"/>
                <w:szCs w:val="20"/>
              </w:rPr>
              <w:t>21%</w:t>
            </w:r>
          </w:p>
        </w:tc>
      </w:tr>
      <w:tr w:rsidR="008B1D27" w:rsidRPr="008B1D27" w:rsidTr="000A7C12">
        <w:tc>
          <w:tcPr>
            <w:tcW w:w="1915" w:type="dxa"/>
          </w:tcPr>
          <w:p w:rsidR="008B1D27" w:rsidRPr="00203CFE" w:rsidRDefault="008B1D27" w:rsidP="000A7C12">
            <w:pPr>
              <w:tabs>
                <w:tab w:val="left" w:pos="924"/>
              </w:tabs>
              <w:rPr>
                <w:sz w:val="20"/>
                <w:szCs w:val="20"/>
              </w:rPr>
            </w:pPr>
            <w:r w:rsidRPr="00203CFE">
              <w:rPr>
                <w:sz w:val="20"/>
                <w:szCs w:val="20"/>
              </w:rPr>
              <w:t>Outstate</w:t>
            </w:r>
          </w:p>
        </w:tc>
        <w:tc>
          <w:tcPr>
            <w:tcW w:w="1915" w:type="dxa"/>
          </w:tcPr>
          <w:p w:rsidR="008B1D27" w:rsidRPr="00203CFE" w:rsidRDefault="008B1D27" w:rsidP="000A7C12">
            <w:pPr>
              <w:tabs>
                <w:tab w:val="left" w:pos="924"/>
              </w:tabs>
              <w:jc w:val="center"/>
              <w:rPr>
                <w:sz w:val="20"/>
                <w:szCs w:val="20"/>
              </w:rPr>
            </w:pPr>
            <w:r w:rsidRPr="00203CFE">
              <w:rPr>
                <w:sz w:val="20"/>
                <w:szCs w:val="20"/>
              </w:rPr>
              <w:t>58%</w:t>
            </w:r>
          </w:p>
        </w:tc>
        <w:tc>
          <w:tcPr>
            <w:tcW w:w="1915" w:type="dxa"/>
          </w:tcPr>
          <w:p w:rsidR="008B1D27" w:rsidRPr="00203CFE" w:rsidRDefault="008B1D27" w:rsidP="000A7C12">
            <w:pPr>
              <w:tabs>
                <w:tab w:val="left" w:pos="924"/>
              </w:tabs>
              <w:jc w:val="center"/>
              <w:rPr>
                <w:sz w:val="20"/>
                <w:szCs w:val="20"/>
              </w:rPr>
            </w:pPr>
            <w:r w:rsidRPr="00203CFE">
              <w:rPr>
                <w:sz w:val="20"/>
                <w:szCs w:val="20"/>
              </w:rPr>
              <w:t>4%</w:t>
            </w:r>
          </w:p>
        </w:tc>
        <w:tc>
          <w:tcPr>
            <w:tcW w:w="1915" w:type="dxa"/>
          </w:tcPr>
          <w:p w:rsidR="008B1D27" w:rsidRPr="00203CFE" w:rsidRDefault="008B1D27" w:rsidP="000A7C12">
            <w:pPr>
              <w:tabs>
                <w:tab w:val="left" w:pos="924"/>
              </w:tabs>
              <w:jc w:val="center"/>
              <w:rPr>
                <w:sz w:val="20"/>
                <w:szCs w:val="20"/>
              </w:rPr>
            </w:pPr>
            <w:r w:rsidRPr="00203CFE">
              <w:rPr>
                <w:sz w:val="20"/>
                <w:szCs w:val="20"/>
              </w:rPr>
              <w:t>18%</w:t>
            </w:r>
          </w:p>
        </w:tc>
        <w:tc>
          <w:tcPr>
            <w:tcW w:w="1916" w:type="dxa"/>
          </w:tcPr>
          <w:p w:rsidR="008B1D27" w:rsidRPr="00203CFE" w:rsidRDefault="008B1D27" w:rsidP="000A7C12">
            <w:pPr>
              <w:tabs>
                <w:tab w:val="left" w:pos="924"/>
              </w:tabs>
              <w:jc w:val="center"/>
              <w:rPr>
                <w:sz w:val="20"/>
                <w:szCs w:val="20"/>
              </w:rPr>
            </w:pPr>
            <w:r w:rsidRPr="00203CFE">
              <w:rPr>
                <w:sz w:val="20"/>
                <w:szCs w:val="20"/>
              </w:rPr>
              <w:t>19%</w:t>
            </w:r>
          </w:p>
        </w:tc>
      </w:tr>
    </w:tbl>
    <w:p w:rsidR="008B1D27" w:rsidRPr="008B1D27" w:rsidRDefault="008B1D27" w:rsidP="008B1D27">
      <w:pPr>
        <w:pStyle w:val="ListParagraph"/>
        <w:rPr>
          <w:b/>
        </w:rPr>
      </w:pPr>
    </w:p>
    <w:p w:rsidR="008B1D27" w:rsidRPr="00025164" w:rsidRDefault="008B1D27" w:rsidP="00025164">
      <w:pPr>
        <w:rPr>
          <w:b/>
          <w:sz w:val="24"/>
          <w:szCs w:val="24"/>
        </w:rPr>
      </w:pPr>
      <w:r>
        <w:rPr>
          <w:b/>
          <w:sz w:val="24"/>
          <w:szCs w:val="24"/>
        </w:rPr>
        <w:br w:type="page"/>
      </w:r>
    </w:p>
    <w:p w:rsidR="006A6AD5" w:rsidRPr="007C7C36" w:rsidRDefault="006A6AD5" w:rsidP="007C6C7F">
      <w:pPr>
        <w:pStyle w:val="ListParagraph"/>
        <w:numPr>
          <w:ilvl w:val="0"/>
          <w:numId w:val="12"/>
        </w:numPr>
        <w:rPr>
          <w:b/>
          <w:sz w:val="28"/>
          <w:szCs w:val="28"/>
        </w:rPr>
      </w:pPr>
      <w:r w:rsidRPr="007C7C36">
        <w:rPr>
          <w:b/>
          <w:sz w:val="28"/>
          <w:szCs w:val="28"/>
        </w:rPr>
        <w:t>COVID</w:t>
      </w:r>
      <w:r w:rsidR="00BA32CB" w:rsidRPr="007C7C36">
        <w:rPr>
          <w:b/>
          <w:sz w:val="28"/>
          <w:szCs w:val="28"/>
        </w:rPr>
        <w:t>-19</w:t>
      </w:r>
      <w:r w:rsidR="007C6C7F" w:rsidRPr="007C7C36">
        <w:rPr>
          <w:b/>
          <w:sz w:val="28"/>
          <w:szCs w:val="28"/>
        </w:rPr>
        <w:t>’s Impact on Michigan Nonprofits</w:t>
      </w:r>
    </w:p>
    <w:p w:rsidR="007C6C7F" w:rsidRDefault="007C6C7F" w:rsidP="007C6C7F">
      <w:pPr>
        <w:rPr>
          <w:sz w:val="20"/>
          <w:szCs w:val="20"/>
        </w:rPr>
      </w:pPr>
      <w:r>
        <w:rPr>
          <w:b/>
        </w:rPr>
        <w:t xml:space="preserve">#6 – The “hybrid” office is here stay. </w:t>
      </w:r>
      <w:r w:rsidRPr="0041429E">
        <w:rPr>
          <w:sz w:val="20"/>
          <w:szCs w:val="20"/>
        </w:rPr>
        <w:t>On the chart be</w:t>
      </w:r>
      <w:r>
        <w:rPr>
          <w:sz w:val="20"/>
          <w:szCs w:val="20"/>
        </w:rPr>
        <w:t>low, there is</w:t>
      </w:r>
      <w:r w:rsidRPr="0041429E">
        <w:rPr>
          <w:sz w:val="20"/>
          <w:szCs w:val="20"/>
        </w:rPr>
        <w:t xml:space="preserve"> little visible</w:t>
      </w:r>
      <w:r>
        <w:rPr>
          <w:sz w:val="20"/>
          <w:szCs w:val="20"/>
        </w:rPr>
        <w:t xml:space="preserve"> difference</w:t>
      </w:r>
      <w:r w:rsidRPr="0041429E">
        <w:rPr>
          <w:sz w:val="20"/>
          <w:szCs w:val="20"/>
        </w:rPr>
        <w:t xml:space="preserve"> between </w:t>
      </w:r>
      <w:r>
        <w:rPr>
          <w:sz w:val="20"/>
          <w:szCs w:val="20"/>
        </w:rPr>
        <w:t xml:space="preserve">statewide results for </w:t>
      </w:r>
      <w:r w:rsidRPr="0041429E">
        <w:rPr>
          <w:sz w:val="20"/>
          <w:szCs w:val="20"/>
        </w:rPr>
        <w:t>2022 and 2023.</w:t>
      </w:r>
      <w:r>
        <w:rPr>
          <w:sz w:val="20"/>
          <w:szCs w:val="20"/>
        </w:rPr>
        <w:t xml:space="preserve">  Differences between 2023 statewide and metro Detro</w:t>
      </w:r>
      <w:r>
        <w:rPr>
          <w:sz w:val="20"/>
          <w:szCs w:val="20"/>
        </w:rPr>
        <w:t xml:space="preserve">it figures, however, are profound </w:t>
      </w:r>
      <w:r>
        <w:rPr>
          <w:sz w:val="20"/>
          <w:szCs w:val="20"/>
        </w:rPr>
        <w:t xml:space="preserve">for use of the hybrid office (purple area on the chart below) with 60% of our metro Detroit respondents reporting that their organizations have gone – probably permanently - hybrid versus 38% </w:t>
      </w:r>
      <w:r w:rsidR="00A67B77">
        <w:rPr>
          <w:sz w:val="20"/>
          <w:szCs w:val="20"/>
        </w:rPr>
        <w:t xml:space="preserve">operating hybrid </w:t>
      </w:r>
      <w:r>
        <w:rPr>
          <w:sz w:val="20"/>
          <w:szCs w:val="20"/>
        </w:rPr>
        <w:t>statewide.</w:t>
      </w:r>
    </w:p>
    <w:p w:rsidR="007C6C7F" w:rsidRPr="0041429E" w:rsidRDefault="007C6C7F" w:rsidP="007C6C7F">
      <w:pPr>
        <w:rPr>
          <w:b/>
        </w:rPr>
      </w:pPr>
      <w:r w:rsidRPr="0041429E">
        <w:rPr>
          <w:sz w:val="20"/>
          <w:szCs w:val="20"/>
        </w:rPr>
        <w:t xml:space="preserve"> </w:t>
      </w:r>
      <w:r>
        <w:rPr>
          <w:noProof/>
        </w:rPr>
        <w:drawing>
          <wp:inline distT="0" distB="0" distL="0" distR="0" wp14:anchorId="2945F7E3" wp14:editId="7C4385D2">
            <wp:extent cx="5859624" cy="2850502"/>
            <wp:effectExtent l="0" t="0" r="27305" b="266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2D07" w:rsidRPr="00A67B77" w:rsidRDefault="0071643B" w:rsidP="003A2D07">
      <w:pPr>
        <w:rPr>
          <w:sz w:val="20"/>
          <w:szCs w:val="20"/>
        </w:rPr>
      </w:pPr>
      <w:r w:rsidRPr="001C14FF">
        <w:rPr>
          <w:b/>
        </w:rPr>
        <w:t xml:space="preserve">#7 </w:t>
      </w:r>
      <w:r w:rsidR="00822548" w:rsidRPr="001C14FF">
        <w:rPr>
          <w:b/>
        </w:rPr>
        <w:t>–</w:t>
      </w:r>
      <w:r w:rsidRPr="001C14FF">
        <w:rPr>
          <w:b/>
        </w:rPr>
        <w:t xml:space="preserve"> </w:t>
      </w:r>
      <w:r w:rsidR="00822548" w:rsidRPr="001C14FF">
        <w:rPr>
          <w:b/>
        </w:rPr>
        <w:t>A</w:t>
      </w:r>
      <w:r w:rsidR="007C6C7F">
        <w:rPr>
          <w:b/>
        </w:rPr>
        <w:t xml:space="preserve">t the same time, the proportion of respondents </w:t>
      </w:r>
      <w:r w:rsidR="003A2D07">
        <w:rPr>
          <w:b/>
        </w:rPr>
        <w:t xml:space="preserve">reporting the </w:t>
      </w:r>
      <w:r w:rsidR="00BA32CB" w:rsidRPr="001C14FF">
        <w:rPr>
          <w:b/>
        </w:rPr>
        <w:t xml:space="preserve">pandemic to have </w:t>
      </w:r>
      <w:r w:rsidR="004E3CB3" w:rsidRPr="001C14FF">
        <w:rPr>
          <w:b/>
        </w:rPr>
        <w:t>“</w:t>
      </w:r>
      <w:r w:rsidR="004B6ED0">
        <w:rPr>
          <w:b/>
        </w:rPr>
        <w:t>s</w:t>
      </w:r>
      <w:r w:rsidR="003D2BB7" w:rsidRPr="001C14FF">
        <w:rPr>
          <w:b/>
        </w:rPr>
        <w:t>ignificant</w:t>
      </w:r>
      <w:r w:rsidR="004E3CB3" w:rsidRPr="001C14FF">
        <w:rPr>
          <w:b/>
        </w:rPr>
        <w:t>” imp</w:t>
      </w:r>
      <w:r w:rsidR="003D2BB7" w:rsidRPr="001C14FF">
        <w:rPr>
          <w:b/>
        </w:rPr>
        <w:t xml:space="preserve">act on </w:t>
      </w:r>
      <w:r w:rsidRPr="001C14FF">
        <w:rPr>
          <w:b/>
        </w:rPr>
        <w:t>how their agency does its work</w:t>
      </w:r>
      <w:r w:rsidR="003A2D07">
        <w:rPr>
          <w:b/>
        </w:rPr>
        <w:t xml:space="preserve"> fell sharply. </w:t>
      </w:r>
      <w:r w:rsidR="003A2D07" w:rsidRPr="00A67B77">
        <w:rPr>
          <w:sz w:val="20"/>
          <w:szCs w:val="20"/>
        </w:rPr>
        <w:t>On the 2022 survey, 60% of respondents reported that the pandemic had significant impact on how their organization did its work which fell to 23% on the 2023 survey while</w:t>
      </w:r>
      <w:r w:rsidR="00822548" w:rsidRPr="00A67B77">
        <w:rPr>
          <w:sz w:val="20"/>
          <w:szCs w:val="20"/>
        </w:rPr>
        <w:t xml:space="preserve"> the proportion </w:t>
      </w:r>
      <w:r w:rsidR="003A2D07" w:rsidRPr="00A67B77">
        <w:rPr>
          <w:sz w:val="20"/>
          <w:szCs w:val="20"/>
        </w:rPr>
        <w:t>reporting that the p</w:t>
      </w:r>
      <w:r w:rsidR="00CD2D84" w:rsidRPr="00A67B77">
        <w:rPr>
          <w:sz w:val="20"/>
          <w:szCs w:val="20"/>
        </w:rPr>
        <w:t xml:space="preserve">andemic </w:t>
      </w:r>
      <w:r w:rsidR="00142E37" w:rsidRPr="00A67B77">
        <w:rPr>
          <w:sz w:val="20"/>
          <w:szCs w:val="20"/>
        </w:rPr>
        <w:t>has</w:t>
      </w:r>
      <w:r w:rsidR="001C14FF" w:rsidRPr="00A67B77">
        <w:rPr>
          <w:sz w:val="20"/>
          <w:szCs w:val="20"/>
        </w:rPr>
        <w:t xml:space="preserve"> </w:t>
      </w:r>
      <w:r w:rsidR="00142E37" w:rsidRPr="00A67B77">
        <w:rPr>
          <w:sz w:val="20"/>
          <w:szCs w:val="20"/>
        </w:rPr>
        <w:t>”Little</w:t>
      </w:r>
      <w:r w:rsidR="003A2D07" w:rsidRPr="00A67B77">
        <w:rPr>
          <w:sz w:val="20"/>
          <w:szCs w:val="20"/>
        </w:rPr>
        <w:t xml:space="preserve"> or No Impact” </w:t>
      </w:r>
      <w:r w:rsidR="00CD2D84" w:rsidRPr="00A67B77">
        <w:rPr>
          <w:sz w:val="20"/>
          <w:szCs w:val="20"/>
        </w:rPr>
        <w:t xml:space="preserve">rose from 5% to 40%.  These are the two most dramatic </w:t>
      </w:r>
      <w:r w:rsidR="00822548" w:rsidRPr="00A67B77">
        <w:rPr>
          <w:sz w:val="20"/>
          <w:szCs w:val="20"/>
        </w:rPr>
        <w:t>year-over-year change</w:t>
      </w:r>
      <w:r w:rsidR="004B6ED0" w:rsidRPr="00A67B77">
        <w:rPr>
          <w:sz w:val="20"/>
          <w:szCs w:val="20"/>
        </w:rPr>
        <w:t xml:space="preserve">s </w:t>
      </w:r>
      <w:r w:rsidR="00CD2D84" w:rsidRPr="00A67B77">
        <w:rPr>
          <w:sz w:val="20"/>
          <w:szCs w:val="20"/>
        </w:rPr>
        <w:t>found by the 2023</w:t>
      </w:r>
      <w:r w:rsidR="003A2D07" w:rsidRPr="00A67B77">
        <w:rPr>
          <w:sz w:val="20"/>
          <w:szCs w:val="20"/>
        </w:rPr>
        <w:t xml:space="preserve"> s</w:t>
      </w:r>
      <w:r w:rsidR="00CD2D84" w:rsidRPr="00A67B77">
        <w:rPr>
          <w:sz w:val="20"/>
          <w:szCs w:val="20"/>
        </w:rPr>
        <w:t>urvey</w:t>
      </w:r>
      <w:r w:rsidR="00822548" w:rsidRPr="00A67B77">
        <w:rPr>
          <w:sz w:val="20"/>
          <w:szCs w:val="20"/>
        </w:rPr>
        <w:t>.</w:t>
      </w:r>
      <w:r w:rsidR="003A2D07" w:rsidRPr="00A67B77">
        <w:rPr>
          <w:sz w:val="20"/>
          <w:szCs w:val="20"/>
        </w:rPr>
        <w:t xml:space="preserve"> </w:t>
      </w:r>
    </w:p>
    <w:p w:rsidR="00FD324B" w:rsidRPr="00BF2E73" w:rsidRDefault="003A2D07" w:rsidP="003A2D07">
      <w:pPr>
        <w:rPr>
          <w:b/>
          <w:sz w:val="28"/>
          <w:szCs w:val="28"/>
        </w:rPr>
      </w:pPr>
      <w:r w:rsidRPr="0041429E">
        <w:rPr>
          <w:noProof/>
        </w:rPr>
        <w:drawing>
          <wp:inline distT="0" distB="0" distL="0" distR="0" wp14:anchorId="197E6A99" wp14:editId="21CC1FFD">
            <wp:extent cx="5962261" cy="2729204"/>
            <wp:effectExtent l="0" t="0" r="19685"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A2D07" w:rsidRPr="007C7C36" w:rsidRDefault="003A2D07" w:rsidP="003A2D07">
      <w:pPr>
        <w:pStyle w:val="ListParagraph"/>
        <w:numPr>
          <w:ilvl w:val="0"/>
          <w:numId w:val="12"/>
        </w:numPr>
        <w:rPr>
          <w:b/>
          <w:sz w:val="28"/>
          <w:szCs w:val="28"/>
        </w:rPr>
      </w:pPr>
      <w:r w:rsidRPr="007C7C36">
        <w:rPr>
          <w:b/>
          <w:sz w:val="28"/>
          <w:szCs w:val="28"/>
        </w:rPr>
        <w:t>Facility needs of Michigan Nonprofits</w:t>
      </w:r>
    </w:p>
    <w:p w:rsidR="00142E37" w:rsidRPr="003A2D07" w:rsidRDefault="00BF2E73" w:rsidP="003A2D07">
      <w:pPr>
        <w:rPr>
          <w:sz w:val="20"/>
          <w:szCs w:val="20"/>
        </w:rPr>
      </w:pPr>
      <w:r w:rsidRPr="003A2D07">
        <w:rPr>
          <w:sz w:val="20"/>
          <w:szCs w:val="20"/>
        </w:rPr>
        <w:t>Because</w:t>
      </w:r>
      <w:r w:rsidR="00FD324B" w:rsidRPr="003A2D07">
        <w:rPr>
          <w:sz w:val="20"/>
          <w:szCs w:val="20"/>
        </w:rPr>
        <w:t xml:space="preserve"> we found </w:t>
      </w:r>
      <w:r w:rsidR="00564389" w:rsidRPr="003A2D07">
        <w:rPr>
          <w:sz w:val="20"/>
          <w:szCs w:val="20"/>
        </w:rPr>
        <w:t>so many nonprofit organizations</w:t>
      </w:r>
      <w:r w:rsidRPr="003A2D07">
        <w:rPr>
          <w:sz w:val="20"/>
          <w:szCs w:val="20"/>
        </w:rPr>
        <w:t xml:space="preserve"> </w:t>
      </w:r>
      <w:r w:rsidR="003A2D07">
        <w:rPr>
          <w:sz w:val="20"/>
          <w:szCs w:val="20"/>
        </w:rPr>
        <w:t>operating</w:t>
      </w:r>
      <w:r w:rsidR="00564389" w:rsidRPr="003A2D07">
        <w:rPr>
          <w:sz w:val="20"/>
          <w:szCs w:val="20"/>
        </w:rPr>
        <w:t xml:space="preserve"> on a hybrid basis</w:t>
      </w:r>
      <w:r w:rsidR="00FD324B" w:rsidRPr="003A2D07">
        <w:rPr>
          <w:sz w:val="20"/>
          <w:szCs w:val="20"/>
        </w:rPr>
        <w:t xml:space="preserve"> in 2022, we</w:t>
      </w:r>
      <w:r w:rsidRPr="003A2D07">
        <w:rPr>
          <w:sz w:val="20"/>
          <w:szCs w:val="20"/>
        </w:rPr>
        <w:t xml:space="preserve"> added three questions</w:t>
      </w:r>
      <w:r w:rsidR="003A2D07">
        <w:rPr>
          <w:sz w:val="20"/>
          <w:szCs w:val="20"/>
        </w:rPr>
        <w:t xml:space="preserve"> exploring how that might – or might not – change the facility </w:t>
      </w:r>
      <w:r w:rsidRPr="003A2D07">
        <w:rPr>
          <w:sz w:val="20"/>
          <w:szCs w:val="20"/>
        </w:rPr>
        <w:t>needs of Michigan nonprofits to our 2023 survey.</w:t>
      </w:r>
      <w:r w:rsidR="00072DC5" w:rsidRPr="003A2D07">
        <w:rPr>
          <w:sz w:val="20"/>
          <w:szCs w:val="20"/>
        </w:rPr>
        <w:t xml:space="preserve"> </w:t>
      </w:r>
    </w:p>
    <w:p w:rsidR="00BF2E73" w:rsidRDefault="00A05983">
      <w:pPr>
        <w:rPr>
          <w:sz w:val="20"/>
          <w:szCs w:val="20"/>
        </w:rPr>
      </w:pPr>
      <w:r w:rsidRPr="00072DC5">
        <w:rPr>
          <w:b/>
          <w:sz w:val="20"/>
          <w:szCs w:val="20"/>
        </w:rPr>
        <w:t>#9 – Facilities</w:t>
      </w:r>
      <w:r w:rsidR="00BF2E73">
        <w:rPr>
          <w:b/>
          <w:sz w:val="20"/>
          <w:szCs w:val="20"/>
        </w:rPr>
        <w:t xml:space="preserve"> and Sites</w:t>
      </w:r>
      <w:r w:rsidRPr="00072DC5">
        <w:rPr>
          <w:b/>
          <w:sz w:val="20"/>
          <w:szCs w:val="20"/>
        </w:rPr>
        <w:t xml:space="preserve"> – Statewide, 74% of</w:t>
      </w:r>
      <w:r w:rsidR="00BF2E73">
        <w:rPr>
          <w:b/>
          <w:sz w:val="20"/>
          <w:szCs w:val="20"/>
        </w:rPr>
        <w:t xml:space="preserve"> our</w:t>
      </w:r>
      <w:r w:rsidRPr="00072DC5">
        <w:rPr>
          <w:b/>
          <w:sz w:val="20"/>
          <w:szCs w:val="20"/>
        </w:rPr>
        <w:t xml:space="preserve"> respond</w:t>
      </w:r>
      <w:r w:rsidR="00234FF5">
        <w:rPr>
          <w:b/>
          <w:sz w:val="20"/>
          <w:szCs w:val="20"/>
        </w:rPr>
        <w:t>ents said</w:t>
      </w:r>
      <w:r w:rsidRPr="00072DC5">
        <w:rPr>
          <w:b/>
          <w:sz w:val="20"/>
          <w:szCs w:val="20"/>
        </w:rPr>
        <w:t xml:space="preserve"> that the </w:t>
      </w:r>
      <w:r w:rsidR="00142E37" w:rsidRPr="00072DC5">
        <w:rPr>
          <w:b/>
          <w:sz w:val="20"/>
          <w:szCs w:val="20"/>
        </w:rPr>
        <w:t>Pandemic and</w:t>
      </w:r>
      <w:r w:rsidRPr="00072DC5">
        <w:rPr>
          <w:b/>
          <w:sz w:val="20"/>
          <w:szCs w:val="20"/>
        </w:rPr>
        <w:t>/or Work from Home had no impact on the number of faci</w:t>
      </w:r>
      <w:r w:rsidR="00BF2E73">
        <w:rPr>
          <w:b/>
          <w:sz w:val="20"/>
          <w:szCs w:val="20"/>
        </w:rPr>
        <w:t xml:space="preserve">lities </w:t>
      </w:r>
      <w:r w:rsidRPr="00072DC5">
        <w:rPr>
          <w:b/>
          <w:sz w:val="20"/>
          <w:szCs w:val="20"/>
        </w:rPr>
        <w:t>or sites through which they deliver</w:t>
      </w:r>
      <w:r w:rsidR="00234FF5">
        <w:rPr>
          <w:b/>
          <w:sz w:val="20"/>
          <w:szCs w:val="20"/>
        </w:rPr>
        <w:t>ed</w:t>
      </w:r>
      <w:r w:rsidRPr="00072DC5">
        <w:rPr>
          <w:b/>
          <w:sz w:val="20"/>
          <w:szCs w:val="20"/>
        </w:rPr>
        <w:t xml:space="preserve"> </w:t>
      </w:r>
      <w:r w:rsidR="00234FF5">
        <w:rPr>
          <w:b/>
          <w:sz w:val="20"/>
          <w:szCs w:val="20"/>
        </w:rPr>
        <w:t>services</w:t>
      </w:r>
      <w:r w:rsidR="00BF2E73">
        <w:rPr>
          <w:b/>
          <w:sz w:val="20"/>
          <w:szCs w:val="20"/>
        </w:rPr>
        <w:t xml:space="preserve">, </w:t>
      </w:r>
      <w:r w:rsidR="00BF2E73">
        <w:rPr>
          <w:sz w:val="20"/>
          <w:szCs w:val="20"/>
        </w:rPr>
        <w:t>3</w:t>
      </w:r>
      <w:r w:rsidR="00142E37" w:rsidRPr="00072DC5">
        <w:rPr>
          <w:sz w:val="20"/>
          <w:szCs w:val="20"/>
        </w:rPr>
        <w:t xml:space="preserve">% indicated that they had </w:t>
      </w:r>
      <w:r w:rsidR="00072DC5">
        <w:rPr>
          <w:sz w:val="20"/>
          <w:szCs w:val="20"/>
        </w:rPr>
        <w:t xml:space="preserve">actually </w:t>
      </w:r>
      <w:r w:rsidR="00142E37" w:rsidRPr="00072DC5">
        <w:rPr>
          <w:sz w:val="20"/>
          <w:szCs w:val="20"/>
        </w:rPr>
        <w:t>incre</w:t>
      </w:r>
      <w:r w:rsidR="00072DC5">
        <w:rPr>
          <w:sz w:val="20"/>
          <w:szCs w:val="20"/>
        </w:rPr>
        <w:t>ased the</w:t>
      </w:r>
      <w:r w:rsidR="00142E37" w:rsidRPr="00072DC5">
        <w:rPr>
          <w:sz w:val="20"/>
          <w:szCs w:val="20"/>
        </w:rPr>
        <w:t xml:space="preserve"> number of sites</w:t>
      </w:r>
      <w:r w:rsidR="00072DC5">
        <w:rPr>
          <w:sz w:val="20"/>
          <w:szCs w:val="20"/>
        </w:rPr>
        <w:t xml:space="preserve"> </w:t>
      </w:r>
      <w:r w:rsidR="00234FF5">
        <w:rPr>
          <w:sz w:val="20"/>
          <w:szCs w:val="20"/>
        </w:rPr>
        <w:t>at which they deliver services</w:t>
      </w:r>
      <w:r w:rsidR="00142E37" w:rsidRPr="00072DC5">
        <w:rPr>
          <w:sz w:val="20"/>
          <w:szCs w:val="20"/>
        </w:rPr>
        <w:t>,</w:t>
      </w:r>
      <w:r w:rsidR="00234FF5">
        <w:rPr>
          <w:sz w:val="20"/>
          <w:szCs w:val="20"/>
        </w:rPr>
        <w:t xml:space="preserve"> while just</w:t>
      </w:r>
      <w:r w:rsidR="00142E37" w:rsidRPr="00072DC5">
        <w:rPr>
          <w:sz w:val="20"/>
          <w:szCs w:val="20"/>
        </w:rPr>
        <w:t xml:space="preserve"> </w:t>
      </w:r>
      <w:r w:rsidR="00234FF5">
        <w:rPr>
          <w:sz w:val="20"/>
          <w:szCs w:val="20"/>
        </w:rPr>
        <w:t xml:space="preserve">13% indicated </w:t>
      </w:r>
      <w:r w:rsidRPr="00072DC5">
        <w:rPr>
          <w:sz w:val="20"/>
          <w:szCs w:val="20"/>
        </w:rPr>
        <w:t>they had reduced the number of facilities or sites where they deliver service</w:t>
      </w:r>
      <w:r w:rsidR="00234FF5">
        <w:rPr>
          <w:sz w:val="20"/>
          <w:szCs w:val="20"/>
        </w:rPr>
        <w:t>s.</w:t>
      </w:r>
    </w:p>
    <w:p w:rsidR="00A05983" w:rsidRPr="00072DC5" w:rsidRDefault="00BF2E73">
      <w:pPr>
        <w:rPr>
          <w:sz w:val="20"/>
          <w:szCs w:val="20"/>
        </w:rPr>
      </w:pPr>
      <w:r w:rsidRPr="00072DC5">
        <w:rPr>
          <w:b/>
          <w:sz w:val="20"/>
          <w:szCs w:val="20"/>
        </w:rPr>
        <w:t xml:space="preserve"> </w:t>
      </w:r>
      <w:r w:rsidR="00A05983" w:rsidRPr="00072DC5">
        <w:rPr>
          <w:b/>
          <w:sz w:val="20"/>
          <w:szCs w:val="20"/>
        </w:rPr>
        <w:t xml:space="preserve">#10 – Space </w:t>
      </w:r>
      <w:r w:rsidR="00142E37" w:rsidRPr="00072DC5">
        <w:rPr>
          <w:b/>
          <w:sz w:val="20"/>
          <w:szCs w:val="20"/>
        </w:rPr>
        <w:t>Utilization</w:t>
      </w:r>
      <w:r w:rsidR="00A05983" w:rsidRPr="00072DC5">
        <w:rPr>
          <w:b/>
          <w:sz w:val="20"/>
          <w:szCs w:val="20"/>
        </w:rPr>
        <w:t xml:space="preserve"> –</w:t>
      </w:r>
      <w:r>
        <w:rPr>
          <w:b/>
          <w:sz w:val="20"/>
          <w:szCs w:val="20"/>
        </w:rPr>
        <w:t xml:space="preserve"> When asked, </w:t>
      </w:r>
      <w:r w:rsidR="00A05983" w:rsidRPr="00072DC5">
        <w:rPr>
          <w:b/>
          <w:sz w:val="20"/>
          <w:szCs w:val="20"/>
        </w:rPr>
        <w:t xml:space="preserve">66% of respondents said their organizations </w:t>
      </w:r>
      <w:r w:rsidR="00142E37" w:rsidRPr="00072DC5">
        <w:rPr>
          <w:b/>
          <w:sz w:val="20"/>
          <w:szCs w:val="20"/>
        </w:rPr>
        <w:t xml:space="preserve">currently </w:t>
      </w:r>
      <w:r w:rsidR="00A05983" w:rsidRPr="00072DC5">
        <w:rPr>
          <w:b/>
          <w:sz w:val="20"/>
          <w:szCs w:val="20"/>
        </w:rPr>
        <w:t xml:space="preserve">occupied “about the right </w:t>
      </w:r>
      <w:r w:rsidR="00A67B77">
        <w:rPr>
          <w:b/>
          <w:sz w:val="20"/>
          <w:szCs w:val="20"/>
        </w:rPr>
        <w:t>amount” of space to do its work</w:t>
      </w:r>
      <w:r w:rsidR="00A05983" w:rsidRPr="00072DC5">
        <w:rPr>
          <w:sz w:val="20"/>
          <w:szCs w:val="20"/>
        </w:rPr>
        <w:t xml:space="preserve"> </w:t>
      </w:r>
      <w:r w:rsidR="00A67B77">
        <w:rPr>
          <w:sz w:val="20"/>
          <w:szCs w:val="20"/>
        </w:rPr>
        <w:t>and</w:t>
      </w:r>
      <w:r w:rsidR="00A05983" w:rsidRPr="00072DC5">
        <w:rPr>
          <w:sz w:val="20"/>
          <w:szCs w:val="20"/>
        </w:rPr>
        <w:t xml:space="preserve"> </w:t>
      </w:r>
      <w:r w:rsidR="00234FF5">
        <w:rPr>
          <w:sz w:val="20"/>
          <w:szCs w:val="20"/>
        </w:rPr>
        <w:t xml:space="preserve">23% </w:t>
      </w:r>
      <w:r w:rsidR="00A05983" w:rsidRPr="00072DC5">
        <w:rPr>
          <w:sz w:val="20"/>
          <w:szCs w:val="20"/>
        </w:rPr>
        <w:t>said they needed</w:t>
      </w:r>
      <w:r>
        <w:rPr>
          <w:sz w:val="20"/>
          <w:szCs w:val="20"/>
        </w:rPr>
        <w:t xml:space="preserve"> more space</w:t>
      </w:r>
      <w:r w:rsidR="00A05983" w:rsidRPr="00072DC5">
        <w:rPr>
          <w:sz w:val="20"/>
          <w:szCs w:val="20"/>
        </w:rPr>
        <w:t xml:space="preserve">, </w:t>
      </w:r>
      <w:r w:rsidR="00142E37" w:rsidRPr="00072DC5">
        <w:rPr>
          <w:sz w:val="20"/>
          <w:szCs w:val="20"/>
        </w:rPr>
        <w:t xml:space="preserve">while </w:t>
      </w:r>
      <w:r w:rsidR="00A67B77">
        <w:rPr>
          <w:sz w:val="20"/>
          <w:szCs w:val="20"/>
        </w:rPr>
        <w:t xml:space="preserve">a total of </w:t>
      </w:r>
      <w:r w:rsidR="00A05983" w:rsidRPr="00072DC5">
        <w:rPr>
          <w:sz w:val="20"/>
          <w:szCs w:val="20"/>
        </w:rPr>
        <w:t xml:space="preserve">just 4 organizations said </w:t>
      </w:r>
      <w:r w:rsidR="00142E37" w:rsidRPr="00072DC5">
        <w:rPr>
          <w:sz w:val="20"/>
          <w:szCs w:val="20"/>
        </w:rPr>
        <w:t xml:space="preserve">that </w:t>
      </w:r>
      <w:r w:rsidR="00A05983" w:rsidRPr="00072DC5">
        <w:rPr>
          <w:sz w:val="20"/>
          <w:szCs w:val="20"/>
        </w:rPr>
        <w:t xml:space="preserve">they </w:t>
      </w:r>
      <w:r w:rsidR="00142E37" w:rsidRPr="00072DC5">
        <w:rPr>
          <w:sz w:val="20"/>
          <w:szCs w:val="20"/>
        </w:rPr>
        <w:t xml:space="preserve">currently </w:t>
      </w:r>
      <w:r w:rsidR="00A05983" w:rsidRPr="00072DC5">
        <w:rPr>
          <w:sz w:val="20"/>
          <w:szCs w:val="20"/>
        </w:rPr>
        <w:t>oc</w:t>
      </w:r>
      <w:r w:rsidR="00142E37" w:rsidRPr="00072DC5">
        <w:rPr>
          <w:sz w:val="20"/>
          <w:szCs w:val="20"/>
        </w:rPr>
        <w:t>cupied more space than</w:t>
      </w:r>
      <w:r w:rsidR="00A05983" w:rsidRPr="00072DC5">
        <w:rPr>
          <w:sz w:val="20"/>
          <w:szCs w:val="20"/>
        </w:rPr>
        <w:t xml:space="preserve"> needed.</w:t>
      </w:r>
    </w:p>
    <w:p w:rsidR="001103A4" w:rsidRDefault="00A05983" w:rsidP="00234FF5">
      <w:pPr>
        <w:rPr>
          <w:sz w:val="20"/>
          <w:szCs w:val="20"/>
        </w:rPr>
      </w:pPr>
      <w:r w:rsidRPr="00072DC5">
        <w:rPr>
          <w:b/>
        </w:rPr>
        <w:t xml:space="preserve">#11 – Excess Space </w:t>
      </w:r>
      <w:r w:rsidR="00CD0AF2" w:rsidRPr="00072DC5">
        <w:rPr>
          <w:sz w:val="20"/>
          <w:szCs w:val="20"/>
        </w:rPr>
        <w:t>–</w:t>
      </w:r>
      <w:r w:rsidR="00234FF5">
        <w:rPr>
          <w:sz w:val="20"/>
          <w:szCs w:val="20"/>
        </w:rPr>
        <w:t xml:space="preserve"> The </w:t>
      </w:r>
      <w:r w:rsidR="00491238">
        <w:rPr>
          <w:sz w:val="20"/>
          <w:szCs w:val="20"/>
        </w:rPr>
        <w:t xml:space="preserve"> </w:t>
      </w:r>
      <w:r w:rsidR="00142E37" w:rsidRPr="00072DC5">
        <w:rPr>
          <w:sz w:val="20"/>
          <w:szCs w:val="20"/>
        </w:rPr>
        <w:t xml:space="preserve">4 </w:t>
      </w:r>
      <w:r w:rsidR="00CD0AF2" w:rsidRPr="00072DC5">
        <w:rPr>
          <w:sz w:val="20"/>
          <w:szCs w:val="20"/>
        </w:rPr>
        <w:t>respondents</w:t>
      </w:r>
      <w:r w:rsidR="00491238">
        <w:rPr>
          <w:sz w:val="20"/>
          <w:szCs w:val="20"/>
        </w:rPr>
        <w:t xml:space="preserve"> saying</w:t>
      </w:r>
      <w:r w:rsidR="00234FF5">
        <w:rPr>
          <w:sz w:val="20"/>
          <w:szCs w:val="20"/>
        </w:rPr>
        <w:t xml:space="preserve"> that their agencies occupied </w:t>
      </w:r>
      <w:r w:rsidR="00491238">
        <w:rPr>
          <w:sz w:val="20"/>
          <w:szCs w:val="20"/>
        </w:rPr>
        <w:t>more space than currently needed</w:t>
      </w:r>
      <w:r w:rsidR="00CD0AF2" w:rsidRPr="00072DC5">
        <w:rPr>
          <w:sz w:val="20"/>
          <w:szCs w:val="20"/>
        </w:rPr>
        <w:t xml:space="preserve"> </w:t>
      </w:r>
      <w:r w:rsidR="00234FF5">
        <w:rPr>
          <w:sz w:val="20"/>
          <w:szCs w:val="20"/>
        </w:rPr>
        <w:t xml:space="preserve">to do their work were asked if they were </w:t>
      </w:r>
      <w:r w:rsidR="00CD0AF2" w:rsidRPr="00072DC5">
        <w:rPr>
          <w:sz w:val="20"/>
          <w:szCs w:val="20"/>
        </w:rPr>
        <w:t>considering selling, leasing, or subleasin</w:t>
      </w:r>
      <w:r w:rsidR="00234FF5">
        <w:rPr>
          <w:sz w:val="20"/>
          <w:szCs w:val="20"/>
        </w:rPr>
        <w:t>g some</w:t>
      </w:r>
      <w:r w:rsidR="00A67B77">
        <w:rPr>
          <w:sz w:val="20"/>
          <w:szCs w:val="20"/>
        </w:rPr>
        <w:t xml:space="preserve"> of their excess space.  Of those </w:t>
      </w:r>
      <w:r w:rsidR="001103A4">
        <w:rPr>
          <w:sz w:val="20"/>
          <w:szCs w:val="20"/>
        </w:rPr>
        <w:t xml:space="preserve">of </w:t>
      </w:r>
      <w:r w:rsidR="00234FF5">
        <w:rPr>
          <w:sz w:val="20"/>
          <w:szCs w:val="20"/>
        </w:rPr>
        <w:t>4</w:t>
      </w:r>
      <w:r w:rsidR="001103A4">
        <w:rPr>
          <w:sz w:val="20"/>
          <w:szCs w:val="20"/>
        </w:rPr>
        <w:t xml:space="preserve"> nonprofits, 1 is actively seeking compatible nonprofit tenant(s) and a second would also do so if it were practical to subdivide their facility.</w:t>
      </w:r>
    </w:p>
    <w:p w:rsidR="00234FF5" w:rsidRDefault="00257C8D" w:rsidP="00257C8D">
      <w:pPr>
        <w:rPr>
          <w:sz w:val="20"/>
          <w:szCs w:val="20"/>
        </w:rPr>
      </w:pPr>
      <w:r w:rsidRPr="00257C8D">
        <w:rPr>
          <w:sz w:val="20"/>
          <w:szCs w:val="20"/>
        </w:rPr>
        <w:t>These three questions yielded some of this year’s most interesting, and surprising, data because a</w:t>
      </w:r>
      <w:r w:rsidR="00234FF5" w:rsidRPr="00257C8D">
        <w:rPr>
          <w:sz w:val="20"/>
          <w:szCs w:val="20"/>
        </w:rPr>
        <w:t xml:space="preserve"> single nonprofit looking to market its excess space was NOT at all what we expected to see with 38% of responding organizations</w:t>
      </w:r>
      <w:r w:rsidRPr="00257C8D">
        <w:rPr>
          <w:sz w:val="20"/>
          <w:szCs w:val="20"/>
        </w:rPr>
        <w:t xml:space="preserve"> statewide, and 60% in metro Detroit,</w:t>
      </w:r>
      <w:r>
        <w:rPr>
          <w:sz w:val="20"/>
          <w:szCs w:val="20"/>
        </w:rPr>
        <w:t xml:space="preserve"> operating on a hybrid basi</w:t>
      </w:r>
      <w:r w:rsidR="00234FF5" w:rsidRPr="00257C8D">
        <w:rPr>
          <w:sz w:val="20"/>
          <w:szCs w:val="20"/>
        </w:rPr>
        <w:t xml:space="preserve">s.  </w:t>
      </w:r>
    </w:p>
    <w:p w:rsidR="007C7C36" w:rsidRPr="00257C8D" w:rsidRDefault="007C7C36" w:rsidP="00257C8D">
      <w:pPr>
        <w:rPr>
          <w:sz w:val="20"/>
          <w:szCs w:val="20"/>
        </w:rPr>
      </w:pPr>
    </w:p>
    <w:p w:rsidR="00944F2B" w:rsidRPr="007C7C36" w:rsidRDefault="004E3CB3" w:rsidP="007C6C7F">
      <w:pPr>
        <w:pStyle w:val="ListParagraph"/>
        <w:numPr>
          <w:ilvl w:val="0"/>
          <w:numId w:val="12"/>
        </w:numPr>
        <w:rPr>
          <w:b/>
          <w:sz w:val="28"/>
          <w:szCs w:val="28"/>
        </w:rPr>
      </w:pPr>
      <w:r w:rsidRPr="007C7C36">
        <w:rPr>
          <w:b/>
          <w:sz w:val="28"/>
          <w:szCs w:val="28"/>
        </w:rPr>
        <w:t>Methodology:</w:t>
      </w:r>
      <w:r w:rsidR="00B41E1E" w:rsidRPr="007C7C36">
        <w:rPr>
          <w:b/>
          <w:sz w:val="28"/>
          <w:szCs w:val="28"/>
        </w:rPr>
        <w:t xml:space="preserve">  </w:t>
      </w:r>
    </w:p>
    <w:p w:rsidR="00BF0FCB" w:rsidRDefault="00625DE5" w:rsidP="00532478">
      <w:pPr>
        <w:rPr>
          <w:sz w:val="20"/>
          <w:szCs w:val="20"/>
        </w:rPr>
      </w:pPr>
      <w:r>
        <w:rPr>
          <w:sz w:val="20"/>
          <w:szCs w:val="20"/>
        </w:rPr>
        <w:t>T</w:t>
      </w:r>
      <w:r w:rsidR="004E3CB3" w:rsidRPr="00072DC5">
        <w:rPr>
          <w:sz w:val="20"/>
          <w:szCs w:val="20"/>
        </w:rPr>
        <w:t xml:space="preserve">he </w:t>
      </w:r>
      <w:r w:rsidR="00682836" w:rsidRPr="000B16FF">
        <w:rPr>
          <w:i/>
          <w:sz w:val="20"/>
          <w:szCs w:val="20"/>
        </w:rPr>
        <w:t xml:space="preserve">Michigan Fundraising Climate </w:t>
      </w:r>
      <w:r w:rsidR="004E3CB3" w:rsidRPr="000B16FF">
        <w:rPr>
          <w:i/>
          <w:sz w:val="20"/>
          <w:szCs w:val="20"/>
        </w:rPr>
        <w:t>Survey</w:t>
      </w:r>
      <w:r w:rsidR="004E3CB3" w:rsidRPr="00072DC5">
        <w:rPr>
          <w:sz w:val="20"/>
          <w:szCs w:val="20"/>
        </w:rPr>
        <w:t xml:space="preserve"> </w:t>
      </w:r>
      <w:r w:rsidR="002A1EC9">
        <w:rPr>
          <w:sz w:val="20"/>
          <w:szCs w:val="20"/>
        </w:rPr>
        <w:t>series was launched in 2012.</w:t>
      </w:r>
      <w:r w:rsidR="004E3CB3" w:rsidRPr="00072DC5">
        <w:rPr>
          <w:sz w:val="20"/>
          <w:szCs w:val="20"/>
        </w:rPr>
        <w:t xml:space="preserve"> To</w:t>
      </w:r>
      <w:r w:rsidR="00BF0FCB">
        <w:rPr>
          <w:sz w:val="20"/>
          <w:szCs w:val="20"/>
        </w:rPr>
        <w:t xml:space="preserve"> conduct </w:t>
      </w:r>
      <w:r w:rsidR="000B16FF">
        <w:rPr>
          <w:sz w:val="20"/>
          <w:szCs w:val="20"/>
        </w:rPr>
        <w:t xml:space="preserve">each </w:t>
      </w:r>
      <w:r w:rsidR="00BF0FCB">
        <w:rPr>
          <w:sz w:val="20"/>
          <w:szCs w:val="20"/>
        </w:rPr>
        <w:t xml:space="preserve">the </w:t>
      </w:r>
      <w:r w:rsidR="00425F2F" w:rsidRPr="00072DC5">
        <w:rPr>
          <w:sz w:val="20"/>
          <w:szCs w:val="20"/>
        </w:rPr>
        <w:t xml:space="preserve">survey, we </w:t>
      </w:r>
      <w:r w:rsidR="000B16FF">
        <w:rPr>
          <w:sz w:val="20"/>
          <w:szCs w:val="20"/>
        </w:rPr>
        <w:t xml:space="preserve">built and continue to update a </w:t>
      </w:r>
      <w:r w:rsidR="00D74875" w:rsidRPr="00072DC5">
        <w:rPr>
          <w:sz w:val="20"/>
          <w:szCs w:val="20"/>
        </w:rPr>
        <w:t>s</w:t>
      </w:r>
      <w:r w:rsidR="00944F2B" w:rsidRPr="00072DC5">
        <w:rPr>
          <w:sz w:val="20"/>
          <w:szCs w:val="20"/>
        </w:rPr>
        <w:t>ample frame of Michigan N</w:t>
      </w:r>
      <w:r w:rsidR="00D74875" w:rsidRPr="00072DC5">
        <w:rPr>
          <w:sz w:val="20"/>
          <w:szCs w:val="20"/>
        </w:rPr>
        <w:t xml:space="preserve">POs </w:t>
      </w:r>
      <w:r w:rsidR="00BF2E73">
        <w:rPr>
          <w:sz w:val="20"/>
          <w:szCs w:val="20"/>
        </w:rPr>
        <w:t>of the types</w:t>
      </w:r>
      <w:r>
        <w:rPr>
          <w:sz w:val="20"/>
          <w:szCs w:val="20"/>
        </w:rPr>
        <w:t xml:space="preserve"> </w:t>
      </w:r>
      <w:r w:rsidR="00D74875" w:rsidRPr="00072DC5">
        <w:rPr>
          <w:sz w:val="20"/>
          <w:szCs w:val="20"/>
        </w:rPr>
        <w:t xml:space="preserve">most likely </w:t>
      </w:r>
      <w:r w:rsidR="002A1EC9">
        <w:rPr>
          <w:sz w:val="20"/>
          <w:szCs w:val="20"/>
        </w:rPr>
        <w:t xml:space="preserve">to be actively fundraising. </w:t>
      </w:r>
      <w:r w:rsidR="000B16FF">
        <w:rPr>
          <w:sz w:val="20"/>
          <w:szCs w:val="20"/>
        </w:rPr>
        <w:t xml:space="preserve">To </w:t>
      </w:r>
      <w:r w:rsidR="00A67B77">
        <w:rPr>
          <w:sz w:val="20"/>
          <w:szCs w:val="20"/>
        </w:rPr>
        <w:t xml:space="preserve">assure that we </w:t>
      </w:r>
      <w:r w:rsidR="000B16FF">
        <w:rPr>
          <w:sz w:val="20"/>
          <w:szCs w:val="20"/>
        </w:rPr>
        <w:t>obtain</w:t>
      </w:r>
      <w:r w:rsidR="00A67B77">
        <w:rPr>
          <w:sz w:val="20"/>
          <w:szCs w:val="20"/>
        </w:rPr>
        <w:t xml:space="preserve"> the views of leaders at a representative cross section Michigan nonprofit organizations the sample frame has </w:t>
      </w:r>
      <w:r w:rsidR="00AB0C39">
        <w:rPr>
          <w:sz w:val="20"/>
          <w:szCs w:val="20"/>
        </w:rPr>
        <w:t>1</w:t>
      </w:r>
      <w:r>
        <w:rPr>
          <w:sz w:val="20"/>
          <w:szCs w:val="20"/>
        </w:rPr>
        <w:t>9</w:t>
      </w:r>
      <w:r w:rsidR="00AB0C39">
        <w:rPr>
          <w:sz w:val="20"/>
          <w:szCs w:val="20"/>
        </w:rPr>
        <w:t xml:space="preserve"> overlapping</w:t>
      </w:r>
      <w:r w:rsidR="00A67B77">
        <w:rPr>
          <w:sz w:val="20"/>
          <w:szCs w:val="20"/>
        </w:rPr>
        <w:t xml:space="preserve"> strata representing different </w:t>
      </w:r>
      <w:r w:rsidR="00A67B77" w:rsidRPr="00072DC5">
        <w:rPr>
          <w:sz w:val="20"/>
          <w:szCs w:val="20"/>
        </w:rPr>
        <w:t>Sizes</w:t>
      </w:r>
      <w:r w:rsidR="00A67B77">
        <w:rPr>
          <w:sz w:val="20"/>
          <w:szCs w:val="20"/>
        </w:rPr>
        <w:t xml:space="preserve"> (4)</w:t>
      </w:r>
      <w:r w:rsidR="00A67B77">
        <w:rPr>
          <w:sz w:val="20"/>
          <w:szCs w:val="20"/>
        </w:rPr>
        <w:t xml:space="preserve">, </w:t>
      </w:r>
      <w:r w:rsidR="00A67B77" w:rsidRPr="00072DC5">
        <w:rPr>
          <w:sz w:val="20"/>
          <w:szCs w:val="20"/>
        </w:rPr>
        <w:t>Locations</w:t>
      </w:r>
      <w:r w:rsidR="00A67B77">
        <w:rPr>
          <w:sz w:val="20"/>
          <w:szCs w:val="20"/>
        </w:rPr>
        <w:t xml:space="preserve"> (6)</w:t>
      </w:r>
      <w:r w:rsidR="00A67B77">
        <w:rPr>
          <w:sz w:val="20"/>
          <w:szCs w:val="20"/>
        </w:rPr>
        <w:t>, and</w:t>
      </w:r>
      <w:r w:rsidR="00D74875" w:rsidRPr="00072DC5">
        <w:rPr>
          <w:sz w:val="20"/>
          <w:szCs w:val="20"/>
        </w:rPr>
        <w:t xml:space="preserve"> Purposes</w:t>
      </w:r>
      <w:r w:rsidR="00A67B77">
        <w:rPr>
          <w:sz w:val="20"/>
          <w:szCs w:val="20"/>
        </w:rPr>
        <w:t xml:space="preserve"> (9)</w:t>
      </w:r>
      <w:r w:rsidR="00D74875" w:rsidRPr="00072DC5">
        <w:rPr>
          <w:sz w:val="20"/>
          <w:szCs w:val="20"/>
        </w:rPr>
        <w:t>, of Michigan nonprofit organizations</w:t>
      </w:r>
      <w:r w:rsidR="002A1EC9">
        <w:rPr>
          <w:sz w:val="20"/>
          <w:szCs w:val="20"/>
        </w:rPr>
        <w:t xml:space="preserve">.  </w:t>
      </w:r>
    </w:p>
    <w:p w:rsidR="00BF0FCB" w:rsidRDefault="00682836" w:rsidP="00532478">
      <w:pPr>
        <w:rPr>
          <w:sz w:val="20"/>
          <w:szCs w:val="20"/>
        </w:rPr>
      </w:pPr>
      <w:r w:rsidRPr="00072DC5">
        <w:rPr>
          <w:sz w:val="20"/>
          <w:szCs w:val="20"/>
        </w:rPr>
        <w:t>W</w:t>
      </w:r>
      <w:r w:rsidR="00425F2F" w:rsidRPr="00072DC5">
        <w:rPr>
          <w:sz w:val="20"/>
          <w:szCs w:val="20"/>
        </w:rPr>
        <w:t>e in</w:t>
      </w:r>
      <w:r w:rsidR="00625DE5">
        <w:rPr>
          <w:sz w:val="20"/>
          <w:szCs w:val="20"/>
        </w:rPr>
        <w:t xml:space="preserve">vite </w:t>
      </w:r>
      <w:r w:rsidR="00BF0FCB">
        <w:rPr>
          <w:sz w:val="20"/>
          <w:szCs w:val="20"/>
        </w:rPr>
        <w:t xml:space="preserve">a single </w:t>
      </w:r>
      <w:r w:rsidR="00A67B77">
        <w:rPr>
          <w:sz w:val="20"/>
          <w:szCs w:val="20"/>
        </w:rPr>
        <w:t xml:space="preserve">person </w:t>
      </w:r>
      <w:r w:rsidR="00425F2F" w:rsidRPr="00072DC5">
        <w:rPr>
          <w:sz w:val="20"/>
          <w:szCs w:val="20"/>
        </w:rPr>
        <w:t>at each organization to</w:t>
      </w:r>
      <w:r w:rsidR="00625DE5">
        <w:rPr>
          <w:sz w:val="20"/>
          <w:szCs w:val="20"/>
        </w:rPr>
        <w:t xml:space="preserve"> take</w:t>
      </w:r>
      <w:r w:rsidR="00AB0C39">
        <w:rPr>
          <w:sz w:val="20"/>
          <w:szCs w:val="20"/>
        </w:rPr>
        <w:t xml:space="preserve"> that year’s survey </w:t>
      </w:r>
      <w:r w:rsidR="00425F2F" w:rsidRPr="00072DC5">
        <w:rPr>
          <w:sz w:val="20"/>
          <w:szCs w:val="20"/>
        </w:rPr>
        <w:t xml:space="preserve">and </w:t>
      </w:r>
      <w:r w:rsidR="00A67B77">
        <w:rPr>
          <w:sz w:val="20"/>
          <w:szCs w:val="20"/>
        </w:rPr>
        <w:t xml:space="preserve">just </w:t>
      </w:r>
      <w:r w:rsidR="00425F2F" w:rsidRPr="00072DC5">
        <w:rPr>
          <w:sz w:val="20"/>
          <w:szCs w:val="20"/>
        </w:rPr>
        <w:t xml:space="preserve">keep sending </w:t>
      </w:r>
      <w:r w:rsidR="00AB0C39">
        <w:rPr>
          <w:sz w:val="20"/>
          <w:szCs w:val="20"/>
        </w:rPr>
        <w:t xml:space="preserve">out </w:t>
      </w:r>
      <w:r w:rsidR="00625DE5">
        <w:rPr>
          <w:sz w:val="20"/>
          <w:szCs w:val="20"/>
        </w:rPr>
        <w:t>r</w:t>
      </w:r>
      <w:r w:rsidR="00BF0FCB">
        <w:rPr>
          <w:sz w:val="20"/>
          <w:szCs w:val="20"/>
        </w:rPr>
        <w:t>eminders until we have obtained an</w:t>
      </w:r>
      <w:r w:rsidR="00625DE5">
        <w:rPr>
          <w:sz w:val="20"/>
          <w:szCs w:val="20"/>
        </w:rPr>
        <w:t xml:space="preserve"> adequate</w:t>
      </w:r>
      <w:r w:rsidR="00425F2F" w:rsidRPr="00072DC5">
        <w:rPr>
          <w:sz w:val="20"/>
          <w:szCs w:val="20"/>
        </w:rPr>
        <w:t xml:space="preserve"> number of responses</w:t>
      </w:r>
      <w:r w:rsidR="00BF0FCB">
        <w:rPr>
          <w:sz w:val="20"/>
          <w:szCs w:val="20"/>
        </w:rPr>
        <w:t xml:space="preserve"> both in total and </w:t>
      </w:r>
      <w:r w:rsidR="00AB0C39">
        <w:rPr>
          <w:sz w:val="20"/>
          <w:szCs w:val="20"/>
        </w:rPr>
        <w:t xml:space="preserve">from each </w:t>
      </w:r>
      <w:r w:rsidR="00BF2E73">
        <w:rPr>
          <w:sz w:val="20"/>
          <w:szCs w:val="20"/>
        </w:rPr>
        <w:t>stratum</w:t>
      </w:r>
      <w:r w:rsidR="00625DE5">
        <w:rPr>
          <w:sz w:val="20"/>
          <w:szCs w:val="20"/>
        </w:rPr>
        <w:t>.</w:t>
      </w:r>
      <w:r w:rsidR="00425F2F" w:rsidRPr="00072DC5">
        <w:rPr>
          <w:sz w:val="20"/>
          <w:szCs w:val="20"/>
        </w:rPr>
        <w:t xml:space="preserve"> </w:t>
      </w:r>
      <w:r w:rsidRPr="00072DC5">
        <w:rPr>
          <w:sz w:val="20"/>
          <w:szCs w:val="20"/>
        </w:rPr>
        <w:t>I</w:t>
      </w:r>
      <w:r w:rsidR="00A83A4B" w:rsidRPr="00072DC5">
        <w:rPr>
          <w:sz w:val="20"/>
          <w:szCs w:val="20"/>
        </w:rPr>
        <w:t>n</w:t>
      </w:r>
      <w:r w:rsidR="00625DE5">
        <w:rPr>
          <w:sz w:val="20"/>
          <w:szCs w:val="20"/>
        </w:rPr>
        <w:t xml:space="preserve"> 2023</w:t>
      </w:r>
      <w:r w:rsidRPr="00072DC5">
        <w:rPr>
          <w:sz w:val="20"/>
          <w:szCs w:val="20"/>
        </w:rPr>
        <w:t>,</w:t>
      </w:r>
      <w:r w:rsidR="00B20038" w:rsidRPr="00072DC5">
        <w:rPr>
          <w:sz w:val="20"/>
          <w:szCs w:val="20"/>
        </w:rPr>
        <w:t xml:space="preserve"> we </w:t>
      </w:r>
      <w:r w:rsidR="00625DE5">
        <w:rPr>
          <w:sz w:val="20"/>
          <w:szCs w:val="20"/>
        </w:rPr>
        <w:t>sent 539 invitations</w:t>
      </w:r>
      <w:r w:rsidR="00BF0FCB">
        <w:rPr>
          <w:sz w:val="20"/>
          <w:szCs w:val="20"/>
        </w:rPr>
        <w:t xml:space="preserve"> to participate in the survey</w:t>
      </w:r>
      <w:r w:rsidR="00625DE5">
        <w:rPr>
          <w:sz w:val="20"/>
          <w:szCs w:val="20"/>
        </w:rPr>
        <w:t xml:space="preserve"> and </w:t>
      </w:r>
      <w:r w:rsidR="00BF0FCB">
        <w:rPr>
          <w:sz w:val="20"/>
          <w:szCs w:val="20"/>
        </w:rPr>
        <w:t>ultimately obtain</w:t>
      </w:r>
      <w:r w:rsidR="00625DE5">
        <w:rPr>
          <w:sz w:val="20"/>
          <w:szCs w:val="20"/>
        </w:rPr>
        <w:t xml:space="preserve">ed 63 </w:t>
      </w:r>
      <w:r w:rsidR="00BF0FCB">
        <w:rPr>
          <w:sz w:val="20"/>
          <w:szCs w:val="20"/>
        </w:rPr>
        <w:t xml:space="preserve">valid </w:t>
      </w:r>
      <w:r w:rsidR="00625DE5">
        <w:rPr>
          <w:sz w:val="20"/>
          <w:szCs w:val="20"/>
        </w:rPr>
        <w:t xml:space="preserve">responses for a </w:t>
      </w:r>
      <w:r w:rsidR="00B41E1E" w:rsidRPr="00072DC5">
        <w:rPr>
          <w:sz w:val="20"/>
          <w:szCs w:val="20"/>
        </w:rPr>
        <w:t>12</w:t>
      </w:r>
      <w:r w:rsidR="00625DE5">
        <w:rPr>
          <w:sz w:val="20"/>
          <w:szCs w:val="20"/>
        </w:rPr>
        <w:t>%</w:t>
      </w:r>
      <w:r w:rsidR="00AB0C39">
        <w:rPr>
          <w:sz w:val="20"/>
          <w:szCs w:val="20"/>
        </w:rPr>
        <w:t xml:space="preserve"> response rate. </w:t>
      </w:r>
    </w:p>
    <w:p w:rsidR="00A67B77" w:rsidRDefault="00BF0FCB" w:rsidP="00532478">
      <w:pPr>
        <w:rPr>
          <w:sz w:val="20"/>
          <w:szCs w:val="20"/>
        </w:rPr>
      </w:pPr>
      <w:r>
        <w:rPr>
          <w:sz w:val="20"/>
          <w:szCs w:val="20"/>
        </w:rPr>
        <w:t>Number of Reponses: 63 is an adequate number for our purposes. By way of comparison, Gallup and other national polls predict</w:t>
      </w:r>
      <w:r w:rsidR="00A67B77">
        <w:rPr>
          <w:sz w:val="20"/>
          <w:szCs w:val="20"/>
        </w:rPr>
        <w:t xml:space="preserve"> Presidential el</w:t>
      </w:r>
      <w:r>
        <w:rPr>
          <w:sz w:val="20"/>
          <w:szCs w:val="20"/>
        </w:rPr>
        <w:t xml:space="preserve">ections with as few as 1,500 responses. </w:t>
      </w:r>
    </w:p>
    <w:p w:rsidR="00C27670" w:rsidRPr="00072DC5" w:rsidRDefault="00BF0FCB" w:rsidP="00532478">
      <w:pPr>
        <w:rPr>
          <w:sz w:val="20"/>
          <w:szCs w:val="20"/>
        </w:rPr>
      </w:pPr>
      <w:r>
        <w:rPr>
          <w:sz w:val="20"/>
          <w:szCs w:val="20"/>
        </w:rPr>
        <w:t xml:space="preserve">Response Rate: </w:t>
      </w:r>
      <w:r w:rsidR="00A67B77">
        <w:rPr>
          <w:sz w:val="20"/>
          <w:szCs w:val="20"/>
        </w:rPr>
        <w:t>Since the onset of the pandemic, Americans have been over-surveyed (order online, receive a survey, etc.) and that is driving down</w:t>
      </w:r>
      <w:r w:rsidR="0022694F">
        <w:rPr>
          <w:sz w:val="20"/>
          <w:szCs w:val="20"/>
        </w:rPr>
        <w:t xml:space="preserve"> response rates for</w:t>
      </w:r>
      <w:r w:rsidR="00A67B77">
        <w:rPr>
          <w:sz w:val="20"/>
          <w:szCs w:val="20"/>
        </w:rPr>
        <w:t xml:space="preserve"> many surveys including this one. </w:t>
      </w:r>
      <w:r w:rsidR="00AB0C39">
        <w:rPr>
          <w:sz w:val="20"/>
          <w:szCs w:val="20"/>
        </w:rPr>
        <w:t xml:space="preserve">Twelve percent </w:t>
      </w:r>
      <w:r w:rsidR="00B41E1E" w:rsidRPr="00072DC5">
        <w:rPr>
          <w:sz w:val="20"/>
          <w:szCs w:val="20"/>
        </w:rPr>
        <w:t xml:space="preserve">is </w:t>
      </w:r>
      <w:r w:rsidR="00A67B77">
        <w:rPr>
          <w:sz w:val="20"/>
          <w:szCs w:val="20"/>
        </w:rPr>
        <w:t xml:space="preserve">clearly </w:t>
      </w:r>
      <w:r w:rsidR="00B41E1E" w:rsidRPr="00072DC5">
        <w:rPr>
          <w:sz w:val="20"/>
          <w:szCs w:val="20"/>
        </w:rPr>
        <w:t>lower than</w:t>
      </w:r>
      <w:r w:rsidR="00A67B77">
        <w:rPr>
          <w:sz w:val="20"/>
          <w:szCs w:val="20"/>
        </w:rPr>
        <w:t xml:space="preserve"> the 15% </w:t>
      </w:r>
      <w:r w:rsidR="0022694F">
        <w:rPr>
          <w:sz w:val="20"/>
          <w:szCs w:val="20"/>
        </w:rPr>
        <w:t xml:space="preserve">that </w:t>
      </w:r>
      <w:r w:rsidR="00A67B77">
        <w:rPr>
          <w:sz w:val="20"/>
          <w:szCs w:val="20"/>
        </w:rPr>
        <w:t xml:space="preserve">we </w:t>
      </w:r>
      <w:r w:rsidR="00B41E1E" w:rsidRPr="00072DC5">
        <w:rPr>
          <w:sz w:val="20"/>
          <w:szCs w:val="20"/>
        </w:rPr>
        <w:t xml:space="preserve">saw </w:t>
      </w:r>
      <w:r w:rsidR="00A67B77">
        <w:rPr>
          <w:sz w:val="20"/>
          <w:szCs w:val="20"/>
        </w:rPr>
        <w:t xml:space="preserve">in the early years of this series but </w:t>
      </w:r>
      <w:r w:rsidR="00625DE5">
        <w:rPr>
          <w:sz w:val="20"/>
          <w:szCs w:val="20"/>
        </w:rPr>
        <w:t xml:space="preserve">is </w:t>
      </w:r>
      <w:r w:rsidR="00B41E1E" w:rsidRPr="00072DC5">
        <w:rPr>
          <w:sz w:val="20"/>
          <w:szCs w:val="20"/>
        </w:rPr>
        <w:t>consistent with w</w:t>
      </w:r>
      <w:r w:rsidR="00A67B77">
        <w:rPr>
          <w:sz w:val="20"/>
          <w:szCs w:val="20"/>
        </w:rPr>
        <w:t xml:space="preserve">hat we have seen since </w:t>
      </w:r>
      <w:r w:rsidR="00AB0C39">
        <w:rPr>
          <w:sz w:val="20"/>
          <w:szCs w:val="20"/>
        </w:rPr>
        <w:t>2020</w:t>
      </w:r>
      <w:r w:rsidR="0022694F">
        <w:rPr>
          <w:sz w:val="20"/>
          <w:szCs w:val="20"/>
        </w:rPr>
        <w:t xml:space="preserve"> and, in any event, 12% remains</w:t>
      </w:r>
      <w:r w:rsidR="00A67B77">
        <w:rPr>
          <w:sz w:val="20"/>
          <w:szCs w:val="20"/>
        </w:rPr>
        <w:t xml:space="preserve"> </w:t>
      </w:r>
      <w:r w:rsidR="00B20038" w:rsidRPr="00072DC5">
        <w:rPr>
          <w:sz w:val="20"/>
          <w:szCs w:val="20"/>
        </w:rPr>
        <w:t>respectable for a</w:t>
      </w:r>
      <w:r w:rsidR="00682836" w:rsidRPr="00072DC5">
        <w:rPr>
          <w:sz w:val="20"/>
          <w:szCs w:val="20"/>
        </w:rPr>
        <w:t xml:space="preserve">n </w:t>
      </w:r>
      <w:r w:rsidR="00C27670" w:rsidRPr="00072DC5">
        <w:rPr>
          <w:sz w:val="20"/>
          <w:szCs w:val="20"/>
        </w:rPr>
        <w:t>online sample survey</w:t>
      </w:r>
      <w:r w:rsidR="00B20038" w:rsidRPr="00072DC5">
        <w:rPr>
          <w:sz w:val="20"/>
          <w:szCs w:val="20"/>
        </w:rPr>
        <w:t xml:space="preserve">.  </w:t>
      </w:r>
    </w:p>
    <w:p w:rsidR="00081C7B" w:rsidRDefault="00BF2E73" w:rsidP="00532478">
      <w:pPr>
        <w:rPr>
          <w:i/>
          <w:sz w:val="20"/>
          <w:szCs w:val="20"/>
        </w:rPr>
      </w:pPr>
      <w:r>
        <w:rPr>
          <w:i/>
          <w:sz w:val="20"/>
          <w:szCs w:val="20"/>
        </w:rPr>
        <w:t xml:space="preserve">With a </w:t>
      </w:r>
      <w:r w:rsidR="006C2A1C" w:rsidRPr="00072DC5">
        <w:rPr>
          <w:i/>
          <w:sz w:val="20"/>
          <w:szCs w:val="20"/>
        </w:rPr>
        <w:t>response</w:t>
      </w:r>
      <w:r w:rsidR="00B41E1E" w:rsidRPr="00072DC5">
        <w:rPr>
          <w:i/>
          <w:sz w:val="20"/>
          <w:szCs w:val="20"/>
        </w:rPr>
        <w:t xml:space="preserve"> rate of 12</w:t>
      </w:r>
      <w:r w:rsidR="00BA7C65">
        <w:rPr>
          <w:i/>
          <w:sz w:val="20"/>
          <w:szCs w:val="20"/>
        </w:rPr>
        <w:t xml:space="preserve">% and </w:t>
      </w:r>
      <w:r w:rsidR="00682836" w:rsidRPr="00072DC5">
        <w:rPr>
          <w:i/>
          <w:sz w:val="20"/>
          <w:szCs w:val="20"/>
        </w:rPr>
        <w:t xml:space="preserve">our </w:t>
      </w:r>
      <w:r w:rsidR="00AB0C39">
        <w:rPr>
          <w:i/>
          <w:sz w:val="20"/>
          <w:szCs w:val="20"/>
        </w:rPr>
        <w:t xml:space="preserve">19 </w:t>
      </w:r>
      <w:r w:rsidR="00A67B77">
        <w:rPr>
          <w:i/>
          <w:sz w:val="20"/>
          <w:szCs w:val="20"/>
        </w:rPr>
        <w:t xml:space="preserve">sample </w:t>
      </w:r>
      <w:r w:rsidR="00AB0C39">
        <w:rPr>
          <w:i/>
          <w:sz w:val="20"/>
          <w:szCs w:val="20"/>
        </w:rPr>
        <w:t>strata</w:t>
      </w:r>
      <w:r w:rsidR="00625DE5">
        <w:rPr>
          <w:i/>
          <w:sz w:val="20"/>
          <w:szCs w:val="20"/>
        </w:rPr>
        <w:t xml:space="preserve"> decently-</w:t>
      </w:r>
      <w:r w:rsidR="006C2A1C" w:rsidRPr="00072DC5">
        <w:rPr>
          <w:i/>
          <w:sz w:val="20"/>
          <w:szCs w:val="20"/>
        </w:rPr>
        <w:t xml:space="preserve">full, we </w:t>
      </w:r>
      <w:r w:rsidR="00682836" w:rsidRPr="00072DC5">
        <w:rPr>
          <w:i/>
          <w:sz w:val="20"/>
          <w:szCs w:val="20"/>
        </w:rPr>
        <w:t xml:space="preserve">believe our </w:t>
      </w:r>
      <w:r w:rsidR="00CD2D84" w:rsidRPr="00072DC5">
        <w:rPr>
          <w:i/>
          <w:sz w:val="20"/>
          <w:szCs w:val="20"/>
        </w:rPr>
        <w:t>2023</w:t>
      </w:r>
      <w:r w:rsidR="00901D51" w:rsidRPr="00072DC5">
        <w:rPr>
          <w:i/>
          <w:sz w:val="20"/>
          <w:szCs w:val="20"/>
        </w:rPr>
        <w:t xml:space="preserve"> results to</w:t>
      </w:r>
      <w:r w:rsidR="00BF0FCB">
        <w:rPr>
          <w:i/>
          <w:sz w:val="20"/>
          <w:szCs w:val="20"/>
        </w:rPr>
        <w:t xml:space="preserve"> be reliable for the</w:t>
      </w:r>
      <w:r w:rsidR="0022694F">
        <w:rPr>
          <w:i/>
          <w:sz w:val="20"/>
          <w:szCs w:val="20"/>
        </w:rPr>
        <w:t xml:space="preserve"> specific</w:t>
      </w:r>
      <w:r w:rsidR="00BF0FCB">
        <w:rPr>
          <w:i/>
          <w:sz w:val="20"/>
          <w:szCs w:val="20"/>
        </w:rPr>
        <w:t xml:space="preserve"> </w:t>
      </w:r>
      <w:r w:rsidR="0022694F">
        <w:rPr>
          <w:i/>
          <w:sz w:val="20"/>
          <w:szCs w:val="20"/>
        </w:rPr>
        <w:t>question</w:t>
      </w:r>
      <w:r>
        <w:rPr>
          <w:i/>
          <w:sz w:val="20"/>
          <w:szCs w:val="20"/>
        </w:rPr>
        <w:t xml:space="preserve"> </w:t>
      </w:r>
      <w:r w:rsidR="00BF0FCB">
        <w:rPr>
          <w:i/>
          <w:sz w:val="20"/>
          <w:szCs w:val="20"/>
        </w:rPr>
        <w:t xml:space="preserve">we </w:t>
      </w:r>
      <w:r w:rsidR="0022694F">
        <w:rPr>
          <w:i/>
          <w:sz w:val="20"/>
          <w:szCs w:val="20"/>
        </w:rPr>
        <w:t>ask</w:t>
      </w:r>
      <w:r w:rsidR="00BA7C65">
        <w:rPr>
          <w:i/>
          <w:sz w:val="20"/>
          <w:szCs w:val="20"/>
        </w:rPr>
        <w:t>ed</w:t>
      </w:r>
      <w:r w:rsidR="00C27670" w:rsidRPr="00072DC5">
        <w:rPr>
          <w:i/>
          <w:sz w:val="20"/>
          <w:szCs w:val="20"/>
        </w:rPr>
        <w:t xml:space="preserve"> </w:t>
      </w:r>
      <w:r w:rsidR="00901D51" w:rsidRPr="00072DC5">
        <w:rPr>
          <w:i/>
          <w:sz w:val="20"/>
          <w:szCs w:val="20"/>
        </w:rPr>
        <w:t xml:space="preserve">and </w:t>
      </w:r>
      <w:r w:rsidR="00BF0FCB">
        <w:rPr>
          <w:i/>
          <w:sz w:val="20"/>
          <w:szCs w:val="20"/>
        </w:rPr>
        <w:t xml:space="preserve">the </w:t>
      </w:r>
      <w:r w:rsidR="00901D51" w:rsidRPr="00072DC5">
        <w:rPr>
          <w:i/>
          <w:sz w:val="20"/>
          <w:szCs w:val="20"/>
        </w:rPr>
        <w:t>issues</w:t>
      </w:r>
      <w:r w:rsidR="0022694F">
        <w:rPr>
          <w:i/>
          <w:sz w:val="20"/>
          <w:szCs w:val="20"/>
        </w:rPr>
        <w:t xml:space="preserve"> we cover</w:t>
      </w:r>
      <w:r w:rsidR="00BA7C65">
        <w:rPr>
          <w:i/>
          <w:sz w:val="20"/>
          <w:szCs w:val="20"/>
        </w:rPr>
        <w:t>ed in this year’s report</w:t>
      </w:r>
      <w:r w:rsidR="006C2A1C" w:rsidRPr="00072DC5">
        <w:rPr>
          <w:i/>
          <w:sz w:val="20"/>
          <w:szCs w:val="20"/>
        </w:rPr>
        <w:t>.</w:t>
      </w:r>
    </w:p>
    <w:p w:rsidR="00367634" w:rsidRPr="007C7C36" w:rsidRDefault="00367634" w:rsidP="00281AAC">
      <w:pPr>
        <w:pStyle w:val="ListParagraph"/>
        <w:numPr>
          <w:ilvl w:val="0"/>
          <w:numId w:val="12"/>
        </w:numPr>
        <w:rPr>
          <w:b/>
          <w:sz w:val="28"/>
          <w:szCs w:val="28"/>
        </w:rPr>
      </w:pPr>
      <w:r w:rsidRPr="007C7C36">
        <w:rPr>
          <w:b/>
          <w:sz w:val="28"/>
          <w:szCs w:val="28"/>
        </w:rPr>
        <w:t>About the Author and Firm</w:t>
      </w:r>
      <w:r w:rsidR="00B7793E" w:rsidRPr="007C7C36">
        <w:rPr>
          <w:b/>
          <w:sz w:val="28"/>
          <w:szCs w:val="28"/>
        </w:rPr>
        <w:t>:</w:t>
      </w:r>
    </w:p>
    <w:p w:rsidR="00367634" w:rsidRPr="00AB0C39" w:rsidRDefault="00367634" w:rsidP="00532478">
      <w:pPr>
        <w:rPr>
          <w:sz w:val="20"/>
          <w:szCs w:val="20"/>
        </w:rPr>
      </w:pPr>
      <w:r w:rsidRPr="00AB0C39">
        <w:rPr>
          <w:sz w:val="20"/>
          <w:szCs w:val="20"/>
        </w:rPr>
        <w:t>Michael Montgomery is t</w:t>
      </w:r>
      <w:r w:rsidR="0022694F">
        <w:rPr>
          <w:sz w:val="20"/>
          <w:szCs w:val="20"/>
        </w:rPr>
        <w:t>he author of this study and a principal in</w:t>
      </w:r>
      <w:r w:rsidRPr="00AB0C39">
        <w:rPr>
          <w:sz w:val="20"/>
          <w:szCs w:val="20"/>
        </w:rPr>
        <w:t xml:space="preserve"> Montgomery Consulting,</w:t>
      </w:r>
      <w:r w:rsidR="00B41E1E" w:rsidRPr="00AB0C39">
        <w:rPr>
          <w:sz w:val="20"/>
          <w:szCs w:val="20"/>
        </w:rPr>
        <w:t xml:space="preserve"> Inc.</w:t>
      </w:r>
      <w:r w:rsidR="00625DE5">
        <w:rPr>
          <w:sz w:val="20"/>
          <w:szCs w:val="20"/>
        </w:rPr>
        <w:t xml:space="preserve">, </w:t>
      </w:r>
      <w:r w:rsidR="00B41E1E" w:rsidRPr="00AB0C39">
        <w:rPr>
          <w:sz w:val="20"/>
          <w:szCs w:val="20"/>
        </w:rPr>
        <w:t>a metro Detroit-based Phi</w:t>
      </w:r>
      <w:r w:rsidR="00625DE5">
        <w:rPr>
          <w:sz w:val="20"/>
          <w:szCs w:val="20"/>
        </w:rPr>
        <w:t xml:space="preserve">lanthropy and Economic </w:t>
      </w:r>
      <w:r w:rsidR="0022694F">
        <w:rPr>
          <w:sz w:val="20"/>
          <w:szCs w:val="20"/>
        </w:rPr>
        <w:t>Development consulting firm</w:t>
      </w:r>
      <w:r w:rsidR="00B41E1E" w:rsidRPr="00AB0C39">
        <w:rPr>
          <w:sz w:val="20"/>
          <w:szCs w:val="20"/>
        </w:rPr>
        <w:t>.</w:t>
      </w:r>
      <w:r w:rsidR="00625DE5">
        <w:rPr>
          <w:sz w:val="20"/>
          <w:szCs w:val="20"/>
        </w:rPr>
        <w:t xml:space="preserve"> </w:t>
      </w:r>
      <w:r w:rsidR="0022694F">
        <w:rPr>
          <w:sz w:val="20"/>
          <w:szCs w:val="20"/>
        </w:rPr>
        <w:t>He is a</w:t>
      </w:r>
      <w:r w:rsidR="00682836" w:rsidRPr="00AB0C39">
        <w:rPr>
          <w:sz w:val="20"/>
          <w:szCs w:val="20"/>
        </w:rPr>
        <w:t xml:space="preserve"> </w:t>
      </w:r>
      <w:r w:rsidR="004B6ED0">
        <w:rPr>
          <w:sz w:val="20"/>
          <w:szCs w:val="20"/>
        </w:rPr>
        <w:t xml:space="preserve">University of Michigan-trained </w:t>
      </w:r>
      <w:r w:rsidRPr="00AB0C39">
        <w:rPr>
          <w:sz w:val="20"/>
          <w:szCs w:val="20"/>
        </w:rPr>
        <w:t>politi</w:t>
      </w:r>
      <w:r w:rsidR="004B6ED0">
        <w:rPr>
          <w:sz w:val="20"/>
          <w:szCs w:val="20"/>
        </w:rPr>
        <w:t xml:space="preserve">cal scientist and </w:t>
      </w:r>
      <w:r w:rsidRPr="00AB0C39">
        <w:rPr>
          <w:sz w:val="20"/>
          <w:szCs w:val="20"/>
        </w:rPr>
        <w:t>former-</w:t>
      </w:r>
      <w:r w:rsidR="00B41E1E" w:rsidRPr="00AB0C39">
        <w:rPr>
          <w:sz w:val="20"/>
          <w:szCs w:val="20"/>
        </w:rPr>
        <w:t>US diplomat</w:t>
      </w:r>
      <w:r w:rsidR="0022694F">
        <w:rPr>
          <w:sz w:val="20"/>
          <w:szCs w:val="20"/>
        </w:rPr>
        <w:t>. He t</w:t>
      </w:r>
      <w:r w:rsidRPr="00AB0C39">
        <w:rPr>
          <w:sz w:val="20"/>
          <w:szCs w:val="20"/>
        </w:rPr>
        <w:t xml:space="preserve">eaches </w:t>
      </w:r>
      <w:r w:rsidR="0022694F">
        <w:rPr>
          <w:sz w:val="20"/>
          <w:szCs w:val="20"/>
        </w:rPr>
        <w:t xml:space="preserve">part-time </w:t>
      </w:r>
      <w:r w:rsidRPr="00AB0C39">
        <w:rPr>
          <w:sz w:val="20"/>
          <w:szCs w:val="20"/>
        </w:rPr>
        <w:t>in the Departm</w:t>
      </w:r>
      <w:r w:rsidR="0022694F">
        <w:rPr>
          <w:sz w:val="20"/>
          <w:szCs w:val="20"/>
        </w:rPr>
        <w:t>ent of Health and Human Service</w:t>
      </w:r>
      <w:r w:rsidRPr="00AB0C39">
        <w:rPr>
          <w:sz w:val="20"/>
          <w:szCs w:val="20"/>
        </w:rPr>
        <w:t xml:space="preserve"> at the University of Michigan-Dearborn and previously taught in MPA programs at Eastern Michigan University </w:t>
      </w:r>
      <w:r w:rsidR="00B7793E" w:rsidRPr="00AB0C39">
        <w:rPr>
          <w:sz w:val="20"/>
          <w:szCs w:val="20"/>
        </w:rPr>
        <w:t xml:space="preserve">and Oakland University, and, earlier, </w:t>
      </w:r>
      <w:r w:rsidR="00CD2D84" w:rsidRPr="00AB0C39">
        <w:rPr>
          <w:sz w:val="20"/>
          <w:szCs w:val="20"/>
        </w:rPr>
        <w:t xml:space="preserve">in </w:t>
      </w:r>
      <w:r w:rsidR="00B7793E" w:rsidRPr="00AB0C39">
        <w:rPr>
          <w:sz w:val="20"/>
          <w:szCs w:val="20"/>
        </w:rPr>
        <w:t xml:space="preserve">the </w:t>
      </w:r>
      <w:r w:rsidRPr="00AB0C39">
        <w:rPr>
          <w:sz w:val="20"/>
          <w:szCs w:val="20"/>
        </w:rPr>
        <w:t>MBA program at Lawrence Technological University.</w:t>
      </w:r>
      <w:r w:rsidR="00682836" w:rsidRPr="00AB0C39">
        <w:rPr>
          <w:sz w:val="20"/>
          <w:szCs w:val="20"/>
        </w:rPr>
        <w:t xml:space="preserve"> </w:t>
      </w:r>
    </w:p>
    <w:p w:rsidR="00BF2E73" w:rsidRDefault="00827876" w:rsidP="00532478">
      <w:pPr>
        <w:rPr>
          <w:sz w:val="20"/>
          <w:szCs w:val="20"/>
        </w:rPr>
      </w:pPr>
      <w:r w:rsidRPr="00AB0C39">
        <w:rPr>
          <w:sz w:val="20"/>
          <w:szCs w:val="20"/>
        </w:rPr>
        <w:t xml:space="preserve">Since 1989, </w:t>
      </w:r>
      <w:r w:rsidR="00930BFB" w:rsidRPr="00AB0C39">
        <w:rPr>
          <w:sz w:val="20"/>
          <w:szCs w:val="20"/>
        </w:rPr>
        <w:t xml:space="preserve">Montgomery Consulting has worked with </w:t>
      </w:r>
      <w:r w:rsidR="0022694F">
        <w:rPr>
          <w:sz w:val="20"/>
          <w:szCs w:val="20"/>
        </w:rPr>
        <w:t xml:space="preserve">progressive </w:t>
      </w:r>
      <w:r w:rsidR="00930BFB" w:rsidRPr="00AB0C39">
        <w:rPr>
          <w:sz w:val="20"/>
          <w:szCs w:val="20"/>
        </w:rPr>
        <w:t>non-pro</w:t>
      </w:r>
      <w:r w:rsidR="00BB0C10" w:rsidRPr="00AB0C39">
        <w:rPr>
          <w:sz w:val="20"/>
          <w:szCs w:val="20"/>
        </w:rPr>
        <w:t xml:space="preserve">fit organizations </w:t>
      </w:r>
      <w:r w:rsidR="00625DE5">
        <w:rPr>
          <w:sz w:val="20"/>
          <w:szCs w:val="20"/>
        </w:rPr>
        <w:t xml:space="preserve">and communities </w:t>
      </w:r>
      <w:r w:rsidR="00BB0C10" w:rsidRPr="00AB0C39">
        <w:rPr>
          <w:sz w:val="20"/>
          <w:szCs w:val="20"/>
        </w:rPr>
        <w:t xml:space="preserve">on </w:t>
      </w:r>
      <w:r w:rsidR="00930BFB" w:rsidRPr="00AB0C39">
        <w:rPr>
          <w:sz w:val="20"/>
          <w:szCs w:val="20"/>
        </w:rPr>
        <w:t>fundraisin</w:t>
      </w:r>
      <w:r w:rsidR="00625DE5">
        <w:rPr>
          <w:sz w:val="20"/>
          <w:szCs w:val="20"/>
        </w:rPr>
        <w:t>g, strategy, pro</w:t>
      </w:r>
      <w:r w:rsidR="0022694F">
        <w:rPr>
          <w:sz w:val="20"/>
          <w:szCs w:val="20"/>
        </w:rPr>
        <w:t>ject development</w:t>
      </w:r>
      <w:r w:rsidR="00930BFB" w:rsidRPr="00AB0C39">
        <w:rPr>
          <w:sz w:val="20"/>
          <w:szCs w:val="20"/>
        </w:rPr>
        <w:t>, and eco</w:t>
      </w:r>
      <w:r w:rsidR="008D31E1" w:rsidRPr="00AB0C39">
        <w:rPr>
          <w:sz w:val="20"/>
          <w:szCs w:val="20"/>
        </w:rPr>
        <w:t>nomic analysis</w:t>
      </w:r>
      <w:r w:rsidR="0022694F">
        <w:rPr>
          <w:sz w:val="20"/>
          <w:szCs w:val="20"/>
        </w:rPr>
        <w:t xml:space="preserve"> and strategy</w:t>
      </w:r>
      <w:r w:rsidR="00625DE5">
        <w:rPr>
          <w:sz w:val="20"/>
          <w:szCs w:val="20"/>
        </w:rPr>
        <w:t xml:space="preserve"> projects</w:t>
      </w:r>
      <w:r w:rsidRPr="00AB0C39">
        <w:rPr>
          <w:sz w:val="20"/>
          <w:szCs w:val="20"/>
        </w:rPr>
        <w:t xml:space="preserve">. The firm has advised </w:t>
      </w:r>
      <w:r w:rsidR="00C27670" w:rsidRPr="00AB0C39">
        <w:rPr>
          <w:sz w:val="20"/>
          <w:szCs w:val="20"/>
        </w:rPr>
        <w:t xml:space="preserve">on </w:t>
      </w:r>
      <w:r w:rsidR="00625DE5">
        <w:rPr>
          <w:sz w:val="20"/>
          <w:szCs w:val="20"/>
        </w:rPr>
        <w:t>over $1 billion in</w:t>
      </w:r>
      <w:r w:rsidR="00930BFB" w:rsidRPr="00AB0C39">
        <w:rPr>
          <w:sz w:val="20"/>
          <w:szCs w:val="20"/>
        </w:rPr>
        <w:t xml:space="preserve"> fundraising and project activity, including</w:t>
      </w:r>
      <w:r w:rsidR="00CD2D84" w:rsidRPr="00AB0C39">
        <w:rPr>
          <w:sz w:val="20"/>
          <w:szCs w:val="20"/>
        </w:rPr>
        <w:t xml:space="preserve"> on</w:t>
      </w:r>
      <w:r w:rsidR="00930BFB" w:rsidRPr="00AB0C39">
        <w:rPr>
          <w:sz w:val="20"/>
          <w:szCs w:val="20"/>
        </w:rPr>
        <w:t xml:space="preserve"> some of this region’s largest and most complex efforts.</w:t>
      </w:r>
      <w:r w:rsidR="00BF2E73">
        <w:rPr>
          <w:sz w:val="20"/>
          <w:szCs w:val="20"/>
        </w:rPr>
        <w:t xml:space="preserve"> </w:t>
      </w:r>
    </w:p>
    <w:p w:rsidR="00B7793E" w:rsidRPr="00AB0C39" w:rsidRDefault="00682836" w:rsidP="00532478">
      <w:pPr>
        <w:rPr>
          <w:sz w:val="20"/>
          <w:szCs w:val="20"/>
        </w:rPr>
      </w:pPr>
      <w:r w:rsidRPr="00AB0C39">
        <w:rPr>
          <w:sz w:val="20"/>
          <w:szCs w:val="20"/>
        </w:rPr>
        <w:t xml:space="preserve">Email: </w:t>
      </w:r>
      <w:hyperlink r:id="rId15" w:history="1">
        <w:r w:rsidRPr="00AB0C39">
          <w:rPr>
            <w:rStyle w:val="Hyperlink"/>
            <w:sz w:val="20"/>
            <w:szCs w:val="20"/>
          </w:rPr>
          <w:t>Michael@montgomeryconsultinginc.com</w:t>
        </w:r>
      </w:hyperlink>
      <w:r w:rsidRPr="00AB0C39">
        <w:rPr>
          <w:sz w:val="20"/>
          <w:szCs w:val="20"/>
        </w:rPr>
        <w:tab/>
      </w:r>
      <w:r w:rsidRPr="00AB0C39">
        <w:rPr>
          <w:sz w:val="20"/>
          <w:szCs w:val="20"/>
        </w:rPr>
        <w:tab/>
        <w:t xml:space="preserve">Website: </w:t>
      </w:r>
      <w:hyperlink r:id="rId16" w:history="1">
        <w:r w:rsidRPr="00AB0C39">
          <w:rPr>
            <w:rStyle w:val="Hyperlink"/>
            <w:sz w:val="20"/>
            <w:szCs w:val="20"/>
          </w:rPr>
          <w:t>www.montgomeryconsultinginc.com</w:t>
        </w:r>
      </w:hyperlink>
    </w:p>
    <w:sectPr w:rsidR="00B7793E" w:rsidRPr="00AB0C39" w:rsidSect="004977A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897" w:rsidRDefault="00DE5897" w:rsidP="00B22C47">
      <w:pPr>
        <w:spacing w:after="0" w:line="240" w:lineRule="auto"/>
      </w:pPr>
      <w:r>
        <w:separator/>
      </w:r>
    </w:p>
  </w:endnote>
  <w:endnote w:type="continuationSeparator" w:id="0">
    <w:p w:rsidR="00DE5897" w:rsidRDefault="00DE5897" w:rsidP="00B2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093604"/>
      <w:docPartObj>
        <w:docPartGallery w:val="Page Numbers (Bottom of Page)"/>
        <w:docPartUnique/>
      </w:docPartObj>
    </w:sdtPr>
    <w:sdtEndPr>
      <w:rPr>
        <w:noProof/>
      </w:rPr>
    </w:sdtEndPr>
    <w:sdtContent>
      <w:p w:rsidR="005B6E4B" w:rsidRDefault="005B6E4B">
        <w:pPr>
          <w:pStyle w:val="Footer"/>
          <w:jc w:val="right"/>
        </w:pPr>
        <w:r>
          <w:fldChar w:fldCharType="begin"/>
        </w:r>
        <w:r>
          <w:instrText xml:space="preserve"> PAGE   \* MERGEFORMAT </w:instrText>
        </w:r>
        <w:r>
          <w:fldChar w:fldCharType="separate"/>
        </w:r>
        <w:r w:rsidR="00DE5897">
          <w:rPr>
            <w:noProof/>
          </w:rPr>
          <w:t>1</w:t>
        </w:r>
        <w:r>
          <w:rPr>
            <w:noProof/>
          </w:rPr>
          <w:fldChar w:fldCharType="end"/>
        </w:r>
      </w:p>
    </w:sdtContent>
  </w:sdt>
  <w:p w:rsidR="00C95B4B" w:rsidRDefault="00C95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897" w:rsidRDefault="00DE5897" w:rsidP="00B22C47">
      <w:pPr>
        <w:spacing w:after="0" w:line="240" w:lineRule="auto"/>
      </w:pPr>
      <w:r>
        <w:separator/>
      </w:r>
    </w:p>
  </w:footnote>
  <w:footnote w:type="continuationSeparator" w:id="0">
    <w:p w:rsidR="00DE5897" w:rsidRDefault="00DE5897" w:rsidP="00B2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2F" w:rsidRDefault="00425F2F">
    <w:pPr>
      <w:pStyle w:val="Header"/>
      <w:pBdr>
        <w:bottom w:val="single" w:sz="4" w:space="1" w:color="D9D9D9" w:themeColor="background1" w:themeShade="D9"/>
      </w:pBd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34D"/>
    <w:multiLevelType w:val="hybridMultilevel"/>
    <w:tmpl w:val="8EB67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651E4"/>
    <w:multiLevelType w:val="hybridMultilevel"/>
    <w:tmpl w:val="C22C8BAE"/>
    <w:lvl w:ilvl="0" w:tplc="BA109B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6B5E97"/>
    <w:multiLevelType w:val="hybridMultilevel"/>
    <w:tmpl w:val="0C44C8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93AC6"/>
    <w:multiLevelType w:val="hybridMultilevel"/>
    <w:tmpl w:val="06347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6039C0"/>
    <w:multiLevelType w:val="hybridMultilevel"/>
    <w:tmpl w:val="4FC00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7B7868"/>
    <w:multiLevelType w:val="hybridMultilevel"/>
    <w:tmpl w:val="08E6A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A07448"/>
    <w:multiLevelType w:val="hybridMultilevel"/>
    <w:tmpl w:val="7F0A3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6F7514"/>
    <w:multiLevelType w:val="hybridMultilevel"/>
    <w:tmpl w:val="AC526302"/>
    <w:lvl w:ilvl="0" w:tplc="C94CF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B26B2B"/>
    <w:multiLevelType w:val="hybridMultilevel"/>
    <w:tmpl w:val="388EE90C"/>
    <w:lvl w:ilvl="0" w:tplc="059EEC5E">
      <w:start w:val="1"/>
      <w:numFmt w:val="upperRoman"/>
      <w:lvlText w:val="%1."/>
      <w:lvlJc w:val="left"/>
      <w:pPr>
        <w:ind w:left="810" w:hanging="72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EF801C8"/>
    <w:multiLevelType w:val="hybridMultilevel"/>
    <w:tmpl w:val="EAB60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675143"/>
    <w:multiLevelType w:val="hybridMultilevel"/>
    <w:tmpl w:val="A4921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EA58AE"/>
    <w:multiLevelType w:val="hybridMultilevel"/>
    <w:tmpl w:val="41526FF4"/>
    <w:lvl w:ilvl="0" w:tplc="522A67B0">
      <w:start w:val="1"/>
      <w:numFmt w:val="upperRoman"/>
      <w:lvlText w:val="%1."/>
      <w:lvlJc w:val="left"/>
      <w:pPr>
        <w:ind w:left="720" w:hanging="72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8"/>
  </w:num>
  <w:num w:numId="4">
    <w:abstractNumId w:val="2"/>
  </w:num>
  <w:num w:numId="5">
    <w:abstractNumId w:val="9"/>
  </w:num>
  <w:num w:numId="6">
    <w:abstractNumId w:val="6"/>
  </w:num>
  <w:num w:numId="7">
    <w:abstractNumId w:val="3"/>
  </w:num>
  <w:num w:numId="8">
    <w:abstractNumId w:val="4"/>
  </w:num>
  <w:num w:numId="9">
    <w:abstractNumId w:val="0"/>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E8"/>
    <w:rsid w:val="00025164"/>
    <w:rsid w:val="00027348"/>
    <w:rsid w:val="000410C3"/>
    <w:rsid w:val="000446E8"/>
    <w:rsid w:val="000558D1"/>
    <w:rsid w:val="00072197"/>
    <w:rsid w:val="00072DC5"/>
    <w:rsid w:val="00077DF9"/>
    <w:rsid w:val="00080831"/>
    <w:rsid w:val="00081C7B"/>
    <w:rsid w:val="00090E02"/>
    <w:rsid w:val="00097514"/>
    <w:rsid w:val="000A0AE4"/>
    <w:rsid w:val="000B16FF"/>
    <w:rsid w:val="000B7CD3"/>
    <w:rsid w:val="000C0E66"/>
    <w:rsid w:val="000C628C"/>
    <w:rsid w:val="000D0736"/>
    <w:rsid w:val="000E2991"/>
    <w:rsid w:val="000F2323"/>
    <w:rsid w:val="001103A4"/>
    <w:rsid w:val="00142E37"/>
    <w:rsid w:val="001461AD"/>
    <w:rsid w:val="00152413"/>
    <w:rsid w:val="0016258B"/>
    <w:rsid w:val="00165D2A"/>
    <w:rsid w:val="00172761"/>
    <w:rsid w:val="00175734"/>
    <w:rsid w:val="00177284"/>
    <w:rsid w:val="001C14FF"/>
    <w:rsid w:val="001C3E22"/>
    <w:rsid w:val="001D5C98"/>
    <w:rsid w:val="00203CC2"/>
    <w:rsid w:val="00203CFE"/>
    <w:rsid w:val="00203F0E"/>
    <w:rsid w:val="002115CA"/>
    <w:rsid w:val="0022694F"/>
    <w:rsid w:val="00234120"/>
    <w:rsid w:val="00234FF5"/>
    <w:rsid w:val="002439FE"/>
    <w:rsid w:val="00246019"/>
    <w:rsid w:val="0025417D"/>
    <w:rsid w:val="002542AA"/>
    <w:rsid w:val="0025469E"/>
    <w:rsid w:val="00257C8D"/>
    <w:rsid w:val="00263F8C"/>
    <w:rsid w:val="00275A03"/>
    <w:rsid w:val="00281AAC"/>
    <w:rsid w:val="00286DF6"/>
    <w:rsid w:val="002933C1"/>
    <w:rsid w:val="002A1EC9"/>
    <w:rsid w:val="002A2EE9"/>
    <w:rsid w:val="002B0289"/>
    <w:rsid w:val="002C5381"/>
    <w:rsid w:val="002C69F3"/>
    <w:rsid w:val="002D20AD"/>
    <w:rsid w:val="002E01B1"/>
    <w:rsid w:val="002F4ECB"/>
    <w:rsid w:val="00304D62"/>
    <w:rsid w:val="0032542B"/>
    <w:rsid w:val="003260F5"/>
    <w:rsid w:val="00333E0D"/>
    <w:rsid w:val="00343870"/>
    <w:rsid w:val="0035289F"/>
    <w:rsid w:val="00354CB8"/>
    <w:rsid w:val="00361DCF"/>
    <w:rsid w:val="00367634"/>
    <w:rsid w:val="003817D3"/>
    <w:rsid w:val="00387948"/>
    <w:rsid w:val="003A09D8"/>
    <w:rsid w:val="003A2D07"/>
    <w:rsid w:val="003A3034"/>
    <w:rsid w:val="003A6D40"/>
    <w:rsid w:val="003B4F55"/>
    <w:rsid w:val="003C0390"/>
    <w:rsid w:val="003C6CB2"/>
    <w:rsid w:val="003C7F5E"/>
    <w:rsid w:val="003D2BB7"/>
    <w:rsid w:val="00410A64"/>
    <w:rsid w:val="0041429E"/>
    <w:rsid w:val="0041763E"/>
    <w:rsid w:val="00425F2F"/>
    <w:rsid w:val="00446955"/>
    <w:rsid w:val="004574E1"/>
    <w:rsid w:val="00472142"/>
    <w:rsid w:val="00484D7A"/>
    <w:rsid w:val="0048608A"/>
    <w:rsid w:val="00491238"/>
    <w:rsid w:val="004977A1"/>
    <w:rsid w:val="00497874"/>
    <w:rsid w:val="004A7342"/>
    <w:rsid w:val="004B6ED0"/>
    <w:rsid w:val="004C1CB3"/>
    <w:rsid w:val="004D2538"/>
    <w:rsid w:val="004E0601"/>
    <w:rsid w:val="004E3CB3"/>
    <w:rsid w:val="00502720"/>
    <w:rsid w:val="00507C2F"/>
    <w:rsid w:val="00513EB1"/>
    <w:rsid w:val="005277FB"/>
    <w:rsid w:val="00532478"/>
    <w:rsid w:val="00550E73"/>
    <w:rsid w:val="00564389"/>
    <w:rsid w:val="0057290E"/>
    <w:rsid w:val="00572A46"/>
    <w:rsid w:val="005862B2"/>
    <w:rsid w:val="005A0682"/>
    <w:rsid w:val="005A48B7"/>
    <w:rsid w:val="005B1531"/>
    <w:rsid w:val="005B6E4B"/>
    <w:rsid w:val="005B7271"/>
    <w:rsid w:val="005C15B5"/>
    <w:rsid w:val="006111C2"/>
    <w:rsid w:val="00624724"/>
    <w:rsid w:val="00625DE5"/>
    <w:rsid w:val="00626479"/>
    <w:rsid w:val="00646FEF"/>
    <w:rsid w:val="00647BC4"/>
    <w:rsid w:val="00662598"/>
    <w:rsid w:val="00682836"/>
    <w:rsid w:val="00687EFA"/>
    <w:rsid w:val="00691735"/>
    <w:rsid w:val="006A6AD5"/>
    <w:rsid w:val="006B0A89"/>
    <w:rsid w:val="006C2A1C"/>
    <w:rsid w:val="006D2DA0"/>
    <w:rsid w:val="006D3944"/>
    <w:rsid w:val="006E0F9A"/>
    <w:rsid w:val="006F712A"/>
    <w:rsid w:val="0070273C"/>
    <w:rsid w:val="00715187"/>
    <w:rsid w:val="0071643B"/>
    <w:rsid w:val="00723354"/>
    <w:rsid w:val="0072744E"/>
    <w:rsid w:val="00735999"/>
    <w:rsid w:val="007441D5"/>
    <w:rsid w:val="007572A3"/>
    <w:rsid w:val="00771F9C"/>
    <w:rsid w:val="0077429A"/>
    <w:rsid w:val="007952B3"/>
    <w:rsid w:val="00797AED"/>
    <w:rsid w:val="007C1AA3"/>
    <w:rsid w:val="007C6C7F"/>
    <w:rsid w:val="007C7C36"/>
    <w:rsid w:val="007D47C5"/>
    <w:rsid w:val="007E70BE"/>
    <w:rsid w:val="00816687"/>
    <w:rsid w:val="00821014"/>
    <w:rsid w:val="00822548"/>
    <w:rsid w:val="00827876"/>
    <w:rsid w:val="008412F6"/>
    <w:rsid w:val="0088148F"/>
    <w:rsid w:val="00887A29"/>
    <w:rsid w:val="008A0B87"/>
    <w:rsid w:val="008B1D27"/>
    <w:rsid w:val="008B40AF"/>
    <w:rsid w:val="008B67C6"/>
    <w:rsid w:val="008B7C19"/>
    <w:rsid w:val="008D31E1"/>
    <w:rsid w:val="008D5E61"/>
    <w:rsid w:val="008F15DE"/>
    <w:rsid w:val="00901D51"/>
    <w:rsid w:val="00903226"/>
    <w:rsid w:val="009163CB"/>
    <w:rsid w:val="00930BFB"/>
    <w:rsid w:val="00932AB5"/>
    <w:rsid w:val="00944F2B"/>
    <w:rsid w:val="00947F47"/>
    <w:rsid w:val="009565B0"/>
    <w:rsid w:val="009833F4"/>
    <w:rsid w:val="009841FB"/>
    <w:rsid w:val="009854C5"/>
    <w:rsid w:val="009F0120"/>
    <w:rsid w:val="009F15AD"/>
    <w:rsid w:val="009F6F0C"/>
    <w:rsid w:val="00A012D8"/>
    <w:rsid w:val="00A05983"/>
    <w:rsid w:val="00A05F83"/>
    <w:rsid w:val="00A0657B"/>
    <w:rsid w:val="00A3180C"/>
    <w:rsid w:val="00A33467"/>
    <w:rsid w:val="00A34470"/>
    <w:rsid w:val="00A40CCC"/>
    <w:rsid w:val="00A519A3"/>
    <w:rsid w:val="00A65B4B"/>
    <w:rsid w:val="00A67B77"/>
    <w:rsid w:val="00A749C7"/>
    <w:rsid w:val="00A83A4B"/>
    <w:rsid w:val="00A8702A"/>
    <w:rsid w:val="00A97F4B"/>
    <w:rsid w:val="00AA3219"/>
    <w:rsid w:val="00AB0C39"/>
    <w:rsid w:val="00AB2C32"/>
    <w:rsid w:val="00AB42CC"/>
    <w:rsid w:val="00AB4A84"/>
    <w:rsid w:val="00AC12E8"/>
    <w:rsid w:val="00AD281B"/>
    <w:rsid w:val="00AD654B"/>
    <w:rsid w:val="00AE1B55"/>
    <w:rsid w:val="00AE6B25"/>
    <w:rsid w:val="00AF3428"/>
    <w:rsid w:val="00B052CA"/>
    <w:rsid w:val="00B076C0"/>
    <w:rsid w:val="00B20038"/>
    <w:rsid w:val="00B22C47"/>
    <w:rsid w:val="00B26892"/>
    <w:rsid w:val="00B3043D"/>
    <w:rsid w:val="00B32691"/>
    <w:rsid w:val="00B41E1E"/>
    <w:rsid w:val="00B425DF"/>
    <w:rsid w:val="00B60F9C"/>
    <w:rsid w:val="00B640EC"/>
    <w:rsid w:val="00B677DA"/>
    <w:rsid w:val="00B75AE8"/>
    <w:rsid w:val="00B76436"/>
    <w:rsid w:val="00B7655C"/>
    <w:rsid w:val="00B76A32"/>
    <w:rsid w:val="00B7788F"/>
    <w:rsid w:val="00B7793E"/>
    <w:rsid w:val="00B86901"/>
    <w:rsid w:val="00B923C3"/>
    <w:rsid w:val="00B96AE8"/>
    <w:rsid w:val="00BA32CB"/>
    <w:rsid w:val="00BA4879"/>
    <w:rsid w:val="00BA7C65"/>
    <w:rsid w:val="00BB0C10"/>
    <w:rsid w:val="00BE0EB0"/>
    <w:rsid w:val="00BF07FE"/>
    <w:rsid w:val="00BF0FCB"/>
    <w:rsid w:val="00BF2E73"/>
    <w:rsid w:val="00BF3FA5"/>
    <w:rsid w:val="00BF4263"/>
    <w:rsid w:val="00C0348F"/>
    <w:rsid w:val="00C162B7"/>
    <w:rsid w:val="00C27670"/>
    <w:rsid w:val="00C342D3"/>
    <w:rsid w:val="00C34934"/>
    <w:rsid w:val="00C41990"/>
    <w:rsid w:val="00C64B6C"/>
    <w:rsid w:val="00C65776"/>
    <w:rsid w:val="00C82E59"/>
    <w:rsid w:val="00C904AF"/>
    <w:rsid w:val="00C95B4B"/>
    <w:rsid w:val="00CD0AF2"/>
    <w:rsid w:val="00CD2D84"/>
    <w:rsid w:val="00CD7644"/>
    <w:rsid w:val="00CE271D"/>
    <w:rsid w:val="00CF1C04"/>
    <w:rsid w:val="00CF68BB"/>
    <w:rsid w:val="00D00F32"/>
    <w:rsid w:val="00D022AB"/>
    <w:rsid w:val="00D330C9"/>
    <w:rsid w:val="00D5447F"/>
    <w:rsid w:val="00D55A55"/>
    <w:rsid w:val="00D65508"/>
    <w:rsid w:val="00D74875"/>
    <w:rsid w:val="00D86A22"/>
    <w:rsid w:val="00DA17C5"/>
    <w:rsid w:val="00DA2AB1"/>
    <w:rsid w:val="00DE5897"/>
    <w:rsid w:val="00E108EF"/>
    <w:rsid w:val="00E12C59"/>
    <w:rsid w:val="00E1471E"/>
    <w:rsid w:val="00E14899"/>
    <w:rsid w:val="00E3340A"/>
    <w:rsid w:val="00E34B12"/>
    <w:rsid w:val="00E35736"/>
    <w:rsid w:val="00E36BCD"/>
    <w:rsid w:val="00E55972"/>
    <w:rsid w:val="00E8403C"/>
    <w:rsid w:val="00E9554C"/>
    <w:rsid w:val="00EA5878"/>
    <w:rsid w:val="00EC4D5A"/>
    <w:rsid w:val="00EC6C2F"/>
    <w:rsid w:val="00EF3ACD"/>
    <w:rsid w:val="00EF5A31"/>
    <w:rsid w:val="00F0494C"/>
    <w:rsid w:val="00F12D65"/>
    <w:rsid w:val="00F14E8C"/>
    <w:rsid w:val="00F21EBA"/>
    <w:rsid w:val="00F26719"/>
    <w:rsid w:val="00F26B11"/>
    <w:rsid w:val="00F3565B"/>
    <w:rsid w:val="00F4588D"/>
    <w:rsid w:val="00F5314F"/>
    <w:rsid w:val="00F64245"/>
    <w:rsid w:val="00F7498D"/>
    <w:rsid w:val="00F82B62"/>
    <w:rsid w:val="00F9406D"/>
    <w:rsid w:val="00FA21E9"/>
    <w:rsid w:val="00FC0E7B"/>
    <w:rsid w:val="00FD324B"/>
    <w:rsid w:val="00FF0A3E"/>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CC2"/>
    <w:pPr>
      <w:ind w:left="720"/>
      <w:contextualSpacing/>
    </w:pPr>
  </w:style>
  <w:style w:type="table" w:styleId="TableGrid">
    <w:name w:val="Table Grid"/>
    <w:basedOn w:val="TableNormal"/>
    <w:uiPriority w:val="59"/>
    <w:rsid w:val="00647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71E"/>
    <w:rPr>
      <w:rFonts w:ascii="Tahoma" w:hAnsi="Tahoma" w:cs="Tahoma"/>
      <w:sz w:val="16"/>
      <w:szCs w:val="16"/>
    </w:rPr>
  </w:style>
  <w:style w:type="paragraph" w:styleId="NormalWeb">
    <w:name w:val="Normal (Web)"/>
    <w:basedOn w:val="Normal"/>
    <w:uiPriority w:val="99"/>
    <w:semiHidden/>
    <w:unhideWhenUsed/>
    <w:rsid w:val="00AB2C3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22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C47"/>
  </w:style>
  <w:style w:type="paragraph" w:styleId="Footer">
    <w:name w:val="footer"/>
    <w:basedOn w:val="Normal"/>
    <w:link w:val="FooterChar"/>
    <w:uiPriority w:val="99"/>
    <w:unhideWhenUsed/>
    <w:rsid w:val="00B22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C47"/>
  </w:style>
  <w:style w:type="character" w:styleId="Hyperlink">
    <w:name w:val="Hyperlink"/>
    <w:basedOn w:val="DefaultParagraphFont"/>
    <w:uiPriority w:val="99"/>
    <w:unhideWhenUsed/>
    <w:rsid w:val="00682836"/>
    <w:rPr>
      <w:color w:val="0000FF" w:themeColor="hyperlink"/>
      <w:u w:val="single"/>
    </w:rPr>
  </w:style>
  <w:style w:type="paragraph" w:styleId="NoSpacing">
    <w:name w:val="No Spacing"/>
    <w:uiPriority w:val="1"/>
    <w:qFormat/>
    <w:rsid w:val="00507C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CC2"/>
    <w:pPr>
      <w:ind w:left="720"/>
      <w:contextualSpacing/>
    </w:pPr>
  </w:style>
  <w:style w:type="table" w:styleId="TableGrid">
    <w:name w:val="Table Grid"/>
    <w:basedOn w:val="TableNormal"/>
    <w:uiPriority w:val="59"/>
    <w:rsid w:val="00647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71E"/>
    <w:rPr>
      <w:rFonts w:ascii="Tahoma" w:hAnsi="Tahoma" w:cs="Tahoma"/>
      <w:sz w:val="16"/>
      <w:szCs w:val="16"/>
    </w:rPr>
  </w:style>
  <w:style w:type="paragraph" w:styleId="NormalWeb">
    <w:name w:val="Normal (Web)"/>
    <w:basedOn w:val="Normal"/>
    <w:uiPriority w:val="99"/>
    <w:semiHidden/>
    <w:unhideWhenUsed/>
    <w:rsid w:val="00AB2C3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22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C47"/>
  </w:style>
  <w:style w:type="paragraph" w:styleId="Footer">
    <w:name w:val="footer"/>
    <w:basedOn w:val="Normal"/>
    <w:link w:val="FooterChar"/>
    <w:uiPriority w:val="99"/>
    <w:unhideWhenUsed/>
    <w:rsid w:val="00B22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C47"/>
  </w:style>
  <w:style w:type="character" w:styleId="Hyperlink">
    <w:name w:val="Hyperlink"/>
    <w:basedOn w:val="DefaultParagraphFont"/>
    <w:uiPriority w:val="99"/>
    <w:unhideWhenUsed/>
    <w:rsid w:val="00682836"/>
    <w:rPr>
      <w:color w:val="0000FF" w:themeColor="hyperlink"/>
      <w:u w:val="single"/>
    </w:rPr>
  </w:style>
  <w:style w:type="paragraph" w:styleId="NoSpacing">
    <w:name w:val="No Spacing"/>
    <w:uiPriority w:val="1"/>
    <w:qFormat/>
    <w:rsid w:val="00507C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9786">
      <w:bodyDiv w:val="1"/>
      <w:marLeft w:val="0"/>
      <w:marRight w:val="0"/>
      <w:marTop w:val="0"/>
      <w:marBottom w:val="0"/>
      <w:divBdr>
        <w:top w:val="none" w:sz="0" w:space="0" w:color="auto"/>
        <w:left w:val="none" w:sz="0" w:space="0" w:color="auto"/>
        <w:bottom w:val="none" w:sz="0" w:space="0" w:color="auto"/>
        <w:right w:val="none" w:sz="0" w:space="0" w:color="auto"/>
      </w:divBdr>
    </w:div>
    <w:div w:id="144711032">
      <w:bodyDiv w:val="1"/>
      <w:marLeft w:val="0"/>
      <w:marRight w:val="0"/>
      <w:marTop w:val="0"/>
      <w:marBottom w:val="0"/>
      <w:divBdr>
        <w:top w:val="none" w:sz="0" w:space="0" w:color="auto"/>
        <w:left w:val="none" w:sz="0" w:space="0" w:color="auto"/>
        <w:bottom w:val="none" w:sz="0" w:space="0" w:color="auto"/>
        <w:right w:val="none" w:sz="0" w:space="0" w:color="auto"/>
      </w:divBdr>
    </w:div>
    <w:div w:id="419722724">
      <w:bodyDiv w:val="1"/>
      <w:marLeft w:val="0"/>
      <w:marRight w:val="0"/>
      <w:marTop w:val="0"/>
      <w:marBottom w:val="0"/>
      <w:divBdr>
        <w:top w:val="none" w:sz="0" w:space="0" w:color="auto"/>
        <w:left w:val="none" w:sz="0" w:space="0" w:color="auto"/>
        <w:bottom w:val="none" w:sz="0" w:space="0" w:color="auto"/>
        <w:right w:val="none" w:sz="0" w:space="0" w:color="auto"/>
      </w:divBdr>
    </w:div>
    <w:div w:id="1592545605">
      <w:bodyDiv w:val="1"/>
      <w:marLeft w:val="0"/>
      <w:marRight w:val="0"/>
      <w:marTop w:val="0"/>
      <w:marBottom w:val="0"/>
      <w:divBdr>
        <w:top w:val="none" w:sz="0" w:space="0" w:color="auto"/>
        <w:left w:val="none" w:sz="0" w:space="0" w:color="auto"/>
        <w:bottom w:val="none" w:sz="0" w:space="0" w:color="auto"/>
        <w:right w:val="none" w:sz="0" w:space="0" w:color="auto"/>
      </w:divBdr>
    </w:div>
    <w:div w:id="1602448667">
      <w:bodyDiv w:val="1"/>
      <w:marLeft w:val="0"/>
      <w:marRight w:val="0"/>
      <w:marTop w:val="0"/>
      <w:marBottom w:val="0"/>
      <w:divBdr>
        <w:top w:val="none" w:sz="0" w:space="0" w:color="auto"/>
        <w:left w:val="none" w:sz="0" w:space="0" w:color="auto"/>
        <w:bottom w:val="none" w:sz="0" w:space="0" w:color="auto"/>
        <w:right w:val="none" w:sz="0" w:space="0" w:color="auto"/>
      </w:divBdr>
    </w:div>
    <w:div w:id="1623413144">
      <w:bodyDiv w:val="1"/>
      <w:marLeft w:val="0"/>
      <w:marRight w:val="0"/>
      <w:marTop w:val="0"/>
      <w:marBottom w:val="0"/>
      <w:divBdr>
        <w:top w:val="none" w:sz="0" w:space="0" w:color="auto"/>
        <w:left w:val="none" w:sz="0" w:space="0" w:color="auto"/>
        <w:bottom w:val="none" w:sz="0" w:space="0" w:color="auto"/>
        <w:right w:val="none" w:sz="0" w:space="0" w:color="auto"/>
      </w:divBdr>
    </w:div>
    <w:div w:id="1647272142">
      <w:bodyDiv w:val="1"/>
      <w:marLeft w:val="0"/>
      <w:marRight w:val="0"/>
      <w:marTop w:val="0"/>
      <w:marBottom w:val="0"/>
      <w:divBdr>
        <w:top w:val="none" w:sz="0" w:space="0" w:color="auto"/>
        <w:left w:val="none" w:sz="0" w:space="0" w:color="auto"/>
        <w:bottom w:val="none" w:sz="0" w:space="0" w:color="auto"/>
        <w:right w:val="none" w:sz="0" w:space="0" w:color="auto"/>
      </w:divBdr>
    </w:div>
    <w:div w:id="1695813079">
      <w:bodyDiv w:val="1"/>
      <w:marLeft w:val="0"/>
      <w:marRight w:val="0"/>
      <w:marTop w:val="0"/>
      <w:marBottom w:val="0"/>
      <w:divBdr>
        <w:top w:val="none" w:sz="0" w:space="0" w:color="auto"/>
        <w:left w:val="none" w:sz="0" w:space="0" w:color="auto"/>
        <w:bottom w:val="none" w:sz="0" w:space="0" w:color="auto"/>
        <w:right w:val="none" w:sz="0" w:space="0" w:color="auto"/>
      </w:divBdr>
    </w:div>
    <w:div w:id="1775435856">
      <w:bodyDiv w:val="1"/>
      <w:marLeft w:val="0"/>
      <w:marRight w:val="0"/>
      <w:marTop w:val="0"/>
      <w:marBottom w:val="0"/>
      <w:divBdr>
        <w:top w:val="none" w:sz="0" w:space="0" w:color="auto"/>
        <w:left w:val="none" w:sz="0" w:space="0" w:color="auto"/>
        <w:bottom w:val="none" w:sz="0" w:space="0" w:color="auto"/>
        <w:right w:val="none" w:sz="0" w:space="0" w:color="auto"/>
      </w:divBdr>
    </w:div>
    <w:div w:id="1808088093">
      <w:bodyDiv w:val="1"/>
      <w:marLeft w:val="0"/>
      <w:marRight w:val="0"/>
      <w:marTop w:val="0"/>
      <w:marBottom w:val="0"/>
      <w:divBdr>
        <w:top w:val="none" w:sz="0" w:space="0" w:color="auto"/>
        <w:left w:val="none" w:sz="0" w:space="0" w:color="auto"/>
        <w:bottom w:val="none" w:sz="0" w:space="0" w:color="auto"/>
        <w:right w:val="none" w:sz="0" w:space="0" w:color="auto"/>
      </w:divBdr>
    </w:div>
    <w:div w:id="1863398909">
      <w:bodyDiv w:val="1"/>
      <w:marLeft w:val="0"/>
      <w:marRight w:val="0"/>
      <w:marTop w:val="0"/>
      <w:marBottom w:val="0"/>
      <w:divBdr>
        <w:top w:val="none" w:sz="0" w:space="0" w:color="auto"/>
        <w:left w:val="none" w:sz="0" w:space="0" w:color="auto"/>
        <w:bottom w:val="none" w:sz="0" w:space="0" w:color="auto"/>
        <w:right w:val="none" w:sz="0" w:space="0" w:color="auto"/>
      </w:divBdr>
    </w:div>
    <w:div w:id="186655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ontgomeryconsultinginc.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mailto:Michael@montgomeryconsultinginc.com"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ichael\AppData\Roaming\Microsoft\Excel\2023%20spreadsheet%20and%20charts%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hael\AppData\Roaming\Microsoft\Excel\2023%20spreadsheet%20and%20charts%20(version%201).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ichael\Documents\Michigan%20FR%20Climate%202-23\2023%20spreadsheet%20and%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chael\Documents\Michigan%20FR%20Climate%202-23\2023%20spreadsheet%20and%20chart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Michael\Documents\Michigan%20FR%20Climate%202-23\2023%20spreadsheet%20and%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chael\Documents\Michigan%20FR%20Climate%202-23\2023%20spreadsheet%20and%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ichael\Documents\Michigan%20FR%20Climate%202-23\2023%20spreadsheet%20and%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Fundraising Results: 2017- 2023 </a:t>
            </a:r>
            <a:r>
              <a:rPr lang="en-US" sz="1200" b="0"/>
              <a:t>(Year of Survey)</a:t>
            </a:r>
          </a:p>
          <a:p>
            <a:pPr>
              <a:defRPr/>
            </a:pPr>
            <a:endParaRPr lang="en-US" sz="1000" b="0"/>
          </a:p>
          <a:p>
            <a:pPr>
              <a:defRPr/>
            </a:pPr>
            <a:endParaRPr lang="en-US" sz="1100"/>
          </a:p>
        </c:rich>
      </c:tx>
      <c:layout>
        <c:manualLayout>
          <c:xMode val="edge"/>
          <c:yMode val="edge"/>
          <c:x val="0.23139274187587769"/>
          <c:y val="2.8414784928743456E-3"/>
        </c:manualLayout>
      </c:layout>
      <c:overlay val="0"/>
    </c:title>
    <c:autoTitleDeleted val="0"/>
    <c:plotArea>
      <c:layout>
        <c:manualLayout>
          <c:layoutTarget val="inner"/>
          <c:xMode val="edge"/>
          <c:yMode val="edge"/>
          <c:x val="0.15452837721968046"/>
          <c:y val="0.15926404584849022"/>
          <c:w val="0.71968490486293901"/>
          <c:h val="0.65798154947612686"/>
        </c:manualLayout>
      </c:layout>
      <c:barChart>
        <c:barDir val="col"/>
        <c:grouping val="percentStacked"/>
        <c:varyColors val="0"/>
        <c:ser>
          <c:idx val="0"/>
          <c:order val="0"/>
          <c:tx>
            <c:strRef>
              <c:f>Sheet1!$A$3</c:f>
              <c:strCache>
                <c:ptCount val="1"/>
                <c:pt idx="0">
                  <c:v>Better</c:v>
                </c:pt>
              </c:strCache>
            </c:strRef>
          </c:tx>
          <c:spPr>
            <a:solidFill>
              <a:srgbClr val="00B050"/>
            </a:solidFill>
          </c:spPr>
          <c:invertIfNegative val="0"/>
          <c:dLbls>
            <c:spPr>
              <a:noFill/>
              <a:ln>
                <a:solidFill>
                  <a:schemeClr val="tx1"/>
                </a:solidFill>
              </a:ln>
            </c:spPr>
            <c:txPr>
              <a:bodyPr/>
              <a:lstStyle/>
              <a:p>
                <a:pPr>
                  <a:defRPr sz="1100" b="1">
                    <a:solidFill>
                      <a:schemeClr val="bg1"/>
                    </a:solidFill>
                  </a:defRPr>
                </a:pPr>
                <a:endParaRPr lang="en-US"/>
              </a:p>
            </c:txPr>
            <c:dLblPos val="ctr"/>
            <c:showLegendKey val="0"/>
            <c:showVal val="1"/>
            <c:showCatName val="0"/>
            <c:showSerName val="0"/>
            <c:showPercent val="0"/>
            <c:showBubbleSize val="0"/>
            <c:showLeaderLines val="0"/>
          </c:dLbls>
          <c:cat>
            <c:numRef>
              <c:f>Sheet1!$B$2:$H$2</c:f>
              <c:numCache>
                <c:formatCode>General</c:formatCode>
                <c:ptCount val="7"/>
                <c:pt idx="0">
                  <c:v>2017</c:v>
                </c:pt>
                <c:pt idx="1">
                  <c:v>2018</c:v>
                </c:pt>
                <c:pt idx="2">
                  <c:v>2019</c:v>
                </c:pt>
                <c:pt idx="3">
                  <c:v>2020</c:v>
                </c:pt>
                <c:pt idx="4">
                  <c:v>2021</c:v>
                </c:pt>
                <c:pt idx="5">
                  <c:v>2022</c:v>
                </c:pt>
                <c:pt idx="6">
                  <c:v>2023</c:v>
                </c:pt>
              </c:numCache>
            </c:numRef>
          </c:cat>
          <c:val>
            <c:numRef>
              <c:f>Sheet1!$B$3:$H$3</c:f>
              <c:numCache>
                <c:formatCode>0%</c:formatCode>
                <c:ptCount val="7"/>
                <c:pt idx="0">
                  <c:v>0.47</c:v>
                </c:pt>
                <c:pt idx="1">
                  <c:v>0.53</c:v>
                </c:pt>
                <c:pt idx="2">
                  <c:v>0.54</c:v>
                </c:pt>
                <c:pt idx="3">
                  <c:v>0.48</c:v>
                </c:pt>
                <c:pt idx="4">
                  <c:v>0.22</c:v>
                </c:pt>
                <c:pt idx="5">
                  <c:v>0.59</c:v>
                </c:pt>
                <c:pt idx="6">
                  <c:v>0.44</c:v>
                </c:pt>
              </c:numCache>
            </c:numRef>
          </c:val>
        </c:ser>
        <c:ser>
          <c:idx val="1"/>
          <c:order val="1"/>
          <c:tx>
            <c:strRef>
              <c:f>Sheet1!$A$4</c:f>
              <c:strCache>
                <c:ptCount val="1"/>
                <c:pt idx="0">
                  <c:v>About the Same</c:v>
                </c:pt>
              </c:strCache>
            </c:strRef>
          </c:tx>
          <c:spPr>
            <a:solidFill>
              <a:schemeClr val="accent5">
                <a:lumMod val="40000"/>
                <a:lumOff val="60000"/>
              </a:schemeClr>
            </a:solidFill>
          </c:spPr>
          <c:invertIfNegative val="0"/>
          <c:dLbls>
            <c:dLbl>
              <c:idx val="1"/>
              <c:layout>
                <c:manualLayout>
                  <c:x val="2.2044473945080794E-3"/>
                  <c:y val="-4.8949701291192908E-2"/>
                </c:manualLayout>
              </c:layout>
              <c:dLblPos val="ctr"/>
              <c:showLegendKey val="0"/>
              <c:showVal val="1"/>
              <c:showCatName val="0"/>
              <c:showSerName val="0"/>
              <c:showPercent val="0"/>
              <c:showBubbleSize val="0"/>
            </c:dLbl>
            <c:dLbl>
              <c:idx val="5"/>
              <c:layout>
                <c:manualLayout>
                  <c:x val="0"/>
                  <c:y val="3.1467665115766867E-2"/>
                </c:manualLayout>
              </c:layout>
              <c:dLblPos val="ctr"/>
              <c:showLegendKey val="0"/>
              <c:showVal val="1"/>
              <c:showCatName val="0"/>
              <c:showSerName val="0"/>
              <c:showPercent val="0"/>
              <c:showBubbleSize val="0"/>
            </c:dLbl>
            <c:dLbl>
              <c:idx val="6"/>
              <c:layout>
                <c:manualLayout>
                  <c:x val="0"/>
                  <c:y val="-2.097535395909806E-2"/>
                </c:manualLayout>
              </c:layout>
              <c:dLblPos val="ctr"/>
              <c:showLegendKey val="0"/>
              <c:showVal val="1"/>
              <c:showCatName val="0"/>
              <c:showSerName val="0"/>
              <c:showPercent val="0"/>
              <c:showBubbleSize val="0"/>
            </c:dLbl>
            <c:spPr>
              <a:noFill/>
              <a:ln>
                <a:solidFill>
                  <a:sysClr val="windowText" lastClr="000000"/>
                </a:solidFill>
              </a:ln>
            </c:spPr>
            <c:txPr>
              <a:bodyPr/>
              <a:lstStyle/>
              <a:p>
                <a:pPr>
                  <a:defRPr sz="1100" b="1"/>
                </a:pPr>
                <a:endParaRPr lang="en-US"/>
              </a:p>
            </c:txPr>
            <c:dLblPos val="ctr"/>
            <c:showLegendKey val="0"/>
            <c:showVal val="1"/>
            <c:showCatName val="0"/>
            <c:showSerName val="0"/>
            <c:showPercent val="0"/>
            <c:showBubbleSize val="0"/>
            <c:showLeaderLines val="0"/>
          </c:dLbls>
          <c:cat>
            <c:numRef>
              <c:f>Sheet1!$B$2:$H$2</c:f>
              <c:numCache>
                <c:formatCode>General</c:formatCode>
                <c:ptCount val="7"/>
                <c:pt idx="0">
                  <c:v>2017</c:v>
                </c:pt>
                <c:pt idx="1">
                  <c:v>2018</c:v>
                </c:pt>
                <c:pt idx="2">
                  <c:v>2019</c:v>
                </c:pt>
                <c:pt idx="3">
                  <c:v>2020</c:v>
                </c:pt>
                <c:pt idx="4">
                  <c:v>2021</c:v>
                </c:pt>
                <c:pt idx="5">
                  <c:v>2022</c:v>
                </c:pt>
                <c:pt idx="6">
                  <c:v>2023</c:v>
                </c:pt>
              </c:numCache>
            </c:numRef>
          </c:cat>
          <c:val>
            <c:numRef>
              <c:f>Sheet1!$B$4:$H$4</c:f>
              <c:numCache>
                <c:formatCode>0%</c:formatCode>
                <c:ptCount val="7"/>
                <c:pt idx="0">
                  <c:v>0.26</c:v>
                </c:pt>
                <c:pt idx="1">
                  <c:v>0.31</c:v>
                </c:pt>
                <c:pt idx="2">
                  <c:v>0.24</c:v>
                </c:pt>
                <c:pt idx="3">
                  <c:v>0.28000000000000003</c:v>
                </c:pt>
                <c:pt idx="4">
                  <c:v>0.51</c:v>
                </c:pt>
                <c:pt idx="5">
                  <c:v>0.16</c:v>
                </c:pt>
                <c:pt idx="6">
                  <c:v>0.26</c:v>
                </c:pt>
              </c:numCache>
            </c:numRef>
          </c:val>
        </c:ser>
        <c:ser>
          <c:idx val="2"/>
          <c:order val="2"/>
          <c:tx>
            <c:strRef>
              <c:f>Sheet1!$A$5</c:f>
              <c:strCache>
                <c:ptCount val="1"/>
                <c:pt idx="0">
                  <c:v>Worse</c:v>
                </c:pt>
              </c:strCache>
            </c:strRef>
          </c:tx>
          <c:spPr>
            <a:solidFill>
              <a:srgbClr val="FF0000"/>
            </a:solidFill>
            <a:ln>
              <a:solidFill>
                <a:schemeClr val="bg1"/>
              </a:solidFill>
            </a:ln>
          </c:spPr>
          <c:invertIfNegative val="0"/>
          <c:dLbls>
            <c:spPr>
              <a:solidFill>
                <a:srgbClr val="FF0000"/>
              </a:solidFill>
              <a:ln w="9525"/>
            </c:spPr>
            <c:txPr>
              <a:bodyPr/>
              <a:lstStyle/>
              <a:p>
                <a:pPr>
                  <a:defRPr sz="1100" b="1">
                    <a:solidFill>
                      <a:schemeClr val="bg1"/>
                    </a:solidFill>
                  </a:defRPr>
                </a:pPr>
                <a:endParaRPr lang="en-US"/>
              </a:p>
            </c:txPr>
            <c:dLblPos val="ctr"/>
            <c:showLegendKey val="0"/>
            <c:showVal val="1"/>
            <c:showCatName val="0"/>
            <c:showSerName val="0"/>
            <c:showPercent val="0"/>
            <c:showBubbleSize val="0"/>
            <c:showLeaderLines val="0"/>
          </c:dLbls>
          <c:cat>
            <c:numRef>
              <c:f>Sheet1!$B$2:$H$2</c:f>
              <c:numCache>
                <c:formatCode>General</c:formatCode>
                <c:ptCount val="7"/>
                <c:pt idx="0">
                  <c:v>2017</c:v>
                </c:pt>
                <c:pt idx="1">
                  <c:v>2018</c:v>
                </c:pt>
                <c:pt idx="2">
                  <c:v>2019</c:v>
                </c:pt>
                <c:pt idx="3">
                  <c:v>2020</c:v>
                </c:pt>
                <c:pt idx="4">
                  <c:v>2021</c:v>
                </c:pt>
                <c:pt idx="5">
                  <c:v>2022</c:v>
                </c:pt>
                <c:pt idx="6">
                  <c:v>2023</c:v>
                </c:pt>
              </c:numCache>
            </c:numRef>
          </c:cat>
          <c:val>
            <c:numRef>
              <c:f>Sheet1!$B$5:$H$5</c:f>
              <c:numCache>
                <c:formatCode>0%</c:formatCode>
                <c:ptCount val="7"/>
                <c:pt idx="0">
                  <c:v>0.26</c:v>
                </c:pt>
                <c:pt idx="1">
                  <c:v>0.15</c:v>
                </c:pt>
                <c:pt idx="2">
                  <c:v>0.22</c:v>
                </c:pt>
                <c:pt idx="3">
                  <c:v>0.23</c:v>
                </c:pt>
                <c:pt idx="4">
                  <c:v>0.25</c:v>
                </c:pt>
                <c:pt idx="5">
                  <c:v>0.2</c:v>
                </c:pt>
                <c:pt idx="6">
                  <c:v>0.27</c:v>
                </c:pt>
              </c:numCache>
            </c:numRef>
          </c:val>
        </c:ser>
        <c:ser>
          <c:idx val="3"/>
          <c:order val="3"/>
          <c:tx>
            <c:strRef>
              <c:f>Sheet1!$A$6</c:f>
              <c:strCache>
                <c:ptCount val="1"/>
                <c:pt idx="0">
                  <c:v>No Answer</c:v>
                </c:pt>
              </c:strCache>
            </c:strRef>
          </c:tx>
          <c:invertIfNegative val="0"/>
          <c:dLbls>
            <c:dLbl>
              <c:idx val="0"/>
              <c:layout>
                <c:manualLayout>
                  <c:x val="-2.4274756122300064E-17"/>
                  <c:y val="-1.4479358743024445E-2"/>
                </c:manualLayout>
              </c:layout>
              <c:tx>
                <c:rich>
                  <a:bodyPr/>
                  <a:lstStyle/>
                  <a:p>
                    <a:r>
                      <a:rPr lang="en-US"/>
                      <a:t>1%</a:t>
                    </a:r>
                  </a:p>
                  <a:p>
                    <a:endParaRPr lang="en-US"/>
                  </a:p>
                </c:rich>
              </c:tx>
              <c:dLblPos val="ctr"/>
              <c:showLegendKey val="0"/>
              <c:showVal val="1"/>
              <c:showCatName val="0"/>
              <c:showSerName val="0"/>
              <c:showPercent val="0"/>
              <c:showBubbleSize val="0"/>
            </c:dLbl>
            <c:dLbl>
              <c:idx val="1"/>
              <c:layout/>
              <c:tx>
                <c:rich>
                  <a:bodyPr/>
                  <a:lstStyle/>
                  <a:p>
                    <a:r>
                      <a:rPr lang="en-US"/>
                      <a:t>1%</a:t>
                    </a:r>
                  </a:p>
                  <a:p>
                    <a:endParaRPr lang="en-US"/>
                  </a:p>
                </c:rich>
              </c:tx>
              <c:dLblPos val="ctr"/>
              <c:showLegendKey val="0"/>
              <c:showVal val="1"/>
              <c:showCatName val="0"/>
              <c:showSerName val="0"/>
              <c:showPercent val="0"/>
              <c:showBubbleSize val="0"/>
            </c:dLbl>
            <c:dLbl>
              <c:idx val="2"/>
              <c:layout/>
              <c:tx>
                <c:rich>
                  <a:bodyPr/>
                  <a:lstStyle/>
                  <a:p>
                    <a:r>
                      <a:rPr lang="en-US"/>
                      <a:t>3%</a:t>
                    </a:r>
                  </a:p>
                  <a:p>
                    <a:endParaRPr lang="en-US"/>
                  </a:p>
                </c:rich>
              </c:tx>
              <c:dLblPos val="ctr"/>
              <c:showLegendKey val="0"/>
              <c:showVal val="1"/>
              <c:showCatName val="0"/>
              <c:showSerName val="0"/>
              <c:showPercent val="0"/>
              <c:showBubbleSize val="0"/>
            </c:dLbl>
            <c:dLbl>
              <c:idx val="3"/>
              <c:layout>
                <c:manualLayout>
                  <c:x val="0"/>
                  <c:y val="4.1315054945769928E-3"/>
                </c:manualLayout>
              </c:layout>
              <c:tx>
                <c:rich>
                  <a:bodyPr/>
                  <a:lstStyle/>
                  <a:p>
                    <a:r>
                      <a:rPr lang="en-US"/>
                      <a:t>1%</a:t>
                    </a:r>
                  </a:p>
                  <a:p>
                    <a:endParaRPr lang="en-US"/>
                  </a:p>
                </c:rich>
              </c:tx>
              <c:dLblPos val="ctr"/>
              <c:showLegendKey val="0"/>
              <c:showVal val="1"/>
              <c:showCatName val="0"/>
              <c:showSerName val="0"/>
              <c:showPercent val="0"/>
              <c:showBubbleSize val="0"/>
            </c:dLbl>
            <c:dLbl>
              <c:idx val="4"/>
              <c:layout/>
              <c:tx>
                <c:rich>
                  <a:bodyPr/>
                  <a:lstStyle/>
                  <a:p>
                    <a:r>
                      <a:rPr lang="en-US"/>
                      <a:t>2%</a:t>
                    </a:r>
                  </a:p>
                  <a:p>
                    <a:endParaRPr lang="en-US"/>
                  </a:p>
                </c:rich>
              </c:tx>
              <c:dLblPos val="ctr"/>
              <c:showLegendKey val="0"/>
              <c:showVal val="1"/>
              <c:showCatName val="0"/>
              <c:showSerName val="0"/>
              <c:showPercent val="0"/>
              <c:showBubbleSize val="0"/>
            </c:dLbl>
            <c:dLbl>
              <c:idx val="5"/>
              <c:layout>
                <c:manualLayout>
                  <c:x val="0"/>
                  <c:y val="0"/>
                </c:manualLayout>
              </c:layout>
              <c:tx>
                <c:rich>
                  <a:bodyPr/>
                  <a:lstStyle/>
                  <a:p>
                    <a:r>
                      <a:rPr lang="en-US"/>
                      <a:t>2%</a:t>
                    </a:r>
                  </a:p>
                  <a:p>
                    <a:endParaRPr lang="en-US"/>
                  </a:p>
                </c:rich>
              </c:tx>
              <c:dLblPos val="ctr"/>
              <c:showLegendKey val="0"/>
              <c:showVal val="1"/>
              <c:showCatName val="0"/>
              <c:showSerName val="0"/>
              <c:showPercent val="0"/>
              <c:showBubbleSize val="0"/>
            </c:dLbl>
            <c:dLbl>
              <c:idx val="6"/>
              <c:layout>
                <c:manualLayout>
                  <c:x val="0"/>
                  <c:y val="-8.2630109891539856E-3"/>
                </c:manualLayout>
              </c:layout>
              <c:tx>
                <c:rich>
                  <a:bodyPr/>
                  <a:lstStyle/>
                  <a:p>
                    <a:r>
                      <a:rPr lang="en-US"/>
                      <a:t>3%</a:t>
                    </a:r>
                  </a:p>
                  <a:p>
                    <a:endParaRPr lang="en-US"/>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numRef>
              <c:f>Sheet1!$B$2:$H$2</c:f>
              <c:numCache>
                <c:formatCode>General</c:formatCode>
                <c:ptCount val="7"/>
                <c:pt idx="0">
                  <c:v>2017</c:v>
                </c:pt>
                <c:pt idx="1">
                  <c:v>2018</c:v>
                </c:pt>
                <c:pt idx="2">
                  <c:v>2019</c:v>
                </c:pt>
                <c:pt idx="3">
                  <c:v>2020</c:v>
                </c:pt>
                <c:pt idx="4">
                  <c:v>2021</c:v>
                </c:pt>
                <c:pt idx="5">
                  <c:v>2022</c:v>
                </c:pt>
                <c:pt idx="6">
                  <c:v>2023</c:v>
                </c:pt>
              </c:numCache>
            </c:numRef>
          </c:cat>
          <c:val>
            <c:numRef>
              <c:f>Sheet1!$B$6:$H$6</c:f>
              <c:numCache>
                <c:formatCode>0%</c:formatCode>
                <c:ptCount val="7"/>
                <c:pt idx="0">
                  <c:v>0.01</c:v>
                </c:pt>
                <c:pt idx="1">
                  <c:v>0.01</c:v>
                </c:pt>
                <c:pt idx="2">
                  <c:v>0.03</c:v>
                </c:pt>
                <c:pt idx="3">
                  <c:v>0.01</c:v>
                </c:pt>
                <c:pt idx="4">
                  <c:v>0.02</c:v>
                </c:pt>
                <c:pt idx="5">
                  <c:v>0.02</c:v>
                </c:pt>
                <c:pt idx="6">
                  <c:v>0.03</c:v>
                </c:pt>
              </c:numCache>
            </c:numRef>
          </c:val>
        </c:ser>
        <c:dLbls>
          <c:dLblPos val="ctr"/>
          <c:showLegendKey val="0"/>
          <c:showVal val="1"/>
          <c:showCatName val="0"/>
          <c:showSerName val="0"/>
          <c:showPercent val="0"/>
          <c:showBubbleSize val="0"/>
        </c:dLbls>
        <c:gapWidth val="150"/>
        <c:overlap val="100"/>
        <c:axId val="147245312"/>
        <c:axId val="147251200"/>
      </c:barChart>
      <c:catAx>
        <c:axId val="147245312"/>
        <c:scaling>
          <c:orientation val="minMax"/>
        </c:scaling>
        <c:delete val="0"/>
        <c:axPos val="b"/>
        <c:numFmt formatCode="General" sourceLinked="1"/>
        <c:majorTickMark val="out"/>
        <c:minorTickMark val="none"/>
        <c:tickLblPos val="nextTo"/>
        <c:crossAx val="147251200"/>
        <c:crosses val="autoZero"/>
        <c:auto val="1"/>
        <c:lblAlgn val="ctr"/>
        <c:lblOffset val="100"/>
        <c:noMultiLvlLbl val="0"/>
      </c:catAx>
      <c:valAx>
        <c:axId val="147251200"/>
        <c:scaling>
          <c:orientation val="minMax"/>
        </c:scaling>
        <c:delete val="0"/>
        <c:axPos val="l"/>
        <c:majorGridlines/>
        <c:numFmt formatCode="0%" sourceLinked="1"/>
        <c:majorTickMark val="out"/>
        <c:minorTickMark val="none"/>
        <c:tickLblPos val="nextTo"/>
        <c:crossAx val="147245312"/>
        <c:crosses val="autoZero"/>
        <c:crossBetween val="between"/>
      </c:valAx>
    </c:plotArea>
    <c:legend>
      <c:legendPos val="b"/>
      <c:layout/>
      <c:overlay val="0"/>
    </c:legend>
    <c:plotVisOnly val="1"/>
    <c:dispBlanksAs val="gap"/>
    <c:showDLblsOverMax val="0"/>
  </c:chart>
  <c:spPr>
    <a:ln w="9525">
      <a:solidFill>
        <a:schemeClr val="tx1"/>
      </a:solidFill>
    </a:ln>
  </c:spPr>
  <c:txPr>
    <a:bodyPr/>
    <a:lstStyle/>
    <a:p>
      <a:pPr>
        <a:defRPr>
          <a:ln>
            <a:noFill/>
          </a:ln>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86790899472486"/>
          <c:y val="6.993315976348026E-2"/>
          <c:w val="0.69651583751840729"/>
          <c:h val="0.73685542828273232"/>
        </c:manualLayout>
      </c:layout>
      <c:barChart>
        <c:barDir val="col"/>
        <c:grouping val="percentStacked"/>
        <c:varyColors val="0"/>
        <c:ser>
          <c:idx val="0"/>
          <c:order val="0"/>
          <c:tx>
            <c:strRef>
              <c:f>Sheet1!$A$29</c:f>
              <c:strCache>
                <c:ptCount val="1"/>
                <c:pt idx="0">
                  <c:v>Met Goal</c:v>
                </c:pt>
              </c:strCache>
            </c:strRef>
          </c:tx>
          <c:spPr>
            <a:solidFill>
              <a:srgbClr val="00B050"/>
            </a:solidFill>
          </c:spPr>
          <c:invertIfNegative val="0"/>
          <c:dPt>
            <c:idx val="0"/>
            <c:invertIfNegative val="0"/>
            <c:bubble3D val="0"/>
            <c:spPr>
              <a:solidFill>
                <a:srgbClr val="00B050"/>
              </a:solidFill>
              <a:ln>
                <a:solidFill>
                  <a:srgbClr val="00B050"/>
                </a:solidFill>
              </a:ln>
            </c:spPr>
          </c:dPt>
          <c:dLbls>
            <c:txPr>
              <a:bodyPr/>
              <a:lstStyle/>
              <a:p>
                <a:pPr>
                  <a:defRPr b="0">
                    <a:ln>
                      <a:solidFill>
                        <a:schemeClr val="bg1"/>
                      </a:solidFill>
                    </a:ln>
                    <a:noFill/>
                  </a:defRPr>
                </a:pPr>
                <a:endParaRPr lang="en-US"/>
              </a:p>
            </c:txPr>
            <c:dLblPos val="ctr"/>
            <c:showLegendKey val="0"/>
            <c:showVal val="1"/>
            <c:showCatName val="0"/>
            <c:showSerName val="0"/>
            <c:showPercent val="0"/>
            <c:showBubbleSize val="0"/>
            <c:showLeaderLines val="0"/>
          </c:dLbls>
          <c:cat>
            <c:numRef>
              <c:f>Sheet1!$B$28:$H$28</c:f>
              <c:numCache>
                <c:formatCode>General</c:formatCode>
                <c:ptCount val="7"/>
                <c:pt idx="0">
                  <c:v>2017</c:v>
                </c:pt>
                <c:pt idx="1">
                  <c:v>2018</c:v>
                </c:pt>
                <c:pt idx="2">
                  <c:v>2019</c:v>
                </c:pt>
                <c:pt idx="3">
                  <c:v>2020</c:v>
                </c:pt>
                <c:pt idx="4">
                  <c:v>2021</c:v>
                </c:pt>
                <c:pt idx="5">
                  <c:v>2022</c:v>
                </c:pt>
                <c:pt idx="6">
                  <c:v>2023</c:v>
                </c:pt>
              </c:numCache>
            </c:numRef>
          </c:cat>
          <c:val>
            <c:numRef>
              <c:f>Sheet1!$B$29:$H$29</c:f>
              <c:numCache>
                <c:formatCode>0%</c:formatCode>
                <c:ptCount val="7"/>
                <c:pt idx="0">
                  <c:v>0.56999999999999995</c:v>
                </c:pt>
                <c:pt idx="1">
                  <c:v>0.6</c:v>
                </c:pt>
                <c:pt idx="2">
                  <c:v>0.64</c:v>
                </c:pt>
                <c:pt idx="3">
                  <c:v>0.63</c:v>
                </c:pt>
                <c:pt idx="4">
                  <c:v>0.64</c:v>
                </c:pt>
                <c:pt idx="5">
                  <c:v>0.65</c:v>
                </c:pt>
                <c:pt idx="6">
                  <c:v>0.56000000000000005</c:v>
                </c:pt>
              </c:numCache>
            </c:numRef>
          </c:val>
        </c:ser>
        <c:ser>
          <c:idx val="1"/>
          <c:order val="1"/>
          <c:tx>
            <c:strRef>
              <c:f>Sheet1!$A$30</c:f>
              <c:strCache>
                <c:ptCount val="1"/>
                <c:pt idx="0">
                  <c:v>Did Not Meet Goal</c:v>
                </c:pt>
              </c:strCache>
            </c:strRef>
          </c:tx>
          <c:spPr>
            <a:solidFill>
              <a:srgbClr val="FF0000"/>
            </a:solidFill>
          </c:spPr>
          <c:invertIfNegative val="0"/>
          <c:dLbls>
            <c:spPr>
              <a:solidFill>
                <a:srgbClr val="FF0000"/>
              </a:solidFill>
            </c:spPr>
            <c:txPr>
              <a:bodyPr/>
              <a:lstStyle/>
              <a:p>
                <a:pPr>
                  <a:defRPr b="1">
                    <a:solidFill>
                      <a:schemeClr val="bg1"/>
                    </a:solidFill>
                  </a:defRPr>
                </a:pPr>
                <a:endParaRPr lang="en-US"/>
              </a:p>
            </c:txPr>
            <c:dLblPos val="ctr"/>
            <c:showLegendKey val="0"/>
            <c:showVal val="1"/>
            <c:showCatName val="0"/>
            <c:showSerName val="0"/>
            <c:showPercent val="0"/>
            <c:showBubbleSize val="0"/>
            <c:showLeaderLines val="0"/>
          </c:dLbls>
          <c:cat>
            <c:numRef>
              <c:f>Sheet1!$B$28:$H$28</c:f>
              <c:numCache>
                <c:formatCode>General</c:formatCode>
                <c:ptCount val="7"/>
                <c:pt idx="0">
                  <c:v>2017</c:v>
                </c:pt>
                <c:pt idx="1">
                  <c:v>2018</c:v>
                </c:pt>
                <c:pt idx="2">
                  <c:v>2019</c:v>
                </c:pt>
                <c:pt idx="3">
                  <c:v>2020</c:v>
                </c:pt>
                <c:pt idx="4">
                  <c:v>2021</c:v>
                </c:pt>
                <c:pt idx="5">
                  <c:v>2022</c:v>
                </c:pt>
                <c:pt idx="6">
                  <c:v>2023</c:v>
                </c:pt>
              </c:numCache>
            </c:numRef>
          </c:cat>
          <c:val>
            <c:numRef>
              <c:f>Sheet1!$B$30:$H$30</c:f>
              <c:numCache>
                <c:formatCode>0%</c:formatCode>
                <c:ptCount val="7"/>
                <c:pt idx="0">
                  <c:v>0.35</c:v>
                </c:pt>
                <c:pt idx="1">
                  <c:v>0.36</c:v>
                </c:pt>
                <c:pt idx="2">
                  <c:v>0.33</c:v>
                </c:pt>
                <c:pt idx="3">
                  <c:v>0.35</c:v>
                </c:pt>
                <c:pt idx="4">
                  <c:v>0.33</c:v>
                </c:pt>
                <c:pt idx="5">
                  <c:v>0.33</c:v>
                </c:pt>
                <c:pt idx="6">
                  <c:v>0.42</c:v>
                </c:pt>
              </c:numCache>
            </c:numRef>
          </c:val>
        </c:ser>
        <c:ser>
          <c:idx val="2"/>
          <c:order val="2"/>
          <c:tx>
            <c:strRef>
              <c:f>Sheet1!$A$31</c:f>
              <c:strCache>
                <c:ptCount val="1"/>
                <c:pt idx="0">
                  <c:v>Don't Know/No Answer</c:v>
                </c:pt>
              </c:strCache>
            </c:strRef>
          </c:tx>
          <c:invertIfNegative val="0"/>
          <c:dLbls>
            <c:spPr>
              <a:solidFill>
                <a:schemeClr val="accent5">
                  <a:lumMod val="40000"/>
                  <a:lumOff val="60000"/>
                </a:schemeClr>
              </a:solidFill>
            </c:spPr>
            <c:dLblPos val="ctr"/>
            <c:showLegendKey val="0"/>
            <c:showVal val="1"/>
            <c:showCatName val="0"/>
            <c:showSerName val="0"/>
            <c:showPercent val="0"/>
            <c:showBubbleSize val="0"/>
            <c:showLeaderLines val="0"/>
          </c:dLbls>
          <c:cat>
            <c:numRef>
              <c:f>Sheet1!$B$28:$H$28</c:f>
              <c:numCache>
                <c:formatCode>General</c:formatCode>
                <c:ptCount val="7"/>
                <c:pt idx="0">
                  <c:v>2017</c:v>
                </c:pt>
                <c:pt idx="1">
                  <c:v>2018</c:v>
                </c:pt>
                <c:pt idx="2">
                  <c:v>2019</c:v>
                </c:pt>
                <c:pt idx="3">
                  <c:v>2020</c:v>
                </c:pt>
                <c:pt idx="4">
                  <c:v>2021</c:v>
                </c:pt>
                <c:pt idx="5">
                  <c:v>2022</c:v>
                </c:pt>
                <c:pt idx="6">
                  <c:v>2023</c:v>
                </c:pt>
              </c:numCache>
            </c:numRef>
          </c:cat>
          <c:val>
            <c:numRef>
              <c:f>Sheet1!$B$31:$H$31</c:f>
              <c:numCache>
                <c:formatCode>0%</c:formatCode>
                <c:ptCount val="7"/>
                <c:pt idx="0">
                  <c:v>0.08</c:v>
                </c:pt>
                <c:pt idx="1">
                  <c:v>0.04</c:v>
                </c:pt>
                <c:pt idx="2">
                  <c:v>0.03</c:v>
                </c:pt>
                <c:pt idx="3">
                  <c:v>0.02</c:v>
                </c:pt>
                <c:pt idx="4">
                  <c:v>0.03</c:v>
                </c:pt>
                <c:pt idx="5">
                  <c:v>0.02</c:v>
                </c:pt>
                <c:pt idx="6">
                  <c:v>0.01</c:v>
                </c:pt>
              </c:numCache>
            </c:numRef>
          </c:val>
        </c:ser>
        <c:dLbls>
          <c:dLblPos val="ctr"/>
          <c:showLegendKey val="0"/>
          <c:showVal val="1"/>
          <c:showCatName val="0"/>
          <c:showSerName val="0"/>
          <c:showPercent val="0"/>
          <c:showBubbleSize val="0"/>
        </c:dLbls>
        <c:gapWidth val="150"/>
        <c:overlap val="100"/>
        <c:axId val="147541376"/>
        <c:axId val="147543168"/>
      </c:barChart>
      <c:catAx>
        <c:axId val="147541376"/>
        <c:scaling>
          <c:orientation val="minMax"/>
        </c:scaling>
        <c:delete val="0"/>
        <c:axPos val="b"/>
        <c:numFmt formatCode="General" sourceLinked="1"/>
        <c:majorTickMark val="out"/>
        <c:minorTickMark val="none"/>
        <c:tickLblPos val="nextTo"/>
        <c:crossAx val="147543168"/>
        <c:crosses val="autoZero"/>
        <c:auto val="1"/>
        <c:lblAlgn val="ctr"/>
        <c:lblOffset val="100"/>
        <c:noMultiLvlLbl val="0"/>
      </c:catAx>
      <c:valAx>
        <c:axId val="147543168"/>
        <c:scaling>
          <c:orientation val="minMax"/>
        </c:scaling>
        <c:delete val="0"/>
        <c:axPos val="l"/>
        <c:majorGridlines/>
        <c:numFmt formatCode="0%" sourceLinked="1"/>
        <c:majorTickMark val="out"/>
        <c:minorTickMark val="none"/>
        <c:tickLblPos val="nextTo"/>
        <c:crossAx val="14754137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a:t> </a:t>
            </a:r>
            <a:r>
              <a:rPr lang="en-US" sz="1200" b="1"/>
              <a:t>Growth</a:t>
            </a:r>
            <a:r>
              <a:rPr lang="en-US" sz="1200" b="1" baseline="0"/>
              <a:t> in Number of Donors, 2020-2023 </a:t>
            </a:r>
            <a:r>
              <a:rPr lang="en-US" sz="1000" b="0" baseline="0"/>
              <a:t>(Year of Survey)</a:t>
            </a:r>
            <a:endParaRPr lang="en-US" sz="1000" b="0"/>
          </a:p>
        </c:rich>
      </c:tx>
      <c:overlay val="0"/>
    </c:title>
    <c:autoTitleDeleted val="0"/>
    <c:plotArea>
      <c:layout>
        <c:manualLayout>
          <c:layoutTarget val="inner"/>
          <c:xMode val="edge"/>
          <c:yMode val="edge"/>
          <c:x val="0.25345099676901772"/>
          <c:y val="0.272934088507859"/>
          <c:w val="0.65698111963426165"/>
          <c:h val="0.51229448123547594"/>
        </c:manualLayout>
      </c:layout>
      <c:barChart>
        <c:barDir val="bar"/>
        <c:grouping val="percentStacked"/>
        <c:varyColors val="0"/>
        <c:ser>
          <c:idx val="0"/>
          <c:order val="0"/>
          <c:tx>
            <c:strRef>
              <c:f>Sheet1!$C$47</c:f>
              <c:strCache>
                <c:ptCount val="1"/>
                <c:pt idx="0">
                  <c:v>Many More</c:v>
                </c:pt>
              </c:strCache>
            </c:strRef>
          </c:tx>
          <c:spPr>
            <a:solidFill>
              <a:srgbClr val="00B050"/>
            </a:solidFill>
          </c:spPr>
          <c:invertIfNegative val="0"/>
          <c:dLbls>
            <c:txPr>
              <a:bodyPr/>
              <a:lstStyle/>
              <a:p>
                <a:pPr>
                  <a:defRPr b="1"/>
                </a:pPr>
                <a:endParaRPr lang="en-US"/>
              </a:p>
            </c:txPr>
            <c:showLegendKey val="0"/>
            <c:showVal val="1"/>
            <c:showCatName val="0"/>
            <c:showSerName val="0"/>
            <c:showPercent val="0"/>
            <c:showBubbleSize val="0"/>
            <c:showLeaderLines val="0"/>
          </c:dLbls>
          <c:cat>
            <c:numRef>
              <c:f>Sheet1!$B$48:$B$54</c:f>
              <c:numCache>
                <c:formatCode>General</c:formatCode>
                <c:ptCount val="7"/>
                <c:pt idx="0">
                  <c:v>2020</c:v>
                </c:pt>
                <c:pt idx="2">
                  <c:v>2021</c:v>
                </c:pt>
                <c:pt idx="4">
                  <c:v>2022</c:v>
                </c:pt>
                <c:pt idx="6">
                  <c:v>2023</c:v>
                </c:pt>
              </c:numCache>
            </c:numRef>
          </c:cat>
          <c:val>
            <c:numRef>
              <c:f>Sheet1!$C$48:$C$54</c:f>
              <c:numCache>
                <c:formatCode>General</c:formatCode>
                <c:ptCount val="7"/>
                <c:pt idx="0" formatCode="0%">
                  <c:v>0.04</c:v>
                </c:pt>
                <c:pt idx="2" formatCode="0%">
                  <c:v>0.13</c:v>
                </c:pt>
                <c:pt idx="4" formatCode="0%">
                  <c:v>0.02</c:v>
                </c:pt>
                <c:pt idx="6" formatCode="0%">
                  <c:v>0.03</c:v>
                </c:pt>
              </c:numCache>
            </c:numRef>
          </c:val>
        </c:ser>
        <c:ser>
          <c:idx val="1"/>
          <c:order val="1"/>
          <c:tx>
            <c:strRef>
              <c:f>Sheet1!$D$47</c:f>
              <c:strCache>
                <c:ptCount val="1"/>
                <c:pt idx="0">
                  <c:v>Somewhat More</c:v>
                </c:pt>
              </c:strCache>
            </c:strRef>
          </c:tx>
          <c:spPr>
            <a:solidFill>
              <a:srgbClr val="92D050"/>
            </a:solidFill>
          </c:spPr>
          <c:invertIfNegative val="0"/>
          <c:dLbls>
            <c:txPr>
              <a:bodyPr/>
              <a:lstStyle/>
              <a:p>
                <a:pPr>
                  <a:defRPr b="1"/>
                </a:pPr>
                <a:endParaRPr lang="en-US"/>
              </a:p>
            </c:txPr>
            <c:showLegendKey val="0"/>
            <c:showVal val="1"/>
            <c:showCatName val="0"/>
            <c:showSerName val="0"/>
            <c:showPercent val="0"/>
            <c:showBubbleSize val="0"/>
            <c:showLeaderLines val="0"/>
          </c:dLbls>
          <c:cat>
            <c:numRef>
              <c:f>Sheet1!$B$48:$B$54</c:f>
              <c:numCache>
                <c:formatCode>General</c:formatCode>
                <c:ptCount val="7"/>
                <c:pt idx="0">
                  <c:v>2020</c:v>
                </c:pt>
                <c:pt idx="2">
                  <c:v>2021</c:v>
                </c:pt>
                <c:pt idx="4">
                  <c:v>2022</c:v>
                </c:pt>
                <c:pt idx="6">
                  <c:v>2023</c:v>
                </c:pt>
              </c:numCache>
            </c:numRef>
          </c:cat>
          <c:val>
            <c:numRef>
              <c:f>Sheet1!$D$48:$D$54</c:f>
              <c:numCache>
                <c:formatCode>General</c:formatCode>
                <c:ptCount val="7"/>
                <c:pt idx="0" formatCode="0%">
                  <c:v>0.33</c:v>
                </c:pt>
                <c:pt idx="2" formatCode="0%">
                  <c:v>0.4</c:v>
                </c:pt>
                <c:pt idx="4" formatCode="0%">
                  <c:v>0.36</c:v>
                </c:pt>
                <c:pt idx="6" formatCode="0%">
                  <c:v>0.28999999999999998</c:v>
                </c:pt>
              </c:numCache>
            </c:numRef>
          </c:val>
        </c:ser>
        <c:ser>
          <c:idx val="2"/>
          <c:order val="2"/>
          <c:tx>
            <c:strRef>
              <c:f>Sheet1!$E$47</c:f>
              <c:strCache>
                <c:ptCount val="1"/>
                <c:pt idx="0">
                  <c:v>About the Same</c:v>
                </c:pt>
              </c:strCache>
            </c:strRef>
          </c:tx>
          <c:spPr>
            <a:solidFill>
              <a:srgbClr val="00B0F0"/>
            </a:solidFill>
          </c:spPr>
          <c:invertIfNegative val="0"/>
          <c:cat>
            <c:numRef>
              <c:f>Sheet1!$B$48:$B$54</c:f>
              <c:numCache>
                <c:formatCode>General</c:formatCode>
                <c:ptCount val="7"/>
                <c:pt idx="0">
                  <c:v>2020</c:v>
                </c:pt>
                <c:pt idx="2">
                  <c:v>2021</c:v>
                </c:pt>
                <c:pt idx="4">
                  <c:v>2022</c:v>
                </c:pt>
                <c:pt idx="6">
                  <c:v>2023</c:v>
                </c:pt>
              </c:numCache>
            </c:numRef>
          </c:cat>
          <c:val>
            <c:numRef>
              <c:f>Sheet1!$E$48:$E$54</c:f>
              <c:numCache>
                <c:formatCode>General</c:formatCode>
                <c:ptCount val="7"/>
                <c:pt idx="0" formatCode="0%">
                  <c:v>0.45</c:v>
                </c:pt>
                <c:pt idx="2" formatCode="0%">
                  <c:v>0.28000000000000003</c:v>
                </c:pt>
                <c:pt idx="4" formatCode="0%">
                  <c:v>0.33</c:v>
                </c:pt>
                <c:pt idx="6" formatCode="0%">
                  <c:v>0.47</c:v>
                </c:pt>
              </c:numCache>
            </c:numRef>
          </c:val>
        </c:ser>
        <c:ser>
          <c:idx val="3"/>
          <c:order val="3"/>
          <c:tx>
            <c:strRef>
              <c:f>Sheet1!$G$47</c:f>
              <c:strCache>
                <c:ptCount val="1"/>
                <c:pt idx="0">
                  <c:v>Somewhat Fewer</c:v>
                </c:pt>
              </c:strCache>
            </c:strRef>
          </c:tx>
          <c:spPr>
            <a:solidFill>
              <a:srgbClr val="FF0000"/>
            </a:solidFill>
          </c:spPr>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numRef>
              <c:f>Sheet1!$B$48:$B$54</c:f>
              <c:numCache>
                <c:formatCode>General</c:formatCode>
                <c:ptCount val="7"/>
                <c:pt idx="0">
                  <c:v>2020</c:v>
                </c:pt>
                <c:pt idx="2">
                  <c:v>2021</c:v>
                </c:pt>
                <c:pt idx="4">
                  <c:v>2022</c:v>
                </c:pt>
                <c:pt idx="6">
                  <c:v>2023</c:v>
                </c:pt>
              </c:numCache>
            </c:numRef>
          </c:cat>
          <c:val>
            <c:numRef>
              <c:f>Sheet1!$G$48:$G$54</c:f>
              <c:numCache>
                <c:formatCode>General</c:formatCode>
                <c:ptCount val="7"/>
                <c:pt idx="0" formatCode="0%">
                  <c:v>0.15</c:v>
                </c:pt>
                <c:pt idx="2" formatCode="0%">
                  <c:v>0.1</c:v>
                </c:pt>
                <c:pt idx="4" formatCode="0%">
                  <c:v>0.26</c:v>
                </c:pt>
                <c:pt idx="6" formatCode="0%">
                  <c:v>0.14000000000000001</c:v>
                </c:pt>
              </c:numCache>
            </c:numRef>
          </c:val>
        </c:ser>
        <c:ser>
          <c:idx val="4"/>
          <c:order val="4"/>
          <c:tx>
            <c:strRef>
              <c:f>Sheet1!$H$47</c:f>
              <c:strCache>
                <c:ptCount val="1"/>
                <c:pt idx="0">
                  <c:v>Many Fewer</c:v>
                </c:pt>
              </c:strCache>
            </c:strRef>
          </c:tx>
          <c:spPr>
            <a:solidFill>
              <a:srgbClr val="C00000"/>
            </a:solidFill>
          </c:spPr>
          <c:invertIfNegative val="0"/>
          <c:dLbls>
            <c:dLbl>
              <c:idx val="0"/>
              <c:layout>
                <c:manualLayout>
                  <c:x val="1.5869834288279271E-3"/>
                  <c:y val="4.1672114831661222E-2"/>
                </c:manualLayout>
              </c:layout>
              <c:showLegendKey val="0"/>
              <c:showVal val="1"/>
              <c:showCatName val="0"/>
              <c:showSerName val="0"/>
              <c:showPercent val="0"/>
              <c:showBubbleSize val="0"/>
            </c:dLbl>
            <c:dLbl>
              <c:idx val="1"/>
              <c:layout>
                <c:manualLayout>
                  <c:x val="6.1410642459942516E-2"/>
                  <c:y val="-1.4755957378908198E-2"/>
                </c:manualLayout>
              </c:layout>
              <c:showLegendKey val="0"/>
              <c:showVal val="1"/>
              <c:showCatName val="0"/>
              <c:showSerName val="0"/>
              <c:showPercent val="0"/>
              <c:showBubbleSize val="0"/>
            </c:dLbl>
            <c:dLbl>
              <c:idx val="2"/>
              <c:layout>
                <c:manualLayout>
                  <c:x val="6.247915445845552E-3"/>
                  <c:y val="4.2081837997174222E-2"/>
                </c:manualLayout>
              </c:layout>
              <c:showLegendKey val="0"/>
              <c:showVal val="1"/>
              <c:showCatName val="0"/>
              <c:showSerName val="0"/>
              <c:showPercent val="0"/>
              <c:showBubbleSize val="0"/>
            </c:dLbl>
            <c:dLbl>
              <c:idx val="3"/>
              <c:layout>
                <c:manualLayout>
                  <c:x val="5.7044223710890379E-2"/>
                  <c:y val="-4.9581504771341418E-3"/>
                </c:manualLayout>
              </c:layout>
              <c:showLegendKey val="0"/>
              <c:showVal val="1"/>
              <c:showCatName val="0"/>
              <c:showSerName val="0"/>
              <c:showPercent val="0"/>
              <c:showBubbleSize val="0"/>
            </c:dLbl>
            <c:dLbl>
              <c:idx val="4"/>
              <c:layout>
                <c:manualLayout>
                  <c:x val="-3.9163513064441099E-3"/>
                  <c:y val="4.728784046837297E-2"/>
                </c:manualLayout>
              </c:layout>
              <c:showLegendKey val="0"/>
              <c:showVal val="1"/>
              <c:showCatName val="0"/>
              <c:showSerName val="0"/>
              <c:showPercent val="0"/>
              <c:showBubbleSize val="0"/>
            </c:dLbl>
            <c:dLbl>
              <c:idx val="6"/>
              <c:layout>
                <c:manualLayout>
                  <c:x val="2.5610065984949517E-3"/>
                  <c:y val="4.7287519133234486E-2"/>
                </c:manualLayout>
              </c:layout>
              <c:showLegendKey val="0"/>
              <c:showVal val="1"/>
              <c:showCatName val="0"/>
              <c:showSerName val="0"/>
              <c:showPercent val="0"/>
              <c:showBubbleSize val="0"/>
            </c:dLbl>
            <c:spPr>
              <a:solidFill>
                <a:schemeClr val="lt1"/>
              </a:solidFill>
              <a:ln w="25400" cap="flat" cmpd="sng" algn="ctr">
                <a:solidFill>
                  <a:srgbClr val="C00000"/>
                </a:solidFill>
                <a:prstDash val="solid"/>
              </a:ln>
              <a:effectLst/>
            </c:spPr>
            <c:txPr>
              <a:bodyPr/>
              <a:lstStyle/>
              <a:p>
                <a:pPr>
                  <a:defRPr>
                    <a:solidFill>
                      <a:schemeClr val="dk1"/>
                    </a:solidFill>
                    <a:latin typeface="+mn-lt"/>
                    <a:ea typeface="+mn-ea"/>
                    <a:cs typeface="+mn-cs"/>
                  </a:defRPr>
                </a:pPr>
                <a:endParaRPr lang="en-US"/>
              </a:p>
            </c:txPr>
            <c:showLegendKey val="0"/>
            <c:showVal val="1"/>
            <c:showCatName val="0"/>
            <c:showSerName val="0"/>
            <c:showPercent val="0"/>
            <c:showBubbleSize val="0"/>
            <c:showLeaderLines val="0"/>
          </c:dLbls>
          <c:cat>
            <c:numRef>
              <c:f>Sheet1!$B$48:$B$54</c:f>
              <c:numCache>
                <c:formatCode>General</c:formatCode>
                <c:ptCount val="7"/>
                <c:pt idx="0">
                  <c:v>2020</c:v>
                </c:pt>
                <c:pt idx="2">
                  <c:v>2021</c:v>
                </c:pt>
                <c:pt idx="4">
                  <c:v>2022</c:v>
                </c:pt>
                <c:pt idx="6">
                  <c:v>2023</c:v>
                </c:pt>
              </c:numCache>
            </c:numRef>
          </c:cat>
          <c:val>
            <c:numRef>
              <c:f>Sheet1!$H$48:$H$54</c:f>
              <c:numCache>
                <c:formatCode>General</c:formatCode>
                <c:ptCount val="7"/>
                <c:pt idx="0" formatCode="0%">
                  <c:v>0.02</c:v>
                </c:pt>
                <c:pt idx="2" formatCode="0%">
                  <c:v>7.0000000000000007E-2</c:v>
                </c:pt>
                <c:pt idx="4" formatCode="0%">
                  <c:v>0.03</c:v>
                </c:pt>
                <c:pt idx="6" formatCode="0%">
                  <c:v>0.05</c:v>
                </c:pt>
              </c:numCache>
            </c:numRef>
          </c:val>
        </c:ser>
        <c:ser>
          <c:idx val="5"/>
          <c:order val="5"/>
          <c:tx>
            <c:strRef>
              <c:f>Sheet1!$I$47</c:f>
              <c:strCache>
                <c:ptCount val="1"/>
                <c:pt idx="0">
                  <c:v>Don't Know/No Answer</c:v>
                </c:pt>
              </c:strCache>
            </c:strRef>
          </c:tx>
          <c:invertIfNegative val="0"/>
          <c:dLbls>
            <c:delete val="1"/>
          </c:dLbls>
          <c:cat>
            <c:numRef>
              <c:f>Sheet1!$B$48:$B$54</c:f>
              <c:numCache>
                <c:formatCode>General</c:formatCode>
                <c:ptCount val="7"/>
                <c:pt idx="0">
                  <c:v>2020</c:v>
                </c:pt>
                <c:pt idx="2">
                  <c:v>2021</c:v>
                </c:pt>
                <c:pt idx="4">
                  <c:v>2022</c:v>
                </c:pt>
                <c:pt idx="6">
                  <c:v>2023</c:v>
                </c:pt>
              </c:numCache>
            </c:numRef>
          </c:cat>
          <c:val>
            <c:numRef>
              <c:f>Sheet1!$I$48:$I$54</c:f>
              <c:numCache>
                <c:formatCode>General</c:formatCode>
                <c:ptCount val="7"/>
                <c:pt idx="0" formatCode="0%">
                  <c:v>0.01</c:v>
                </c:pt>
                <c:pt idx="2" formatCode="0%">
                  <c:v>0</c:v>
                </c:pt>
                <c:pt idx="4" formatCode="0%">
                  <c:v>0</c:v>
                </c:pt>
                <c:pt idx="6" formatCode="0%">
                  <c:v>0.02</c:v>
                </c:pt>
              </c:numCache>
            </c:numRef>
          </c:val>
        </c:ser>
        <c:dLbls>
          <c:showLegendKey val="0"/>
          <c:showVal val="1"/>
          <c:showCatName val="0"/>
          <c:showSerName val="0"/>
          <c:showPercent val="0"/>
          <c:showBubbleSize val="0"/>
        </c:dLbls>
        <c:gapWidth val="75"/>
        <c:overlap val="100"/>
        <c:axId val="147565184"/>
        <c:axId val="147636608"/>
      </c:barChart>
      <c:catAx>
        <c:axId val="147565184"/>
        <c:scaling>
          <c:orientation val="minMax"/>
        </c:scaling>
        <c:delete val="0"/>
        <c:axPos val="l"/>
        <c:numFmt formatCode="General" sourceLinked="1"/>
        <c:majorTickMark val="out"/>
        <c:minorTickMark val="none"/>
        <c:tickLblPos val="nextTo"/>
        <c:crossAx val="147636608"/>
        <c:crosses val="autoZero"/>
        <c:auto val="1"/>
        <c:lblAlgn val="ctr"/>
        <c:lblOffset val="100"/>
        <c:noMultiLvlLbl val="0"/>
      </c:catAx>
      <c:valAx>
        <c:axId val="147636608"/>
        <c:scaling>
          <c:orientation val="minMax"/>
        </c:scaling>
        <c:delete val="0"/>
        <c:axPos val="b"/>
        <c:majorGridlines/>
        <c:minorGridlines/>
        <c:numFmt formatCode="0%" sourceLinked="1"/>
        <c:majorTickMark val="out"/>
        <c:minorTickMark val="none"/>
        <c:tickLblPos val="nextTo"/>
        <c:crossAx val="147565184"/>
        <c:crosses val="autoZero"/>
        <c:crossBetween val="between"/>
      </c:valAx>
    </c:plotArea>
    <c:legend>
      <c:legendPos val="t"/>
      <c:layout>
        <c:manualLayout>
          <c:xMode val="edge"/>
          <c:yMode val="edge"/>
          <c:x val="5.2965470250785768E-2"/>
          <c:y val="0.11849033775263286"/>
          <c:w val="0.88970819984868754"/>
          <c:h val="0.16891143483176804"/>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sz="1400"/>
          </a:p>
          <a:p>
            <a:pPr>
              <a:defRPr/>
            </a:pPr>
            <a:r>
              <a:rPr lang="en-US" sz="1400"/>
              <a:t>Expected</a:t>
            </a:r>
            <a:r>
              <a:rPr lang="en-US" sz="1400" baseline="0"/>
              <a:t> </a:t>
            </a:r>
            <a:r>
              <a:rPr lang="en-US" sz="1400"/>
              <a:t>Fundraising Climate</a:t>
            </a:r>
            <a:r>
              <a:rPr lang="en-US" sz="1400" baseline="0"/>
              <a:t> 2017-</a:t>
            </a:r>
            <a:r>
              <a:rPr lang="en-US" sz="1400"/>
              <a:t>2023</a:t>
            </a:r>
          </a:p>
          <a:p>
            <a:pPr>
              <a:defRPr/>
            </a:pPr>
            <a:endParaRPr lang="en-US" sz="1400"/>
          </a:p>
        </c:rich>
      </c:tx>
      <c:layout>
        <c:manualLayout>
          <c:xMode val="edge"/>
          <c:yMode val="edge"/>
          <c:x val="0.20704158659127314"/>
          <c:y val="2.948033652848726E-2"/>
        </c:manualLayout>
      </c:layout>
      <c:overlay val="0"/>
    </c:title>
    <c:autoTitleDeleted val="0"/>
    <c:plotArea>
      <c:layout>
        <c:manualLayout>
          <c:layoutTarget val="inner"/>
          <c:xMode val="edge"/>
          <c:yMode val="edge"/>
          <c:x val="9.4485916916777407E-2"/>
          <c:y val="0.30584817337628611"/>
          <c:w val="0.8929996165724815"/>
          <c:h val="0.61875083631374983"/>
        </c:manualLayout>
      </c:layout>
      <c:barChart>
        <c:barDir val="col"/>
        <c:grouping val="percentStacked"/>
        <c:varyColors val="0"/>
        <c:ser>
          <c:idx val="0"/>
          <c:order val="0"/>
          <c:tx>
            <c:strRef>
              <c:f>Sheet1!$A$84</c:f>
              <c:strCache>
                <c:ptCount val="1"/>
                <c:pt idx="0">
                  <c:v>Better</c:v>
                </c:pt>
              </c:strCache>
            </c:strRef>
          </c:tx>
          <c:spPr>
            <a:solidFill>
              <a:srgbClr val="00B050"/>
            </a:solidFill>
          </c:spPr>
          <c:invertIfNegative val="0"/>
          <c:dLbls>
            <c:dLbl>
              <c:idx val="4"/>
              <c:layout>
                <c:manualLayout>
                  <c:x val="4.0111892712749189E-2"/>
                  <c:y val="1.1055240602784087E-2"/>
                </c:manualLayout>
              </c:layout>
              <c:dLblPos val="ctr"/>
              <c:showLegendKey val="0"/>
              <c:showVal val="1"/>
              <c:showCatName val="0"/>
              <c:showSerName val="0"/>
              <c:showPercent val="0"/>
              <c:showBubbleSize val="0"/>
            </c:dLbl>
            <c:spPr>
              <a:solidFill>
                <a:schemeClr val="lt1"/>
              </a:solidFill>
              <a:ln w="25400" cap="flat" cmpd="sng" algn="ctr">
                <a:solidFill>
                  <a:schemeClr val="accent3"/>
                </a:solidFill>
                <a:prstDash val="solid"/>
              </a:ln>
              <a:effectLst/>
            </c:spPr>
            <c:txPr>
              <a:bodyPr/>
              <a:lstStyle/>
              <a:p>
                <a:pPr>
                  <a:defRPr>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dLbls>
          <c:cat>
            <c:strRef>
              <c:f>Sheet1!$B$86:$I$86</c:f>
              <c:strCache>
                <c:ptCount val="8"/>
                <c:pt idx="0">
                  <c:v>2017</c:v>
                </c:pt>
                <c:pt idx="1">
                  <c:v>2018</c:v>
                </c:pt>
                <c:pt idx="2">
                  <c:v>2019</c:v>
                </c:pt>
                <c:pt idx="3">
                  <c:v>2020 - I</c:v>
                </c:pt>
                <c:pt idx="4">
                  <c:v>2020 - II</c:v>
                </c:pt>
                <c:pt idx="5">
                  <c:v>2021</c:v>
                </c:pt>
                <c:pt idx="6">
                  <c:v>2022</c:v>
                </c:pt>
                <c:pt idx="7">
                  <c:v>2023</c:v>
                </c:pt>
              </c:strCache>
            </c:strRef>
          </c:cat>
          <c:val>
            <c:numRef>
              <c:f>Sheet1!$B$87:$I$87</c:f>
              <c:numCache>
                <c:formatCode>0%</c:formatCode>
                <c:ptCount val="8"/>
                <c:pt idx="0">
                  <c:v>0.7</c:v>
                </c:pt>
                <c:pt idx="1">
                  <c:v>0.47</c:v>
                </c:pt>
                <c:pt idx="2">
                  <c:v>0.12</c:v>
                </c:pt>
                <c:pt idx="3">
                  <c:v>0.19</c:v>
                </c:pt>
                <c:pt idx="4">
                  <c:v>0.05</c:v>
                </c:pt>
                <c:pt idx="5">
                  <c:v>0.22</c:v>
                </c:pt>
                <c:pt idx="6">
                  <c:v>0.33</c:v>
                </c:pt>
                <c:pt idx="7" formatCode="General">
                  <c:v>28</c:v>
                </c:pt>
              </c:numCache>
            </c:numRef>
          </c:val>
        </c:ser>
        <c:ser>
          <c:idx val="1"/>
          <c:order val="1"/>
          <c:tx>
            <c:strRef>
              <c:f>Sheet1!$A$85</c:f>
              <c:strCache>
                <c:ptCount val="1"/>
                <c:pt idx="0">
                  <c:v>About the Same</c:v>
                </c:pt>
              </c:strCache>
            </c:strRef>
          </c:tx>
          <c:spPr>
            <a:solidFill>
              <a:schemeClr val="accent5">
                <a:lumMod val="40000"/>
                <a:lumOff val="60000"/>
              </a:schemeClr>
            </a:solidFill>
          </c:spPr>
          <c:invertIfNegative val="0"/>
          <c:dLbls>
            <c:dLbl>
              <c:idx val="4"/>
              <c:layout>
                <c:manualLayout>
                  <c:x val="-4.0348030889012204E-2"/>
                  <c:y val="-3.6850431353159445E-3"/>
                </c:manualLayout>
              </c:layout>
              <c:dLblPos val="ctr"/>
              <c:showLegendKey val="0"/>
              <c:showVal val="1"/>
              <c:showCatName val="0"/>
              <c:showSerName val="0"/>
              <c:showPercent val="0"/>
              <c:showBubbleSize val="0"/>
            </c:dLbl>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dLbls>
          <c:cat>
            <c:strRef>
              <c:f>Sheet1!$B$86:$I$86</c:f>
              <c:strCache>
                <c:ptCount val="8"/>
                <c:pt idx="0">
                  <c:v>2017</c:v>
                </c:pt>
                <c:pt idx="1">
                  <c:v>2018</c:v>
                </c:pt>
                <c:pt idx="2">
                  <c:v>2019</c:v>
                </c:pt>
                <c:pt idx="3">
                  <c:v>2020 - I</c:v>
                </c:pt>
                <c:pt idx="4">
                  <c:v>2020 - II</c:v>
                </c:pt>
                <c:pt idx="5">
                  <c:v>2021</c:v>
                </c:pt>
                <c:pt idx="6">
                  <c:v>2022</c:v>
                </c:pt>
                <c:pt idx="7">
                  <c:v>2023</c:v>
                </c:pt>
              </c:strCache>
            </c:strRef>
          </c:cat>
          <c:val>
            <c:numRef>
              <c:f>Sheet1!$B$88:$I$88</c:f>
              <c:numCache>
                <c:formatCode>0%</c:formatCode>
                <c:ptCount val="8"/>
                <c:pt idx="0">
                  <c:v>0.26</c:v>
                </c:pt>
                <c:pt idx="1">
                  <c:v>0.38</c:v>
                </c:pt>
                <c:pt idx="2">
                  <c:v>0.51</c:v>
                </c:pt>
                <c:pt idx="3">
                  <c:v>0.56000000000000005</c:v>
                </c:pt>
                <c:pt idx="4">
                  <c:v>0.06</c:v>
                </c:pt>
                <c:pt idx="5">
                  <c:v>0.51</c:v>
                </c:pt>
                <c:pt idx="6">
                  <c:v>0.43</c:v>
                </c:pt>
                <c:pt idx="7" formatCode="General">
                  <c:v>44</c:v>
                </c:pt>
              </c:numCache>
            </c:numRef>
          </c:val>
        </c:ser>
        <c:ser>
          <c:idx val="2"/>
          <c:order val="2"/>
          <c:tx>
            <c:strRef>
              <c:f>Sheet1!$A$86</c:f>
              <c:strCache>
                <c:ptCount val="1"/>
                <c:pt idx="0">
                  <c:v>Worse</c:v>
                </c:pt>
              </c:strCache>
            </c:strRef>
          </c:tx>
          <c:spPr>
            <a:solidFill>
              <a:srgbClr val="FF0000"/>
            </a:solidFill>
          </c:spPr>
          <c:invertIfNegative val="0"/>
          <c:dLbls>
            <c:dLbl>
              <c:idx val="0"/>
              <c:layout>
                <c:manualLayout>
                  <c:x val="0"/>
                  <c:y val="-4.3979378865726802E-2"/>
                </c:manualLayout>
              </c:layout>
              <c:dLblPos val="ctr"/>
              <c:showLegendKey val="0"/>
              <c:showVal val="1"/>
              <c:showCatName val="0"/>
              <c:showSerName val="0"/>
              <c:showPercent val="0"/>
              <c:showBubbleSize val="0"/>
            </c:dLbl>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dLbls>
          <c:cat>
            <c:strRef>
              <c:f>Sheet1!$B$86:$I$86</c:f>
              <c:strCache>
                <c:ptCount val="8"/>
                <c:pt idx="0">
                  <c:v>2017</c:v>
                </c:pt>
                <c:pt idx="1">
                  <c:v>2018</c:v>
                </c:pt>
                <c:pt idx="2">
                  <c:v>2019</c:v>
                </c:pt>
                <c:pt idx="3">
                  <c:v>2020 - I</c:v>
                </c:pt>
                <c:pt idx="4">
                  <c:v>2020 - II</c:v>
                </c:pt>
                <c:pt idx="5">
                  <c:v>2021</c:v>
                </c:pt>
                <c:pt idx="6">
                  <c:v>2022</c:v>
                </c:pt>
                <c:pt idx="7">
                  <c:v>2023</c:v>
                </c:pt>
              </c:strCache>
            </c:strRef>
          </c:cat>
          <c:val>
            <c:numRef>
              <c:f>Sheet1!$B$89:$I$89</c:f>
              <c:numCache>
                <c:formatCode>0%</c:formatCode>
                <c:ptCount val="8"/>
                <c:pt idx="0">
                  <c:v>0.04</c:v>
                </c:pt>
                <c:pt idx="1">
                  <c:v>0.15</c:v>
                </c:pt>
                <c:pt idx="2">
                  <c:v>0.35</c:v>
                </c:pt>
                <c:pt idx="3">
                  <c:v>0.21</c:v>
                </c:pt>
                <c:pt idx="4">
                  <c:v>0.87</c:v>
                </c:pt>
                <c:pt idx="5">
                  <c:v>0.25</c:v>
                </c:pt>
                <c:pt idx="6">
                  <c:v>0.2</c:v>
                </c:pt>
                <c:pt idx="7" formatCode="General">
                  <c:v>19</c:v>
                </c:pt>
              </c:numCache>
            </c:numRef>
          </c:val>
        </c:ser>
        <c:ser>
          <c:idx val="3"/>
          <c:order val="3"/>
          <c:tx>
            <c:strRef>
              <c:f>Sheet1!$A$87</c:f>
              <c:strCache>
                <c:ptCount val="1"/>
                <c:pt idx="0">
                  <c:v>No Answer</c:v>
                </c:pt>
              </c:strCache>
            </c:strRef>
          </c:tx>
          <c:invertIfNegative val="0"/>
          <c:dLbls>
            <c:delete val="1"/>
          </c:dLbls>
          <c:cat>
            <c:strRef>
              <c:f>Sheet1!$B$86:$I$86</c:f>
              <c:strCache>
                <c:ptCount val="8"/>
                <c:pt idx="0">
                  <c:v>2017</c:v>
                </c:pt>
                <c:pt idx="1">
                  <c:v>2018</c:v>
                </c:pt>
                <c:pt idx="2">
                  <c:v>2019</c:v>
                </c:pt>
                <c:pt idx="3">
                  <c:v>2020 - I</c:v>
                </c:pt>
                <c:pt idx="4">
                  <c:v>2020 - II</c:v>
                </c:pt>
                <c:pt idx="5">
                  <c:v>2021</c:v>
                </c:pt>
                <c:pt idx="6">
                  <c:v>2022</c:v>
                </c:pt>
                <c:pt idx="7">
                  <c:v>2023</c:v>
                </c:pt>
              </c:strCache>
            </c:strRef>
          </c:cat>
          <c:val>
            <c:numRef>
              <c:f>Sheet1!$B$90:$I$90</c:f>
              <c:numCache>
                <c:formatCode>General</c:formatCode>
                <c:ptCount val="8"/>
                <c:pt idx="2" formatCode="0%">
                  <c:v>0.02</c:v>
                </c:pt>
                <c:pt idx="3" formatCode="0%">
                  <c:v>0.04</c:v>
                </c:pt>
                <c:pt idx="4" formatCode="0%">
                  <c:v>0.02</c:v>
                </c:pt>
                <c:pt idx="5" formatCode="0%">
                  <c:v>0.02</c:v>
                </c:pt>
                <c:pt idx="6" formatCode="0%">
                  <c:v>0.05</c:v>
                </c:pt>
                <c:pt idx="7">
                  <c:v>10</c:v>
                </c:pt>
              </c:numCache>
            </c:numRef>
          </c:val>
        </c:ser>
        <c:dLbls>
          <c:dLblPos val="ctr"/>
          <c:showLegendKey val="0"/>
          <c:showVal val="1"/>
          <c:showCatName val="0"/>
          <c:showSerName val="0"/>
          <c:showPercent val="0"/>
          <c:showBubbleSize val="0"/>
        </c:dLbls>
        <c:gapWidth val="150"/>
        <c:overlap val="100"/>
        <c:axId val="148505344"/>
        <c:axId val="148506880"/>
      </c:barChart>
      <c:catAx>
        <c:axId val="148505344"/>
        <c:scaling>
          <c:orientation val="minMax"/>
        </c:scaling>
        <c:delete val="0"/>
        <c:axPos val="b"/>
        <c:numFmt formatCode="General" sourceLinked="1"/>
        <c:majorTickMark val="out"/>
        <c:minorTickMark val="none"/>
        <c:tickLblPos val="nextTo"/>
        <c:crossAx val="148506880"/>
        <c:crosses val="autoZero"/>
        <c:auto val="1"/>
        <c:lblAlgn val="ctr"/>
        <c:lblOffset val="100"/>
        <c:noMultiLvlLbl val="0"/>
      </c:catAx>
      <c:valAx>
        <c:axId val="148506880"/>
        <c:scaling>
          <c:orientation val="minMax"/>
        </c:scaling>
        <c:delete val="0"/>
        <c:axPos val="l"/>
        <c:majorGridlines/>
        <c:numFmt formatCode="0%" sourceLinked="1"/>
        <c:majorTickMark val="out"/>
        <c:minorTickMark val="none"/>
        <c:tickLblPos val="nextTo"/>
        <c:crossAx val="148505344"/>
        <c:crosses val="autoZero"/>
        <c:crossBetween val="between"/>
      </c:valAx>
    </c:plotArea>
    <c:legend>
      <c:legendPos val="t"/>
      <c:layout>
        <c:manualLayout>
          <c:xMode val="edge"/>
          <c:yMode val="edge"/>
          <c:x val="0.21938658885638526"/>
          <c:y val="0.15928064675796072"/>
          <c:w val="0.50780947309008073"/>
          <c:h val="5.9667534192441071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91542818696134"/>
          <c:y val="0.22630891387089042"/>
          <c:w val="0.82413820408954563"/>
          <c:h val="0.57458239053684956"/>
        </c:manualLayout>
      </c:layout>
      <c:barChart>
        <c:barDir val="col"/>
        <c:grouping val="clustered"/>
        <c:varyColors val="0"/>
        <c:ser>
          <c:idx val="0"/>
          <c:order val="0"/>
          <c:spPr>
            <a:solidFill>
              <a:srgbClr val="92D050"/>
            </a:solidFill>
            <a:ln>
              <a:solidFill>
                <a:schemeClr val="tx1"/>
              </a:solidFill>
            </a:ln>
          </c:spPr>
          <c:invertIfNegative val="0"/>
          <c:dPt>
            <c:idx val="1"/>
            <c:invertIfNegative val="0"/>
            <c:bubble3D val="0"/>
            <c:spPr>
              <a:solidFill>
                <a:srgbClr val="00B0F0"/>
              </a:solidFill>
              <a:ln>
                <a:solidFill>
                  <a:schemeClr val="tx1"/>
                </a:solidFill>
              </a:ln>
            </c:spPr>
          </c:dPt>
          <c:dPt>
            <c:idx val="3"/>
            <c:invertIfNegative val="0"/>
            <c:bubble3D val="0"/>
            <c:spPr>
              <a:solidFill>
                <a:srgbClr val="00B0F0"/>
              </a:solidFill>
              <a:ln>
                <a:solidFill>
                  <a:schemeClr val="tx1"/>
                </a:solidFill>
              </a:ln>
            </c:spPr>
          </c:dPt>
          <c:dPt>
            <c:idx val="5"/>
            <c:invertIfNegative val="0"/>
            <c:bubble3D val="0"/>
            <c:spPr>
              <a:solidFill>
                <a:srgbClr val="00B0F0"/>
              </a:solidFill>
              <a:ln>
                <a:solidFill>
                  <a:schemeClr val="tx1"/>
                </a:solidFill>
              </a:ln>
            </c:spPr>
          </c:dPt>
          <c:dPt>
            <c:idx val="7"/>
            <c:invertIfNegative val="0"/>
            <c:bubble3D val="0"/>
            <c:spPr>
              <a:solidFill>
                <a:srgbClr val="00B0F0"/>
              </a:solidFill>
              <a:ln>
                <a:solidFill>
                  <a:schemeClr val="tx1"/>
                </a:solidFill>
              </a:ln>
            </c:spPr>
          </c:dPt>
          <c:dLbls>
            <c:txPr>
              <a:bodyPr/>
              <a:lstStyle/>
              <a:p>
                <a:pPr>
                  <a:defRPr sz="1100" b="1"/>
                </a:pPr>
                <a:endParaRPr lang="en-US"/>
              </a:p>
            </c:txPr>
            <c:dLblPos val="outEnd"/>
            <c:showLegendKey val="0"/>
            <c:showVal val="1"/>
            <c:showCatName val="0"/>
            <c:showSerName val="0"/>
            <c:showPercent val="0"/>
            <c:showBubbleSize val="0"/>
            <c:showLeaderLines val="0"/>
          </c:dLbls>
          <c:val>
            <c:numRef>
              <c:f>Sheet1!$C$66:$J$66</c:f>
              <c:numCache>
                <c:formatCode>0%</c:formatCode>
                <c:ptCount val="8"/>
                <c:pt idx="0">
                  <c:v>0.53</c:v>
                </c:pt>
                <c:pt idx="1">
                  <c:v>0.67</c:v>
                </c:pt>
                <c:pt idx="2">
                  <c:v>0.05</c:v>
                </c:pt>
                <c:pt idx="3">
                  <c:v>0.09</c:v>
                </c:pt>
                <c:pt idx="4">
                  <c:v>0.22</c:v>
                </c:pt>
                <c:pt idx="5">
                  <c:v>0.04</c:v>
                </c:pt>
                <c:pt idx="6">
                  <c:v>0.21</c:v>
                </c:pt>
                <c:pt idx="7">
                  <c:v>0.19</c:v>
                </c:pt>
              </c:numCache>
            </c:numRef>
          </c:val>
        </c:ser>
        <c:dLbls>
          <c:dLblPos val="outEnd"/>
          <c:showLegendKey val="0"/>
          <c:showVal val="1"/>
          <c:showCatName val="0"/>
          <c:showSerName val="0"/>
          <c:showPercent val="0"/>
          <c:showBubbleSize val="0"/>
        </c:dLbls>
        <c:gapWidth val="150"/>
        <c:axId val="150509056"/>
        <c:axId val="166750464"/>
      </c:barChart>
      <c:catAx>
        <c:axId val="150509056"/>
        <c:scaling>
          <c:orientation val="minMax"/>
        </c:scaling>
        <c:delete val="1"/>
        <c:axPos val="b"/>
        <c:title>
          <c:tx>
            <c:rich>
              <a:bodyPr/>
              <a:lstStyle/>
              <a:p>
                <a:pPr>
                  <a:defRPr/>
                </a:pPr>
                <a:endParaRPr lang="en-US"/>
              </a:p>
              <a:p>
                <a:pPr>
                  <a:defRPr/>
                </a:pPr>
                <a:r>
                  <a:rPr lang="en-US" sz="1400" baseline="0"/>
                  <a:t>2023: Giving by Source:</a:t>
                </a:r>
              </a:p>
              <a:p>
                <a:pPr>
                  <a:defRPr/>
                </a:pPr>
                <a:r>
                  <a:rPr lang="en-US" sz="1100" baseline="0"/>
                  <a:t>2023 Michigan FR Climate Survey (Green) vs. GUSA 2022 (blue)</a:t>
                </a:r>
                <a:endParaRPr lang="en-US" sz="1100"/>
              </a:p>
            </c:rich>
          </c:tx>
          <c:layout>
            <c:manualLayout>
              <c:xMode val="edge"/>
              <c:yMode val="edge"/>
              <c:x val="0.16072464612178441"/>
              <c:y val="5.2827838242305815E-3"/>
            </c:manualLayout>
          </c:layout>
          <c:overlay val="0"/>
          <c:spPr>
            <a:ln>
              <a:solidFill>
                <a:schemeClr val="bg1"/>
              </a:solidFill>
            </a:ln>
          </c:spPr>
        </c:title>
        <c:majorTickMark val="out"/>
        <c:minorTickMark val="none"/>
        <c:tickLblPos val="nextTo"/>
        <c:crossAx val="166750464"/>
        <c:crosses val="autoZero"/>
        <c:auto val="1"/>
        <c:lblAlgn val="ctr"/>
        <c:lblOffset val="100"/>
        <c:noMultiLvlLbl val="0"/>
      </c:catAx>
      <c:valAx>
        <c:axId val="166750464"/>
        <c:scaling>
          <c:orientation val="minMax"/>
        </c:scaling>
        <c:delete val="0"/>
        <c:axPos val="l"/>
        <c:majorGridlines/>
        <c:numFmt formatCode="0%" sourceLinked="1"/>
        <c:majorTickMark val="out"/>
        <c:minorTickMark val="none"/>
        <c:tickLblPos val="nextTo"/>
        <c:crossAx val="150509056"/>
        <c:crosses val="autoZero"/>
        <c:crossBetween val="between"/>
      </c:valAx>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Reported Work Location</a:t>
            </a:r>
          </a:p>
        </c:rich>
      </c:tx>
      <c:layout>
        <c:manualLayout>
          <c:xMode val="edge"/>
          <c:yMode val="edge"/>
          <c:x val="0.32643886365405017"/>
          <c:y val="3.7115246957766641E-2"/>
        </c:manualLayout>
      </c:layout>
      <c:overlay val="0"/>
    </c:title>
    <c:autoTitleDeleted val="0"/>
    <c:plotArea>
      <c:layout>
        <c:manualLayout>
          <c:layoutTarget val="inner"/>
          <c:xMode val="edge"/>
          <c:yMode val="edge"/>
          <c:x val="0.16982174103237097"/>
          <c:y val="0.16511310232274895"/>
          <c:w val="0.48851159230096236"/>
          <c:h val="0.6748651479066432"/>
        </c:manualLayout>
      </c:layout>
      <c:barChart>
        <c:barDir val="col"/>
        <c:grouping val="stacked"/>
        <c:varyColors val="0"/>
        <c:ser>
          <c:idx val="0"/>
          <c:order val="0"/>
          <c:tx>
            <c:strRef>
              <c:f>Sheet1!$A$110</c:f>
              <c:strCache>
                <c:ptCount val="1"/>
                <c:pt idx="0">
                  <c:v>Worked from office throughout pandemic</c:v>
                </c:pt>
              </c:strCache>
            </c:strRef>
          </c:tx>
          <c:spPr>
            <a:solidFill>
              <a:srgbClr val="00B050"/>
            </a:solidFill>
          </c:spPr>
          <c:invertIfNegative val="0"/>
          <c:dLbls>
            <c:txPr>
              <a:bodyPr/>
              <a:lstStyle/>
              <a:p>
                <a:pPr>
                  <a:defRPr b="1">
                    <a:solidFill>
                      <a:schemeClr val="bg1"/>
                    </a:solidFill>
                  </a:defRPr>
                </a:pPr>
                <a:endParaRPr lang="en-US"/>
              </a:p>
            </c:txPr>
            <c:dLblPos val="ctr"/>
            <c:showLegendKey val="0"/>
            <c:showVal val="1"/>
            <c:showCatName val="0"/>
            <c:showSerName val="0"/>
            <c:showPercent val="0"/>
            <c:showBubbleSize val="0"/>
            <c:showLeaderLines val="0"/>
          </c:dLbls>
          <c:cat>
            <c:strRef>
              <c:f>Sheet1!$B$109:$D$109</c:f>
              <c:strCache>
                <c:ptCount val="3"/>
                <c:pt idx="0">
                  <c:v>2022</c:v>
                </c:pt>
                <c:pt idx="1">
                  <c:v>2023</c:v>
                </c:pt>
                <c:pt idx="2">
                  <c:v>Metro Detroit 2023</c:v>
                </c:pt>
              </c:strCache>
            </c:strRef>
          </c:cat>
          <c:val>
            <c:numRef>
              <c:f>Sheet1!$B$110:$D$110</c:f>
              <c:numCache>
                <c:formatCode>0%</c:formatCode>
                <c:ptCount val="3"/>
                <c:pt idx="0">
                  <c:v>0.31</c:v>
                </c:pt>
                <c:pt idx="1">
                  <c:v>0.28000000000000003</c:v>
                </c:pt>
                <c:pt idx="2">
                  <c:v>0.27</c:v>
                </c:pt>
              </c:numCache>
            </c:numRef>
          </c:val>
        </c:ser>
        <c:ser>
          <c:idx val="1"/>
          <c:order val="1"/>
          <c:tx>
            <c:strRef>
              <c:f>Sheet1!$A$112</c:f>
              <c:strCache>
                <c:ptCount val="1"/>
                <c:pt idx="0">
                  <c:v>Worked from home early, have returned to office</c:v>
                </c:pt>
              </c:strCache>
            </c:strRef>
          </c:tx>
          <c:spPr>
            <a:solidFill>
              <a:srgbClr val="00B0F0"/>
            </a:solidFill>
          </c:spPr>
          <c:invertIfNegative val="0"/>
          <c:dLbls>
            <c:dLbl>
              <c:idx val="2"/>
              <c:layout>
                <c:manualLayout>
                  <c:x val="5.0404582623826855E-2"/>
                  <c:y val="1.9259261505892272E-2"/>
                </c:manualLayout>
              </c:layout>
              <c:dLblPos val="ctr"/>
              <c:showLegendKey val="0"/>
              <c:showVal val="1"/>
              <c:showCatName val="0"/>
              <c:showSerName val="0"/>
              <c:showPercent val="0"/>
              <c:showBubbleSize val="0"/>
            </c:dLbl>
            <c:txPr>
              <a:bodyPr/>
              <a:lstStyle/>
              <a:p>
                <a:pPr>
                  <a:defRPr b="1"/>
                </a:pPr>
                <a:endParaRPr lang="en-US"/>
              </a:p>
            </c:txPr>
            <c:dLblPos val="ctr"/>
            <c:showLegendKey val="0"/>
            <c:showVal val="1"/>
            <c:showCatName val="0"/>
            <c:showSerName val="0"/>
            <c:showPercent val="0"/>
            <c:showBubbleSize val="0"/>
            <c:showLeaderLines val="0"/>
          </c:dLbls>
          <c:cat>
            <c:strRef>
              <c:f>Sheet1!$B$109:$D$109</c:f>
              <c:strCache>
                <c:ptCount val="3"/>
                <c:pt idx="0">
                  <c:v>2022</c:v>
                </c:pt>
                <c:pt idx="1">
                  <c:v>2023</c:v>
                </c:pt>
                <c:pt idx="2">
                  <c:v>Metro Detroit 2023</c:v>
                </c:pt>
              </c:strCache>
            </c:strRef>
          </c:cat>
          <c:val>
            <c:numRef>
              <c:f>Sheet1!$B$112:$D$112</c:f>
              <c:numCache>
                <c:formatCode>0%</c:formatCode>
                <c:ptCount val="3"/>
                <c:pt idx="0">
                  <c:v>0.23</c:v>
                </c:pt>
                <c:pt idx="1">
                  <c:v>0.25</c:v>
                </c:pt>
                <c:pt idx="2">
                  <c:v>0.05</c:v>
                </c:pt>
              </c:numCache>
            </c:numRef>
          </c:val>
        </c:ser>
        <c:ser>
          <c:idx val="2"/>
          <c:order val="2"/>
          <c:tx>
            <c:strRef>
              <c:f>Sheet1!$A$111</c:f>
              <c:strCache>
                <c:ptCount val="1"/>
                <c:pt idx="0">
                  <c:v>Fully remote - likely to be permanent</c:v>
                </c:pt>
              </c:strCache>
            </c:strRef>
          </c:tx>
          <c:spPr>
            <a:solidFill>
              <a:srgbClr val="FF0000"/>
            </a:solidFill>
          </c:spPr>
          <c:invertIfNegative val="0"/>
          <c:dLbls>
            <c:dLbl>
              <c:idx val="0"/>
              <c:layout>
                <c:manualLayout>
                  <c:x val="-4.6021575439146256E-2"/>
                  <c:y val="0"/>
                </c:manualLayout>
              </c:layout>
              <c:dLblPos val="ctr"/>
              <c:showLegendKey val="0"/>
              <c:showVal val="1"/>
              <c:showCatName val="0"/>
              <c:showSerName val="0"/>
              <c:showPercent val="0"/>
              <c:showBubbleSize val="0"/>
            </c:dLbl>
            <c:dLbl>
              <c:idx val="1"/>
              <c:layout>
                <c:manualLayout>
                  <c:x val="-4.6021575439146256E-2"/>
                  <c:y val="0"/>
                </c:manualLayout>
              </c:layout>
              <c:dLblPos val="ctr"/>
              <c:showLegendKey val="0"/>
              <c:showVal val="1"/>
              <c:showCatName val="0"/>
              <c:showSerName val="0"/>
              <c:showPercent val="0"/>
              <c:showBubbleSize val="0"/>
            </c:dLbl>
            <c:dLbl>
              <c:idx val="2"/>
              <c:layout>
                <c:manualLayout>
                  <c:x val="-5.2596086216167154E-2"/>
                  <c:y val="-4.8148153764730681E-2"/>
                </c:manualLayout>
              </c:layout>
              <c:dLblPos val="ctr"/>
              <c:showLegendKey val="0"/>
              <c:showVal val="1"/>
              <c:showCatName val="0"/>
              <c:showSerName val="0"/>
              <c:showPercent val="0"/>
              <c:showBubbleSize val="0"/>
            </c:dLbl>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dLbls>
          <c:cat>
            <c:strRef>
              <c:f>Sheet1!$B$109:$D$109</c:f>
              <c:strCache>
                <c:ptCount val="3"/>
                <c:pt idx="0">
                  <c:v>2022</c:v>
                </c:pt>
                <c:pt idx="1">
                  <c:v>2023</c:v>
                </c:pt>
                <c:pt idx="2">
                  <c:v>Metro Detroit 2023</c:v>
                </c:pt>
              </c:strCache>
            </c:strRef>
          </c:cat>
          <c:val>
            <c:numRef>
              <c:f>Sheet1!$B$111:$D$111</c:f>
              <c:numCache>
                <c:formatCode>0%</c:formatCode>
                <c:ptCount val="3"/>
                <c:pt idx="0">
                  <c:v>0.03</c:v>
                </c:pt>
                <c:pt idx="1">
                  <c:v>0.05</c:v>
                </c:pt>
                <c:pt idx="2">
                  <c:v>0.04</c:v>
                </c:pt>
              </c:numCache>
            </c:numRef>
          </c:val>
        </c:ser>
        <c:ser>
          <c:idx val="3"/>
          <c:order val="3"/>
          <c:tx>
            <c:strRef>
              <c:f>Sheet1!$A$113</c:f>
              <c:strCache>
                <c:ptCount val="1"/>
                <c:pt idx="0">
                  <c:v>Working hybrid - likely permanently</c:v>
                </c:pt>
              </c:strCache>
            </c:strRef>
          </c:tx>
          <c:spPr>
            <a:solidFill>
              <a:schemeClr val="accent4">
                <a:lumMod val="60000"/>
                <a:lumOff val="40000"/>
              </a:schemeClr>
            </a:solidFill>
            <a:ln>
              <a:solidFill>
                <a:schemeClr val="accent4">
                  <a:lumMod val="40000"/>
                  <a:lumOff val="60000"/>
                </a:schemeClr>
              </a:solidFill>
            </a:ln>
          </c:spPr>
          <c:invertIfNegative val="0"/>
          <c:dLbls>
            <c:txPr>
              <a:bodyPr/>
              <a:lstStyle/>
              <a:p>
                <a:pPr>
                  <a:defRPr b="1">
                    <a:solidFill>
                      <a:schemeClr val="bg1"/>
                    </a:solidFill>
                  </a:defRPr>
                </a:pPr>
                <a:endParaRPr lang="en-US"/>
              </a:p>
            </c:txPr>
            <c:dLblPos val="ctr"/>
            <c:showLegendKey val="0"/>
            <c:showVal val="1"/>
            <c:showCatName val="0"/>
            <c:showSerName val="0"/>
            <c:showPercent val="0"/>
            <c:showBubbleSize val="0"/>
            <c:showLeaderLines val="0"/>
          </c:dLbls>
          <c:cat>
            <c:strRef>
              <c:f>Sheet1!$B$109:$D$109</c:f>
              <c:strCache>
                <c:ptCount val="3"/>
                <c:pt idx="0">
                  <c:v>2022</c:v>
                </c:pt>
                <c:pt idx="1">
                  <c:v>2023</c:v>
                </c:pt>
                <c:pt idx="2">
                  <c:v>Metro Detroit 2023</c:v>
                </c:pt>
              </c:strCache>
            </c:strRef>
          </c:cat>
          <c:val>
            <c:numRef>
              <c:f>Sheet1!$B$113:$D$113</c:f>
              <c:numCache>
                <c:formatCode>0%</c:formatCode>
                <c:ptCount val="3"/>
                <c:pt idx="0">
                  <c:v>0.33</c:v>
                </c:pt>
                <c:pt idx="1">
                  <c:v>0.38</c:v>
                </c:pt>
                <c:pt idx="2">
                  <c:v>0.6</c:v>
                </c:pt>
              </c:numCache>
            </c:numRef>
          </c:val>
        </c:ser>
        <c:ser>
          <c:idx val="4"/>
          <c:order val="4"/>
          <c:tx>
            <c:strRef>
              <c:f>Sheet1!$A$114</c:f>
              <c:strCache>
                <c:ptCount val="1"/>
                <c:pt idx="0">
                  <c:v>Working remotely but will return to office</c:v>
                </c:pt>
              </c:strCache>
            </c:strRef>
          </c:tx>
          <c:invertIfNegative val="0"/>
          <c:dLbls>
            <c:dLbl>
              <c:idx val="1"/>
              <c:delete val="1"/>
            </c:dLbl>
            <c:dLbl>
              <c:idx val="2"/>
              <c:delete val="1"/>
            </c:dLbl>
            <c:txPr>
              <a:bodyPr/>
              <a:lstStyle/>
              <a:p>
                <a:pPr>
                  <a:defRPr b="1">
                    <a:solidFill>
                      <a:schemeClr val="bg1"/>
                    </a:solidFill>
                  </a:defRPr>
                </a:pPr>
                <a:endParaRPr lang="en-US"/>
              </a:p>
            </c:txPr>
            <c:dLblPos val="ctr"/>
            <c:showLegendKey val="0"/>
            <c:showVal val="1"/>
            <c:showCatName val="0"/>
            <c:showSerName val="0"/>
            <c:showPercent val="0"/>
            <c:showBubbleSize val="0"/>
            <c:showLeaderLines val="0"/>
          </c:dLbls>
          <c:cat>
            <c:strRef>
              <c:f>Sheet1!$B$109:$D$109</c:f>
              <c:strCache>
                <c:ptCount val="3"/>
                <c:pt idx="0">
                  <c:v>2022</c:v>
                </c:pt>
                <c:pt idx="1">
                  <c:v>2023</c:v>
                </c:pt>
                <c:pt idx="2">
                  <c:v>Metro Detroit 2023</c:v>
                </c:pt>
              </c:strCache>
            </c:strRef>
          </c:cat>
          <c:val>
            <c:numRef>
              <c:f>Sheet1!$B$114:$D$114</c:f>
              <c:numCache>
                <c:formatCode>0%</c:formatCode>
                <c:ptCount val="3"/>
                <c:pt idx="0">
                  <c:v>0.1</c:v>
                </c:pt>
                <c:pt idx="1">
                  <c:v>0</c:v>
                </c:pt>
                <c:pt idx="2">
                  <c:v>0</c:v>
                </c:pt>
              </c:numCache>
            </c:numRef>
          </c:val>
        </c:ser>
        <c:ser>
          <c:idx val="5"/>
          <c:order val="5"/>
          <c:tx>
            <c:strRef>
              <c:f>Sheet1!$A$115</c:f>
              <c:strCache>
                <c:ptCount val="1"/>
                <c:pt idx="0">
                  <c:v>No Answer</c:v>
                </c:pt>
              </c:strCache>
            </c:strRef>
          </c:tx>
          <c:invertIfNegative val="0"/>
          <c:dLbls>
            <c:dLbl>
              <c:idx val="0"/>
              <c:delete val="1"/>
            </c:dLbl>
            <c:dLbl>
              <c:idx val="1"/>
              <c:layout>
                <c:manualLayout>
                  <c:x val="2.1914375393369948E-3"/>
                  <c:y val="-5.3681772543923839E-2"/>
                </c:manualLayout>
              </c:layout>
              <c:dLblPos val="ctr"/>
              <c:showLegendKey val="0"/>
              <c:showVal val="1"/>
              <c:showCatName val="0"/>
              <c:showSerName val="0"/>
              <c:showPercent val="0"/>
              <c:showBubbleSize val="0"/>
            </c:dLbl>
            <c:dLbl>
              <c:idx val="2"/>
              <c:layout>
                <c:manualLayout>
                  <c:x val="0"/>
                  <c:y val="-5.3681772543923839E-2"/>
                </c:manualLayout>
              </c:layout>
              <c:dLblPos val="ctr"/>
              <c:showLegendKey val="0"/>
              <c:showVal val="1"/>
              <c:showCatName val="0"/>
              <c:showSerName val="0"/>
              <c:showPercent val="0"/>
              <c:showBubbleSize val="0"/>
            </c:dLbl>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dLbls>
          <c:cat>
            <c:strRef>
              <c:f>Sheet1!$B$109:$D$109</c:f>
              <c:strCache>
                <c:ptCount val="3"/>
                <c:pt idx="0">
                  <c:v>2022</c:v>
                </c:pt>
                <c:pt idx="1">
                  <c:v>2023</c:v>
                </c:pt>
                <c:pt idx="2">
                  <c:v>Metro Detroit 2023</c:v>
                </c:pt>
              </c:strCache>
            </c:strRef>
          </c:cat>
          <c:val>
            <c:numRef>
              <c:f>Sheet1!$B$115:$D$115</c:f>
              <c:numCache>
                <c:formatCode>0%</c:formatCode>
                <c:ptCount val="3"/>
                <c:pt idx="0">
                  <c:v>0</c:v>
                </c:pt>
                <c:pt idx="1">
                  <c:v>0.04</c:v>
                </c:pt>
                <c:pt idx="2">
                  <c:v>0.04</c:v>
                </c:pt>
              </c:numCache>
            </c:numRef>
          </c:val>
        </c:ser>
        <c:dLbls>
          <c:dLblPos val="ctr"/>
          <c:showLegendKey val="0"/>
          <c:showVal val="1"/>
          <c:showCatName val="0"/>
          <c:showSerName val="0"/>
          <c:showPercent val="0"/>
          <c:showBubbleSize val="0"/>
        </c:dLbls>
        <c:gapWidth val="150"/>
        <c:overlap val="100"/>
        <c:axId val="257556864"/>
        <c:axId val="257558400"/>
      </c:barChart>
      <c:catAx>
        <c:axId val="257556864"/>
        <c:scaling>
          <c:orientation val="minMax"/>
        </c:scaling>
        <c:delete val="0"/>
        <c:axPos val="b"/>
        <c:majorTickMark val="out"/>
        <c:minorTickMark val="none"/>
        <c:tickLblPos val="nextTo"/>
        <c:crossAx val="257558400"/>
        <c:crosses val="autoZero"/>
        <c:auto val="1"/>
        <c:lblAlgn val="ctr"/>
        <c:lblOffset val="100"/>
        <c:noMultiLvlLbl val="0"/>
      </c:catAx>
      <c:valAx>
        <c:axId val="257558400"/>
        <c:scaling>
          <c:orientation val="minMax"/>
        </c:scaling>
        <c:delete val="0"/>
        <c:axPos val="l"/>
        <c:majorGridlines/>
        <c:numFmt formatCode="0%" sourceLinked="1"/>
        <c:majorTickMark val="out"/>
        <c:minorTickMark val="none"/>
        <c:tickLblPos val="nextTo"/>
        <c:crossAx val="257556864"/>
        <c:crosses val="autoZero"/>
        <c:crossBetween val="between"/>
      </c:valAx>
    </c:plotArea>
    <c:legend>
      <c:legendPos val="r"/>
      <c:layout>
        <c:manualLayout>
          <c:xMode val="edge"/>
          <c:yMode val="edge"/>
          <c:x val="0.64959667541557309"/>
          <c:y val="3.9363517060367455E-2"/>
          <c:w val="0.3337366579177603"/>
          <c:h val="0.96063635266346803"/>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Continuing</a:t>
            </a:r>
            <a:r>
              <a:rPr lang="en-US" sz="1400" baseline="0"/>
              <a:t> Impact of the Pandemic</a:t>
            </a:r>
            <a:endParaRPr lang="en-US" sz="1400"/>
          </a:p>
        </c:rich>
      </c:tx>
      <c:overlay val="1"/>
    </c:title>
    <c:autoTitleDeleted val="0"/>
    <c:plotArea>
      <c:layout>
        <c:manualLayout>
          <c:layoutTarget val="inner"/>
          <c:xMode val="edge"/>
          <c:yMode val="edge"/>
          <c:x val="0.22375589831340267"/>
          <c:y val="0.26899324474819364"/>
          <c:w val="0.62336611561454291"/>
          <c:h val="0.49002678989019754"/>
        </c:manualLayout>
      </c:layout>
      <c:barChart>
        <c:barDir val="col"/>
        <c:grouping val="percentStacked"/>
        <c:varyColors val="0"/>
        <c:ser>
          <c:idx val="0"/>
          <c:order val="0"/>
          <c:tx>
            <c:strRef>
              <c:f>Sheet1!$D$103</c:f>
              <c:strCache>
                <c:ptCount val="1"/>
                <c:pt idx="0">
                  <c:v>Significant impact</c:v>
                </c:pt>
              </c:strCache>
            </c:strRef>
          </c:tx>
          <c:spPr>
            <a:solidFill>
              <a:srgbClr val="FF0000"/>
            </a:solidFill>
          </c:spPr>
          <c:invertIfNegative val="0"/>
          <c:dLbls>
            <c:dLbl>
              <c:idx val="0"/>
              <c:spPr/>
              <c:txPr>
                <a:bodyPr/>
                <a:lstStyle/>
                <a:p>
                  <a:pPr>
                    <a:defRPr sz="1100" b="1">
                      <a:solidFill>
                        <a:schemeClr val="bg1"/>
                      </a:solidFill>
                    </a:defRPr>
                  </a:pPr>
                  <a:endParaRPr lang="en-US"/>
                </a:p>
              </c:txPr>
              <c:dLblPos val="ctr"/>
              <c:showLegendKey val="0"/>
              <c:showVal val="1"/>
              <c:showCatName val="0"/>
              <c:showSerName val="0"/>
              <c:showPercent val="0"/>
              <c:showBubbleSize val="0"/>
            </c:dLbl>
            <c:txPr>
              <a:bodyPr/>
              <a:lstStyle/>
              <a:p>
                <a:pPr>
                  <a:defRPr b="1">
                    <a:solidFill>
                      <a:schemeClr val="bg1"/>
                    </a:solidFill>
                  </a:defRPr>
                </a:pPr>
                <a:endParaRPr lang="en-US"/>
              </a:p>
            </c:txPr>
            <c:dLblPos val="ctr"/>
            <c:showLegendKey val="0"/>
            <c:showVal val="1"/>
            <c:showCatName val="0"/>
            <c:showSerName val="0"/>
            <c:showPercent val="0"/>
            <c:showBubbleSize val="0"/>
            <c:showLeaderLines val="0"/>
          </c:dLbls>
          <c:cat>
            <c:numRef>
              <c:f>Sheet1!$E$102:$G$102</c:f>
              <c:numCache>
                <c:formatCode>General</c:formatCode>
                <c:ptCount val="3"/>
                <c:pt idx="0">
                  <c:v>2021</c:v>
                </c:pt>
                <c:pt idx="1">
                  <c:v>2022</c:v>
                </c:pt>
                <c:pt idx="2">
                  <c:v>2023</c:v>
                </c:pt>
              </c:numCache>
            </c:numRef>
          </c:cat>
          <c:val>
            <c:numRef>
              <c:f>Sheet1!$E$103:$G$103</c:f>
              <c:numCache>
                <c:formatCode>0%</c:formatCode>
                <c:ptCount val="3"/>
                <c:pt idx="0">
                  <c:v>0.7</c:v>
                </c:pt>
                <c:pt idx="1">
                  <c:v>0.6</c:v>
                </c:pt>
                <c:pt idx="2">
                  <c:v>0.23</c:v>
                </c:pt>
              </c:numCache>
            </c:numRef>
          </c:val>
        </c:ser>
        <c:ser>
          <c:idx val="1"/>
          <c:order val="1"/>
          <c:tx>
            <c:strRef>
              <c:f>Sheet1!$D$104</c:f>
              <c:strCache>
                <c:ptCount val="1"/>
                <c:pt idx="0">
                  <c:v>Some Impact</c:v>
                </c:pt>
              </c:strCache>
            </c:strRef>
          </c:tx>
          <c:spPr>
            <a:solidFill>
              <a:schemeClr val="accent2">
                <a:lumMod val="40000"/>
                <a:lumOff val="60000"/>
              </a:schemeClr>
            </a:solidFill>
          </c:spPr>
          <c:invertIfNegative val="0"/>
          <c:dLbls>
            <c:txPr>
              <a:bodyPr/>
              <a:lstStyle/>
              <a:p>
                <a:pPr>
                  <a:defRPr sz="1100" b="1">
                    <a:solidFill>
                      <a:schemeClr val="bg1"/>
                    </a:solidFill>
                  </a:defRPr>
                </a:pPr>
                <a:endParaRPr lang="en-US"/>
              </a:p>
            </c:txPr>
            <c:dLblPos val="ctr"/>
            <c:showLegendKey val="0"/>
            <c:showVal val="1"/>
            <c:showCatName val="0"/>
            <c:showSerName val="0"/>
            <c:showPercent val="0"/>
            <c:showBubbleSize val="0"/>
            <c:showLeaderLines val="0"/>
          </c:dLbls>
          <c:cat>
            <c:numRef>
              <c:f>Sheet1!$E$102:$G$102</c:f>
              <c:numCache>
                <c:formatCode>General</c:formatCode>
                <c:ptCount val="3"/>
                <c:pt idx="0">
                  <c:v>2021</c:v>
                </c:pt>
                <c:pt idx="1">
                  <c:v>2022</c:v>
                </c:pt>
                <c:pt idx="2">
                  <c:v>2023</c:v>
                </c:pt>
              </c:numCache>
            </c:numRef>
          </c:cat>
          <c:val>
            <c:numRef>
              <c:f>Sheet1!$E$104:$G$104</c:f>
              <c:numCache>
                <c:formatCode>0%</c:formatCode>
                <c:ptCount val="3"/>
                <c:pt idx="0">
                  <c:v>0.3</c:v>
                </c:pt>
                <c:pt idx="1">
                  <c:v>0.35</c:v>
                </c:pt>
                <c:pt idx="2">
                  <c:v>0.38</c:v>
                </c:pt>
              </c:numCache>
            </c:numRef>
          </c:val>
        </c:ser>
        <c:ser>
          <c:idx val="2"/>
          <c:order val="2"/>
          <c:tx>
            <c:strRef>
              <c:f>Sheet1!$D$105</c:f>
              <c:strCache>
                <c:ptCount val="1"/>
                <c:pt idx="0">
                  <c:v>Little or no impact</c:v>
                </c:pt>
              </c:strCache>
            </c:strRef>
          </c:tx>
          <c:invertIfNegative val="0"/>
          <c:dLbls>
            <c:dLbl>
              <c:idx val="0"/>
              <c:layout>
                <c:manualLayout>
                  <c:x val="0"/>
                  <c:y val="-3.8084398504458841E-2"/>
                </c:manualLayout>
              </c:layout>
              <c:dLblPos val="ctr"/>
              <c:showLegendKey val="0"/>
              <c:showVal val="1"/>
              <c:showCatName val="0"/>
              <c:showSerName val="0"/>
              <c:showPercent val="0"/>
              <c:showBubbleSize val="0"/>
            </c:dLbl>
            <c:dLbl>
              <c:idx val="1"/>
              <c:layout>
                <c:manualLayout>
                  <c:x val="0"/>
                  <c:y val="-3.7037050538440704E-2"/>
                </c:manualLayout>
              </c:layout>
              <c:dLblPos val="ctr"/>
              <c:showLegendKey val="0"/>
              <c:showVal val="1"/>
              <c:showCatName val="0"/>
              <c:showSerName val="0"/>
              <c:showPercent val="0"/>
              <c:showBubbleSize val="0"/>
            </c:dLbl>
            <c:spPr>
              <a:solidFill>
                <a:schemeClr val="lt1"/>
              </a:solidFill>
              <a:ln w="25400" cap="flat" cmpd="sng" algn="ctr">
                <a:solidFill>
                  <a:schemeClr val="accent3"/>
                </a:solidFill>
                <a:prstDash val="solid"/>
              </a:ln>
              <a:effectLst/>
            </c:spPr>
            <c:txPr>
              <a:bodyPr/>
              <a:lstStyle/>
              <a:p>
                <a:pPr>
                  <a:defRPr>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dLbls>
          <c:cat>
            <c:numRef>
              <c:f>Sheet1!$E$102:$G$102</c:f>
              <c:numCache>
                <c:formatCode>General</c:formatCode>
                <c:ptCount val="3"/>
                <c:pt idx="0">
                  <c:v>2021</c:v>
                </c:pt>
                <c:pt idx="1">
                  <c:v>2022</c:v>
                </c:pt>
                <c:pt idx="2">
                  <c:v>2023</c:v>
                </c:pt>
              </c:numCache>
            </c:numRef>
          </c:cat>
          <c:val>
            <c:numRef>
              <c:f>Sheet1!$E$105:$G$105</c:f>
              <c:numCache>
                <c:formatCode>0%</c:formatCode>
                <c:ptCount val="3"/>
                <c:pt idx="0">
                  <c:v>0</c:v>
                </c:pt>
                <c:pt idx="1">
                  <c:v>0.05</c:v>
                </c:pt>
                <c:pt idx="2">
                  <c:v>0.4</c:v>
                </c:pt>
              </c:numCache>
            </c:numRef>
          </c:val>
        </c:ser>
        <c:ser>
          <c:idx val="3"/>
          <c:order val="3"/>
          <c:tx>
            <c:strRef>
              <c:f>Sheet1!$D$106</c:f>
              <c:strCache>
                <c:ptCount val="1"/>
                <c:pt idx="0">
                  <c:v>No Answer</c:v>
                </c:pt>
              </c:strCache>
            </c:strRef>
          </c:tx>
          <c:invertIfNegative val="0"/>
          <c:cat>
            <c:numRef>
              <c:f>Sheet1!$E$102:$G$102</c:f>
              <c:numCache>
                <c:formatCode>General</c:formatCode>
                <c:ptCount val="3"/>
                <c:pt idx="0">
                  <c:v>2021</c:v>
                </c:pt>
                <c:pt idx="1">
                  <c:v>2022</c:v>
                </c:pt>
                <c:pt idx="2">
                  <c:v>2023</c:v>
                </c:pt>
              </c:numCache>
            </c:numRef>
          </c:cat>
          <c:val>
            <c:numRef>
              <c:f>Sheet1!$E$106:$G$106</c:f>
              <c:numCache>
                <c:formatCode>General</c:formatCode>
                <c:ptCount val="3"/>
              </c:numCache>
            </c:numRef>
          </c:val>
        </c:ser>
        <c:dLbls>
          <c:dLblPos val="ctr"/>
          <c:showLegendKey val="0"/>
          <c:showVal val="1"/>
          <c:showCatName val="0"/>
          <c:showSerName val="0"/>
          <c:showPercent val="0"/>
          <c:showBubbleSize val="0"/>
        </c:dLbls>
        <c:gapWidth val="150"/>
        <c:overlap val="100"/>
        <c:axId val="257608320"/>
        <c:axId val="257622400"/>
      </c:barChart>
      <c:catAx>
        <c:axId val="257608320"/>
        <c:scaling>
          <c:orientation val="minMax"/>
        </c:scaling>
        <c:delete val="0"/>
        <c:axPos val="b"/>
        <c:numFmt formatCode="General" sourceLinked="1"/>
        <c:majorTickMark val="out"/>
        <c:minorTickMark val="none"/>
        <c:tickLblPos val="nextTo"/>
        <c:crossAx val="257622400"/>
        <c:crosses val="autoZero"/>
        <c:auto val="1"/>
        <c:lblAlgn val="ctr"/>
        <c:lblOffset val="100"/>
        <c:noMultiLvlLbl val="0"/>
      </c:catAx>
      <c:valAx>
        <c:axId val="257622400"/>
        <c:scaling>
          <c:orientation val="minMax"/>
        </c:scaling>
        <c:delete val="0"/>
        <c:axPos val="l"/>
        <c:majorGridlines/>
        <c:numFmt formatCode="0%" sourceLinked="1"/>
        <c:majorTickMark val="out"/>
        <c:minorTickMark val="none"/>
        <c:tickLblPos val="nextTo"/>
        <c:crossAx val="257608320"/>
        <c:crosses val="autoZero"/>
        <c:crossBetween val="between"/>
      </c:valAx>
    </c:plotArea>
    <c:legend>
      <c:legendPos val="b"/>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0.17873</cdr:x>
      <cdr:y>0.36214</cdr:y>
    </cdr:from>
    <cdr:to>
      <cdr:x>0.83908</cdr:x>
      <cdr:y>0.36612</cdr:y>
    </cdr:to>
    <cdr:cxnSp macro="">
      <cdr:nvCxnSpPr>
        <cdr:cNvPr id="9" name="Straight Connector 8"/>
        <cdr:cNvCxnSpPr/>
      </cdr:nvCxnSpPr>
      <cdr:spPr>
        <a:xfrm xmlns:a="http://schemas.openxmlformats.org/drawingml/2006/main" flipV="1">
          <a:off x="1030055" y="1315580"/>
          <a:ext cx="3805784" cy="14456"/>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0.14855</cdr:x>
      <cdr:y>0.37636</cdr:y>
    </cdr:from>
    <cdr:to>
      <cdr:x>0.34953</cdr:x>
      <cdr:y>0.7305</cdr:y>
    </cdr:to>
    <cdr:sp macro="" textlink="">
      <cdr:nvSpPr>
        <cdr:cNvPr id="2" name="TextBox 1"/>
        <cdr:cNvSpPr txBox="1"/>
      </cdr:nvSpPr>
      <cdr:spPr>
        <a:xfrm xmlns:a="http://schemas.openxmlformats.org/drawingml/2006/main">
          <a:off x="675836" y="97175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0.10485</cdr:x>
      <cdr:y>0.45334</cdr:y>
    </cdr:from>
    <cdr:to>
      <cdr:x>0.30583</cdr:x>
      <cdr:y>0.80749</cdr:y>
    </cdr:to>
    <cdr:sp macro="" textlink="">
      <cdr:nvSpPr>
        <cdr:cNvPr id="3" name="TextBox 2"/>
        <cdr:cNvSpPr txBox="1"/>
      </cdr:nvSpPr>
      <cdr:spPr>
        <a:xfrm xmlns:a="http://schemas.openxmlformats.org/drawingml/2006/main">
          <a:off x="477052" y="1170537"/>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0.07292</cdr:x>
      <cdr:y>0.86328</cdr:y>
    </cdr:from>
    <cdr:to>
      <cdr:x>0.93855</cdr:x>
      <cdr:y>0.97132</cdr:y>
    </cdr:to>
    <cdr:sp macro="" textlink="">
      <cdr:nvSpPr>
        <cdr:cNvPr id="2" name="TextBox 1"/>
        <cdr:cNvSpPr txBox="1"/>
      </cdr:nvSpPr>
      <cdr:spPr>
        <a:xfrm xmlns:a="http://schemas.openxmlformats.org/drawingml/2006/main">
          <a:off x="427016" y="3132306"/>
          <a:ext cx="5069111" cy="39202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t>            INDIVIDUALS</a:t>
          </a:r>
          <a:r>
            <a:rPr lang="en-US" sz="1100" b="1" baseline="0"/>
            <a:t>                 BEQUESTS              CORPORATIONS          FOUNDATIONS</a:t>
          </a:r>
          <a:endParaRPr lang="en-US"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cp:lastPrinted>2023-04-24T13:46:00Z</cp:lastPrinted>
  <dcterms:created xsi:type="dcterms:W3CDTF">2023-04-25T11:30:00Z</dcterms:created>
  <dcterms:modified xsi:type="dcterms:W3CDTF">2023-04-25T11:32:00Z</dcterms:modified>
</cp:coreProperties>
</file>