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3DF" w:rsidRPr="00BE0DB4" w:rsidRDefault="00BE0DB4" w:rsidP="00A20BDE">
      <w:pPr>
        <w:pStyle w:val="NoSpacing"/>
        <w:jc w:val="center"/>
      </w:pPr>
      <w:r w:rsidRPr="00BE0DB4">
        <w:t>Drs. Miller &amp; Madden, P.A.</w:t>
      </w:r>
    </w:p>
    <w:p w:rsidR="00BE0DB4" w:rsidRPr="00BE0DB4" w:rsidRDefault="00BE0DB4" w:rsidP="00A20BDE">
      <w:pPr>
        <w:pStyle w:val="NoSpacing"/>
        <w:jc w:val="center"/>
      </w:pPr>
      <w:r w:rsidRPr="00BE0DB4">
        <w:t>1011 Frederick Road</w:t>
      </w:r>
    </w:p>
    <w:p w:rsidR="00BE0DB4" w:rsidRDefault="00BE0DB4" w:rsidP="00A20BDE">
      <w:pPr>
        <w:pStyle w:val="NoSpacing"/>
        <w:jc w:val="center"/>
      </w:pPr>
      <w:r w:rsidRPr="00BE0DB4">
        <w:t>Catonsville, MD  21228</w:t>
      </w:r>
    </w:p>
    <w:p w:rsidR="00BE0DB4" w:rsidRPr="00681577" w:rsidRDefault="00BE0DB4" w:rsidP="00A20BDE">
      <w:pPr>
        <w:pStyle w:val="NoSpacing"/>
        <w:jc w:val="center"/>
        <w:rPr>
          <w:b/>
        </w:rPr>
      </w:pPr>
      <w:r w:rsidRPr="00681577">
        <w:rPr>
          <w:b/>
        </w:rPr>
        <w:t>Notice of Privacy Practices</w:t>
      </w:r>
    </w:p>
    <w:p w:rsidR="00BE0DB4" w:rsidRDefault="00BE0DB4" w:rsidP="00A20BDE">
      <w:pPr>
        <w:pStyle w:val="NoSpacing"/>
        <w:jc w:val="center"/>
      </w:pPr>
      <w:r>
        <w:t>(Updated 9/13)</w:t>
      </w:r>
    </w:p>
    <w:p w:rsidR="00BE0DB4" w:rsidRPr="00A20BDE" w:rsidRDefault="00BE0DB4" w:rsidP="00A20BDE">
      <w:pPr>
        <w:pStyle w:val="NoSpacing"/>
        <w:rPr>
          <w:sz w:val="20"/>
          <w:szCs w:val="20"/>
        </w:rPr>
      </w:pPr>
      <w:r w:rsidRPr="00A20BDE">
        <w:rPr>
          <w:sz w:val="20"/>
          <w:szCs w:val="20"/>
        </w:rPr>
        <w:t>This practice has implemented the following policies and procedures to ensure the confidentiality of your personal and/or medical information</w:t>
      </w:r>
      <w:r w:rsidR="00B76AC1" w:rsidRPr="00A20BDE">
        <w:rPr>
          <w:sz w:val="20"/>
          <w:szCs w:val="20"/>
        </w:rPr>
        <w:t xml:space="preserve"> (PHI)</w:t>
      </w:r>
      <w:r w:rsidRPr="00A20BDE">
        <w:rPr>
          <w:sz w:val="20"/>
          <w:szCs w:val="20"/>
        </w:rPr>
        <w:t>.  Federal and state laws require us to maintain the privacy of your health information.</w:t>
      </w:r>
      <w:r w:rsidR="00A20BDE">
        <w:rPr>
          <w:sz w:val="20"/>
          <w:szCs w:val="20"/>
        </w:rPr>
        <w:t xml:space="preserve"> </w:t>
      </w:r>
      <w:r w:rsidRPr="00A20BDE">
        <w:rPr>
          <w:sz w:val="20"/>
          <w:szCs w:val="20"/>
        </w:rPr>
        <w:t xml:space="preserve">Your physician(s) and all other employees working in the practice will keep any information related to you (medical and/or non-medical) in a confidential manner.  However, so that we may provide you with appropriate medical care, for general practice operations and/or for the purposes of obtaining payment, we will, at our discretion provide information pertaining to treatment, payment and health-care operations to other health care related entities.  This information will be submitted through the following mechanisms:  U.S. Postal Service, fax submission, internet submission, voice mail and/or personal communications.  The following is a list of the most common types of entities that we most typically would provide </w:t>
      </w:r>
      <w:r w:rsidR="00B76AC1" w:rsidRPr="00A20BDE">
        <w:rPr>
          <w:sz w:val="20"/>
          <w:szCs w:val="20"/>
        </w:rPr>
        <w:t>PHI</w:t>
      </w:r>
      <w:r w:rsidRPr="00A20BDE">
        <w:rPr>
          <w:sz w:val="20"/>
          <w:szCs w:val="20"/>
        </w:rPr>
        <w:t>.  This list is not an all-inclusive list.  Other entities may be added to this list.</w:t>
      </w:r>
    </w:p>
    <w:p w:rsidR="00BE0DB4" w:rsidRPr="00A20BDE" w:rsidRDefault="00BE0DB4" w:rsidP="00A20BDE">
      <w:pPr>
        <w:pStyle w:val="NoSpacing"/>
        <w:numPr>
          <w:ilvl w:val="0"/>
          <w:numId w:val="2"/>
        </w:numPr>
        <w:rPr>
          <w:sz w:val="20"/>
          <w:szCs w:val="20"/>
        </w:rPr>
      </w:pPr>
      <w:r w:rsidRPr="00A20BDE">
        <w:rPr>
          <w:sz w:val="20"/>
          <w:szCs w:val="20"/>
        </w:rPr>
        <w:t xml:space="preserve">Physician </w:t>
      </w:r>
      <w:r w:rsidR="00B76AC1" w:rsidRPr="00A20BDE">
        <w:rPr>
          <w:sz w:val="20"/>
          <w:szCs w:val="20"/>
        </w:rPr>
        <w:t>and non-physician providers (i.e</w:t>
      </w:r>
      <w:r w:rsidRPr="00A20BDE">
        <w:rPr>
          <w:sz w:val="20"/>
          <w:szCs w:val="20"/>
        </w:rPr>
        <w:t>. specialists, physical/occupatio</w:t>
      </w:r>
      <w:r w:rsidR="00B76AC1" w:rsidRPr="00A20BDE">
        <w:rPr>
          <w:sz w:val="20"/>
          <w:szCs w:val="20"/>
        </w:rPr>
        <w:t xml:space="preserve">nal/speech therapists, etc.) who </w:t>
      </w:r>
      <w:r w:rsidRPr="00A20BDE">
        <w:rPr>
          <w:sz w:val="20"/>
          <w:szCs w:val="20"/>
        </w:rPr>
        <w:t>work outside of this practice.</w:t>
      </w:r>
    </w:p>
    <w:p w:rsidR="00BE0DB4" w:rsidRPr="00A20BDE" w:rsidRDefault="00BE0DB4" w:rsidP="00A20BDE">
      <w:pPr>
        <w:pStyle w:val="NoSpacing"/>
        <w:numPr>
          <w:ilvl w:val="0"/>
          <w:numId w:val="2"/>
        </w:numPr>
        <w:rPr>
          <w:sz w:val="20"/>
          <w:szCs w:val="20"/>
        </w:rPr>
      </w:pPr>
      <w:r w:rsidRPr="00A20BDE">
        <w:rPr>
          <w:sz w:val="20"/>
          <w:szCs w:val="20"/>
        </w:rPr>
        <w:t xml:space="preserve">Medical facilities </w:t>
      </w:r>
      <w:r w:rsidR="00681577">
        <w:rPr>
          <w:sz w:val="20"/>
          <w:szCs w:val="20"/>
        </w:rPr>
        <w:t>(hospitals, outpatient centers)</w:t>
      </w:r>
    </w:p>
    <w:p w:rsidR="00BE0DB4" w:rsidRPr="00A20BDE" w:rsidRDefault="00BE0DB4" w:rsidP="00A20BDE">
      <w:pPr>
        <w:pStyle w:val="NoSpacing"/>
        <w:numPr>
          <w:ilvl w:val="0"/>
          <w:numId w:val="2"/>
        </w:numPr>
        <w:rPr>
          <w:sz w:val="20"/>
          <w:szCs w:val="20"/>
        </w:rPr>
      </w:pPr>
      <w:r w:rsidRPr="00A20BDE">
        <w:rPr>
          <w:sz w:val="20"/>
          <w:szCs w:val="20"/>
        </w:rPr>
        <w:t>Laboratories for the pu</w:t>
      </w:r>
      <w:r w:rsidR="00681577">
        <w:rPr>
          <w:sz w:val="20"/>
          <w:szCs w:val="20"/>
        </w:rPr>
        <w:t>rposes of running medical tests</w:t>
      </w:r>
    </w:p>
    <w:p w:rsidR="00BE0DB4" w:rsidRPr="00A20BDE" w:rsidRDefault="00BE0DB4" w:rsidP="00A20BDE">
      <w:pPr>
        <w:pStyle w:val="NoSpacing"/>
        <w:numPr>
          <w:ilvl w:val="0"/>
          <w:numId w:val="2"/>
        </w:numPr>
        <w:rPr>
          <w:sz w:val="20"/>
          <w:szCs w:val="20"/>
        </w:rPr>
      </w:pPr>
      <w:r w:rsidRPr="00A20BDE">
        <w:rPr>
          <w:sz w:val="20"/>
          <w:szCs w:val="20"/>
        </w:rPr>
        <w:t>Other health care providers, such as pharmacies, dura</w:t>
      </w:r>
      <w:r w:rsidR="00681577">
        <w:rPr>
          <w:sz w:val="20"/>
          <w:szCs w:val="20"/>
        </w:rPr>
        <w:t>ble medical equipment suppliers</w:t>
      </w:r>
    </w:p>
    <w:p w:rsidR="00BE0DB4" w:rsidRPr="00A20BDE" w:rsidRDefault="00BE0DB4" w:rsidP="00A20BDE">
      <w:pPr>
        <w:pStyle w:val="NoSpacing"/>
        <w:numPr>
          <w:ilvl w:val="0"/>
          <w:numId w:val="2"/>
        </w:numPr>
        <w:rPr>
          <w:sz w:val="20"/>
          <w:szCs w:val="20"/>
        </w:rPr>
      </w:pPr>
      <w:r w:rsidRPr="00A20BDE">
        <w:rPr>
          <w:sz w:val="20"/>
          <w:szCs w:val="20"/>
        </w:rPr>
        <w:t>Sch</w:t>
      </w:r>
      <w:r w:rsidR="00681577">
        <w:rPr>
          <w:sz w:val="20"/>
          <w:szCs w:val="20"/>
        </w:rPr>
        <w:t>ool nurse or health departments</w:t>
      </w:r>
    </w:p>
    <w:p w:rsidR="00BE0DB4" w:rsidRPr="00A20BDE" w:rsidRDefault="00BE0DB4" w:rsidP="00A20BDE">
      <w:pPr>
        <w:pStyle w:val="NoSpacing"/>
        <w:numPr>
          <w:ilvl w:val="0"/>
          <w:numId w:val="2"/>
        </w:numPr>
        <w:rPr>
          <w:sz w:val="20"/>
          <w:szCs w:val="20"/>
        </w:rPr>
      </w:pPr>
      <w:r w:rsidRPr="00A20BDE">
        <w:rPr>
          <w:sz w:val="20"/>
          <w:szCs w:val="20"/>
        </w:rPr>
        <w:t>Insurance companies (or third party administrators) for the purpose of obtaining payments, reviewing medical necessity</w:t>
      </w:r>
      <w:r w:rsidR="00681577">
        <w:rPr>
          <w:sz w:val="20"/>
          <w:szCs w:val="20"/>
        </w:rPr>
        <w:t xml:space="preserve"> and or general case management</w:t>
      </w:r>
    </w:p>
    <w:p w:rsidR="00BE0DB4" w:rsidRPr="00A20BDE" w:rsidRDefault="00BE0DB4" w:rsidP="00A20BDE">
      <w:pPr>
        <w:pStyle w:val="NoSpacing"/>
        <w:numPr>
          <w:ilvl w:val="0"/>
          <w:numId w:val="2"/>
        </w:numPr>
        <w:rPr>
          <w:sz w:val="20"/>
          <w:szCs w:val="20"/>
        </w:rPr>
      </w:pPr>
      <w:r w:rsidRPr="00A20BDE">
        <w:rPr>
          <w:sz w:val="20"/>
          <w:szCs w:val="20"/>
        </w:rPr>
        <w:t>State of Federal agencies that require the submission of spec</w:t>
      </w:r>
      <w:r w:rsidR="00681577">
        <w:rPr>
          <w:sz w:val="20"/>
          <w:szCs w:val="20"/>
        </w:rPr>
        <w:t>ific health related information</w:t>
      </w:r>
    </w:p>
    <w:p w:rsidR="00BE0DB4" w:rsidRPr="00A20BDE" w:rsidRDefault="00BE0DB4" w:rsidP="00A20BDE">
      <w:pPr>
        <w:pStyle w:val="NoSpacing"/>
        <w:rPr>
          <w:sz w:val="20"/>
          <w:szCs w:val="20"/>
        </w:rPr>
      </w:pPr>
      <w:r w:rsidRPr="00A20BDE">
        <w:rPr>
          <w:sz w:val="20"/>
          <w:szCs w:val="20"/>
        </w:rPr>
        <w:t xml:space="preserve">We may need to contact you by phone to </w:t>
      </w:r>
      <w:r w:rsidR="00681577">
        <w:rPr>
          <w:sz w:val="20"/>
          <w:szCs w:val="20"/>
        </w:rPr>
        <w:t xml:space="preserve">discuss your appointments, test results, treatments, </w:t>
      </w:r>
      <w:r w:rsidRPr="00A20BDE">
        <w:rPr>
          <w:sz w:val="20"/>
          <w:szCs w:val="20"/>
        </w:rPr>
        <w:t>referrals, account balances and/or to return your phone call.  We will attempt to contact you at the phone numbers that you have provided.  If you are not available, we will leave a message for you to either call the office for a specified reason (i.e. discuss test results, account balance) or we will remind you of your appointment time.  In the event you do no</w:t>
      </w:r>
      <w:r w:rsidR="00F66F7C">
        <w:rPr>
          <w:sz w:val="20"/>
          <w:szCs w:val="20"/>
        </w:rPr>
        <w:t>t</w:t>
      </w:r>
      <w:r w:rsidRPr="00A20BDE">
        <w:rPr>
          <w:sz w:val="20"/>
          <w:szCs w:val="20"/>
        </w:rPr>
        <w:t xml:space="preserve"> pay all of your charges in full at the time of your visit, we will mail a statement to your home.  We will use the home address you provided us with </w:t>
      </w:r>
      <w:r w:rsidR="00F66F7C">
        <w:rPr>
          <w:sz w:val="20"/>
          <w:szCs w:val="20"/>
        </w:rPr>
        <w:t>when</w:t>
      </w:r>
      <w:r w:rsidRPr="00A20BDE">
        <w:rPr>
          <w:sz w:val="20"/>
          <w:szCs w:val="20"/>
        </w:rPr>
        <w:t xml:space="preserve"> you register</w:t>
      </w:r>
      <w:r w:rsidR="00F66F7C">
        <w:rPr>
          <w:sz w:val="20"/>
          <w:szCs w:val="20"/>
        </w:rPr>
        <w:t>ed</w:t>
      </w:r>
      <w:r w:rsidRPr="00A20BDE">
        <w:rPr>
          <w:sz w:val="20"/>
          <w:szCs w:val="20"/>
        </w:rPr>
        <w:t xml:space="preserve"> with the practice.</w:t>
      </w:r>
    </w:p>
    <w:p w:rsidR="00A20BDE" w:rsidRPr="00A20BDE" w:rsidRDefault="00A20BDE" w:rsidP="00A20BDE">
      <w:pPr>
        <w:pStyle w:val="NoSpacing"/>
        <w:rPr>
          <w:sz w:val="20"/>
          <w:szCs w:val="20"/>
        </w:rPr>
      </w:pPr>
    </w:p>
    <w:p w:rsidR="00BE0DB4" w:rsidRPr="00A20BDE" w:rsidRDefault="00BE0DB4" w:rsidP="00A20BDE">
      <w:pPr>
        <w:pStyle w:val="NoSpacing"/>
        <w:rPr>
          <w:sz w:val="20"/>
          <w:szCs w:val="20"/>
        </w:rPr>
      </w:pPr>
      <w:r w:rsidRPr="00A20BDE">
        <w:rPr>
          <w:sz w:val="20"/>
          <w:szCs w:val="20"/>
        </w:rPr>
        <w:t xml:space="preserve">We may contact your insurance company to determine your coverage, eligibility, deductible and/or your co-insurance or co-pay requirements.  You have a right to restrict disclosures to a health plan where you have paid out of pocket in full for a health care item or service.   If necessary for obtaining payment, we will provide credit bureaus and/or collection agencies with your account information.  </w:t>
      </w:r>
    </w:p>
    <w:p w:rsidR="00A20BDE" w:rsidRPr="00A20BDE" w:rsidRDefault="00A20BDE" w:rsidP="00A20BDE">
      <w:pPr>
        <w:pStyle w:val="NoSpacing"/>
        <w:rPr>
          <w:sz w:val="20"/>
          <w:szCs w:val="20"/>
        </w:rPr>
      </w:pPr>
    </w:p>
    <w:p w:rsidR="00B76AC1" w:rsidRPr="00A20BDE" w:rsidRDefault="00B76AC1" w:rsidP="00A20BDE">
      <w:pPr>
        <w:pStyle w:val="NoSpacing"/>
        <w:rPr>
          <w:sz w:val="20"/>
          <w:szCs w:val="20"/>
        </w:rPr>
      </w:pPr>
      <w:r w:rsidRPr="00A20BDE">
        <w:rPr>
          <w:sz w:val="20"/>
          <w:szCs w:val="20"/>
        </w:rPr>
        <w:t>You may review and/or obtain a copy of your medical record.  You may request, in writing, changes be made to your medical record.  We will review your reason(s) for such a request and if we agree, we will make the change(s).  If we do not agree with your request, you are entitled to have your statement added to the record.</w:t>
      </w:r>
    </w:p>
    <w:p w:rsidR="00B76AC1" w:rsidRPr="00A20BDE" w:rsidRDefault="00B76AC1" w:rsidP="00A20BDE">
      <w:pPr>
        <w:pStyle w:val="NoSpacing"/>
        <w:rPr>
          <w:sz w:val="20"/>
          <w:szCs w:val="20"/>
        </w:rPr>
      </w:pPr>
    </w:p>
    <w:p w:rsidR="00B76AC1" w:rsidRPr="00A20BDE" w:rsidRDefault="00B76AC1" w:rsidP="00A20BDE">
      <w:pPr>
        <w:pStyle w:val="NoSpacing"/>
        <w:rPr>
          <w:sz w:val="20"/>
          <w:szCs w:val="20"/>
        </w:rPr>
      </w:pPr>
      <w:r w:rsidRPr="00A20BDE">
        <w:rPr>
          <w:sz w:val="20"/>
          <w:szCs w:val="20"/>
        </w:rPr>
        <w:t xml:space="preserve">Anytime we disclose your medical information for purposes other than treatment, payment, and health care operations, we will </w:t>
      </w:r>
      <w:r w:rsidR="00974057">
        <w:rPr>
          <w:sz w:val="20"/>
          <w:szCs w:val="20"/>
        </w:rPr>
        <w:t xml:space="preserve">obtain your authorization and </w:t>
      </w:r>
      <w:r w:rsidRPr="00A20BDE">
        <w:rPr>
          <w:sz w:val="20"/>
          <w:szCs w:val="20"/>
        </w:rPr>
        <w:t xml:space="preserve">complete the Accounting of Disclosures (below).  This information is available to you at your request.  </w:t>
      </w:r>
    </w:p>
    <w:p w:rsidR="00A20BDE" w:rsidRDefault="00A20BDE" w:rsidP="00A20BDE">
      <w:pPr>
        <w:pStyle w:val="NoSpacing"/>
        <w:rPr>
          <w:sz w:val="20"/>
          <w:szCs w:val="20"/>
        </w:rPr>
      </w:pPr>
    </w:p>
    <w:p w:rsidR="00B76AC1" w:rsidRPr="00A20BDE" w:rsidRDefault="00B76AC1" w:rsidP="00A20BDE">
      <w:pPr>
        <w:pStyle w:val="NoSpacing"/>
        <w:rPr>
          <w:sz w:val="20"/>
          <w:szCs w:val="20"/>
        </w:rPr>
      </w:pPr>
      <w:r w:rsidRPr="00A20BDE">
        <w:rPr>
          <w:sz w:val="20"/>
          <w:szCs w:val="20"/>
        </w:rPr>
        <w:t>When necessary, these policies will be modified to ensure compliance with practice operations and with State and Federal privacy regulations.</w:t>
      </w:r>
      <w:r w:rsidR="00A20BDE">
        <w:rPr>
          <w:sz w:val="20"/>
          <w:szCs w:val="20"/>
        </w:rPr>
        <w:t xml:space="preserve">  </w:t>
      </w:r>
      <w:r w:rsidRPr="00A20BDE">
        <w:rPr>
          <w:sz w:val="20"/>
          <w:szCs w:val="20"/>
        </w:rPr>
        <w:t>If you have any questions or concerns with the policies and/or procedures noted above, please contact us at 410-744-4849.  We trust that you are comfortable with our sincere efforts to maintain the confidentiality of the information related to your medical care.  You have a right to be notified following a breach of unsecured PHI.  You may revoke any aspects of this consent at any time by giving us written notice.  Finally, if you believe we have not maintained the privacy of your records, you may file a complaint with the Secretary of the US Dept. or Health &amp; Human Services.  There will be no retaliation for filing a complaint.</w:t>
      </w:r>
    </w:p>
    <w:p w:rsidR="00A20BDE" w:rsidRPr="00A20BDE" w:rsidRDefault="00A20BDE" w:rsidP="00A20BDE">
      <w:pPr>
        <w:pStyle w:val="NoSpacing"/>
        <w:rPr>
          <w:sz w:val="20"/>
          <w:szCs w:val="20"/>
        </w:rPr>
      </w:pPr>
    </w:p>
    <w:p w:rsidR="00B76AC1" w:rsidRPr="00A20BDE" w:rsidRDefault="00B76AC1" w:rsidP="00A20BDE">
      <w:pPr>
        <w:pStyle w:val="NoSpacing"/>
        <w:rPr>
          <w:sz w:val="20"/>
          <w:szCs w:val="20"/>
        </w:rPr>
      </w:pPr>
      <w:r w:rsidRPr="00A20BDE">
        <w:rPr>
          <w:sz w:val="20"/>
          <w:szCs w:val="20"/>
        </w:rPr>
        <w:t>We reserve the right to change our privacy practices a</w:t>
      </w:r>
      <w:r w:rsidR="00681577">
        <w:rPr>
          <w:sz w:val="20"/>
          <w:szCs w:val="20"/>
        </w:rPr>
        <w:t>nd if we do so, we will post an</w:t>
      </w:r>
      <w:r w:rsidRPr="00A20BDE">
        <w:rPr>
          <w:sz w:val="20"/>
          <w:szCs w:val="20"/>
        </w:rPr>
        <w:t xml:space="preserve"> upd</w:t>
      </w:r>
      <w:r w:rsidR="00681577">
        <w:rPr>
          <w:sz w:val="20"/>
          <w:szCs w:val="20"/>
        </w:rPr>
        <w:t>ated notice to all our patients in the office and on our website.</w:t>
      </w:r>
    </w:p>
    <w:p w:rsidR="00A20BDE" w:rsidRDefault="00A20BDE" w:rsidP="00A20BDE">
      <w:pPr>
        <w:pStyle w:val="NoSpacing"/>
        <w:rPr>
          <w:sz w:val="20"/>
          <w:szCs w:val="20"/>
        </w:rPr>
      </w:pPr>
    </w:p>
    <w:p w:rsidR="00B76AC1" w:rsidRPr="00A20BDE" w:rsidRDefault="00B76AC1" w:rsidP="00A20BDE">
      <w:pPr>
        <w:pStyle w:val="NoSpacing"/>
        <w:rPr>
          <w:sz w:val="20"/>
          <w:szCs w:val="20"/>
        </w:rPr>
      </w:pPr>
      <w:r w:rsidRPr="00A20BDE">
        <w:rPr>
          <w:sz w:val="20"/>
          <w:szCs w:val="20"/>
        </w:rPr>
        <w:t>Patients Name:  _______________________</w:t>
      </w:r>
      <w:proofErr w:type="gramStart"/>
      <w:r w:rsidRPr="00A20BDE">
        <w:rPr>
          <w:sz w:val="20"/>
          <w:szCs w:val="20"/>
        </w:rPr>
        <w:t>_  Guardians</w:t>
      </w:r>
      <w:proofErr w:type="gramEnd"/>
      <w:r w:rsidRPr="00A20BDE">
        <w:rPr>
          <w:sz w:val="20"/>
          <w:szCs w:val="20"/>
        </w:rPr>
        <w:t xml:space="preserve"> Signature:  ________________________  Date:  __________</w:t>
      </w:r>
    </w:p>
    <w:p w:rsidR="00B76AC1" w:rsidRPr="00A20BDE" w:rsidRDefault="00B76AC1" w:rsidP="00A20BDE">
      <w:pPr>
        <w:pStyle w:val="NoSpacing"/>
        <w:rPr>
          <w:sz w:val="20"/>
          <w:szCs w:val="20"/>
        </w:rPr>
      </w:pPr>
      <w:r w:rsidRPr="00A20BDE">
        <w:rPr>
          <w:sz w:val="20"/>
          <w:szCs w:val="20"/>
        </w:rPr>
        <w:t>Accounting of Disclosures</w:t>
      </w:r>
    </w:p>
    <w:tbl>
      <w:tblPr>
        <w:tblStyle w:val="TableGrid"/>
        <w:tblW w:w="0" w:type="auto"/>
        <w:tblLook w:val="04A0"/>
      </w:tblPr>
      <w:tblGrid>
        <w:gridCol w:w="1188"/>
        <w:gridCol w:w="6156"/>
        <w:gridCol w:w="3672"/>
      </w:tblGrid>
      <w:tr w:rsidR="00A20BDE" w:rsidRPr="00A20BDE" w:rsidTr="00A20BDE">
        <w:tc>
          <w:tcPr>
            <w:tcW w:w="1188" w:type="dxa"/>
          </w:tcPr>
          <w:p w:rsidR="00A20BDE" w:rsidRPr="00A20BDE" w:rsidRDefault="00A20BDE" w:rsidP="00A20BDE">
            <w:pPr>
              <w:pStyle w:val="NoSpacing"/>
              <w:rPr>
                <w:sz w:val="20"/>
                <w:szCs w:val="20"/>
              </w:rPr>
            </w:pPr>
            <w:r w:rsidRPr="00A20BDE">
              <w:rPr>
                <w:sz w:val="20"/>
                <w:szCs w:val="20"/>
              </w:rPr>
              <w:t>Date</w:t>
            </w:r>
          </w:p>
        </w:tc>
        <w:tc>
          <w:tcPr>
            <w:tcW w:w="6156" w:type="dxa"/>
          </w:tcPr>
          <w:p w:rsidR="00A20BDE" w:rsidRPr="00A20BDE" w:rsidRDefault="00A20BDE" w:rsidP="00A20BDE">
            <w:pPr>
              <w:pStyle w:val="NoSpacing"/>
              <w:rPr>
                <w:sz w:val="20"/>
                <w:szCs w:val="20"/>
              </w:rPr>
            </w:pPr>
            <w:r w:rsidRPr="00A20BDE">
              <w:rPr>
                <w:sz w:val="20"/>
                <w:szCs w:val="20"/>
              </w:rPr>
              <w:t>Name and Address of person to whom information disclosed</w:t>
            </w:r>
          </w:p>
        </w:tc>
        <w:tc>
          <w:tcPr>
            <w:tcW w:w="3672" w:type="dxa"/>
          </w:tcPr>
          <w:p w:rsidR="00A20BDE" w:rsidRPr="00A20BDE" w:rsidRDefault="00A20BDE" w:rsidP="00A20BDE">
            <w:pPr>
              <w:pStyle w:val="NoSpacing"/>
              <w:rPr>
                <w:sz w:val="20"/>
                <w:szCs w:val="20"/>
              </w:rPr>
            </w:pPr>
            <w:r w:rsidRPr="00A20BDE">
              <w:rPr>
                <w:sz w:val="20"/>
                <w:szCs w:val="20"/>
              </w:rPr>
              <w:t>Purpose of disclosing information</w:t>
            </w:r>
          </w:p>
        </w:tc>
      </w:tr>
      <w:tr w:rsidR="00A20BDE" w:rsidRPr="00A20BDE" w:rsidTr="00A20BDE">
        <w:tc>
          <w:tcPr>
            <w:tcW w:w="1188" w:type="dxa"/>
          </w:tcPr>
          <w:p w:rsidR="00A20BDE" w:rsidRPr="00A20BDE" w:rsidRDefault="00A20BDE" w:rsidP="00A20BDE">
            <w:pPr>
              <w:pStyle w:val="NoSpacing"/>
              <w:rPr>
                <w:sz w:val="20"/>
                <w:szCs w:val="20"/>
              </w:rPr>
            </w:pPr>
          </w:p>
        </w:tc>
        <w:tc>
          <w:tcPr>
            <w:tcW w:w="6156" w:type="dxa"/>
          </w:tcPr>
          <w:p w:rsidR="00A20BDE" w:rsidRPr="00A20BDE" w:rsidRDefault="00A20BDE" w:rsidP="00A20BDE">
            <w:pPr>
              <w:pStyle w:val="NoSpacing"/>
              <w:rPr>
                <w:sz w:val="20"/>
                <w:szCs w:val="20"/>
              </w:rPr>
            </w:pPr>
          </w:p>
        </w:tc>
        <w:tc>
          <w:tcPr>
            <w:tcW w:w="3672" w:type="dxa"/>
          </w:tcPr>
          <w:p w:rsidR="00A20BDE" w:rsidRPr="00A20BDE" w:rsidRDefault="00A20BDE" w:rsidP="00A20BDE">
            <w:pPr>
              <w:pStyle w:val="NoSpacing"/>
              <w:rPr>
                <w:sz w:val="20"/>
                <w:szCs w:val="20"/>
              </w:rPr>
            </w:pPr>
          </w:p>
        </w:tc>
      </w:tr>
      <w:tr w:rsidR="00A20BDE" w:rsidRPr="00A20BDE" w:rsidTr="00A20BDE">
        <w:tc>
          <w:tcPr>
            <w:tcW w:w="1188" w:type="dxa"/>
          </w:tcPr>
          <w:p w:rsidR="00A20BDE" w:rsidRPr="00A20BDE" w:rsidRDefault="00A20BDE" w:rsidP="00A20BDE">
            <w:pPr>
              <w:pStyle w:val="NoSpacing"/>
              <w:rPr>
                <w:sz w:val="20"/>
                <w:szCs w:val="20"/>
              </w:rPr>
            </w:pPr>
          </w:p>
        </w:tc>
        <w:tc>
          <w:tcPr>
            <w:tcW w:w="6156" w:type="dxa"/>
          </w:tcPr>
          <w:p w:rsidR="00A20BDE" w:rsidRPr="00A20BDE" w:rsidRDefault="00A20BDE" w:rsidP="00A20BDE">
            <w:pPr>
              <w:pStyle w:val="NoSpacing"/>
              <w:rPr>
                <w:sz w:val="20"/>
                <w:szCs w:val="20"/>
              </w:rPr>
            </w:pPr>
          </w:p>
        </w:tc>
        <w:tc>
          <w:tcPr>
            <w:tcW w:w="3672" w:type="dxa"/>
          </w:tcPr>
          <w:p w:rsidR="00A20BDE" w:rsidRPr="00A20BDE" w:rsidRDefault="00A20BDE" w:rsidP="00A20BDE">
            <w:pPr>
              <w:pStyle w:val="NoSpacing"/>
              <w:rPr>
                <w:sz w:val="20"/>
                <w:szCs w:val="20"/>
              </w:rPr>
            </w:pPr>
          </w:p>
        </w:tc>
      </w:tr>
    </w:tbl>
    <w:p w:rsidR="00B76AC1" w:rsidRPr="00A20BDE" w:rsidRDefault="00B76AC1" w:rsidP="00974057">
      <w:pPr>
        <w:pStyle w:val="NoSpacing"/>
        <w:rPr>
          <w:sz w:val="20"/>
          <w:szCs w:val="20"/>
        </w:rPr>
      </w:pPr>
    </w:p>
    <w:sectPr w:rsidR="00B76AC1" w:rsidRPr="00A20BDE" w:rsidSect="00BE0DB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F04DA"/>
    <w:multiLevelType w:val="hybridMultilevel"/>
    <w:tmpl w:val="871C9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0D2ED9"/>
    <w:multiLevelType w:val="hybridMultilevel"/>
    <w:tmpl w:val="66BE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E0DB4"/>
    <w:rsid w:val="00392E70"/>
    <w:rsid w:val="00443658"/>
    <w:rsid w:val="00681577"/>
    <w:rsid w:val="008519D2"/>
    <w:rsid w:val="008C70ED"/>
    <w:rsid w:val="00974057"/>
    <w:rsid w:val="00A20BDE"/>
    <w:rsid w:val="00B76AC1"/>
    <w:rsid w:val="00BE0DB4"/>
    <w:rsid w:val="00DE064D"/>
    <w:rsid w:val="00F66F7C"/>
    <w:rsid w:val="00F933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DB4"/>
    <w:pPr>
      <w:spacing w:after="0" w:line="240" w:lineRule="auto"/>
    </w:pPr>
  </w:style>
  <w:style w:type="paragraph" w:styleId="ListParagraph">
    <w:name w:val="List Paragraph"/>
    <w:basedOn w:val="Normal"/>
    <w:uiPriority w:val="34"/>
    <w:qFormat/>
    <w:rsid w:val="00BE0DB4"/>
    <w:pPr>
      <w:ind w:left="720"/>
      <w:contextualSpacing/>
    </w:pPr>
  </w:style>
  <w:style w:type="table" w:styleId="TableGrid">
    <w:name w:val="Table Grid"/>
    <w:basedOn w:val="TableNormal"/>
    <w:uiPriority w:val="59"/>
    <w:rsid w:val="00A20B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 Miller</dc:creator>
  <cp:keywords/>
  <dc:description/>
  <cp:lastModifiedBy>Karen J. Miller</cp:lastModifiedBy>
  <cp:revision>4</cp:revision>
  <cp:lastPrinted>2013-09-16T21:00:00Z</cp:lastPrinted>
  <dcterms:created xsi:type="dcterms:W3CDTF">2013-09-16T20:44:00Z</dcterms:created>
  <dcterms:modified xsi:type="dcterms:W3CDTF">2013-09-18T00:16:00Z</dcterms:modified>
</cp:coreProperties>
</file>