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t xml:space="preserve"/>
      </w:r>
    </w:p>
    <w:p>
      <w:pPr>
        <w:spacing w:after="120" w:before="0"/>
      </w:pPr>
      <w:r>
        <w:t xml:space="preserve"/>
      </w:r>
    </w:p>
    <w:p>
      <w:pPr>
        <w:spacing w:after="120" w:before="0"/>
      </w:pPr>
      <w:r>
        <w:t xml:space="preserve"/>
      </w:r>
    </w:p>
    <w:p>
      <w:pPr>
        <w:spacing w:after="80" w:before="0"/>
        <w:jc w:val="center"/>
      </w:pPr>
      <w:r>
        <w:rPr>
          <w:rFonts w:ascii="Arial" w:cs="Arial" w:eastAsia="Arial" w:hAnsi="Arial"/>
          <w:b/>
          <w:bCs/>
          <w:color w:val="1B4F8A"/>
          <w:sz w:val="48"/>
          <w:szCs w:val="48"/>
        </w:rPr>
        <w:t xml:space="preserve">THE FRAGILE FOUNDATION</w:t>
      </w:r>
    </w:p>
    <w:p>
      <w:pPr>
        <w:spacing w:after="240" w:before="0"/>
        <w:jc w:val="center"/>
      </w:pPr>
      <w:r>
        <w:rPr>
          <w:rFonts w:ascii="Arial" w:cs="Arial" w:eastAsia="Arial" w:hAnsi="Arial"/>
          <w:b w:val="false"/>
          <w:bCs w:val="false"/>
          <w:color w:val="2E75B6"/>
          <w:sz w:val="28"/>
          <w:szCs w:val="28"/>
        </w:rPr>
        <w:t xml:space="preserve">A Critical Examination of Wind and Solar as Baseload Power Sources</w:t>
      </w:r>
    </w:p>
    <w:p>
      <w:pPr>
        <w:spacing w:after="60" w:before="0"/>
        <w:jc w:val="center"/>
      </w:pPr>
      <w:r>
        <w:rPr>
          <w:rFonts w:ascii="Arial" w:cs="Arial" w:eastAsia="Arial" w:hAnsi="Arial"/>
          <w:b/>
          <w:bCs/>
          <w:color w:val="333333"/>
          <w:sz w:val="24"/>
          <w:szCs w:val="24"/>
        </w:rPr>
        <w:t xml:space="preserve">Don MacLean</w:t>
      </w:r>
    </w:p>
    <w:p>
      <w:pPr>
        <w:spacing w:after="120" w:before="0"/>
        <w:jc w:val="center"/>
      </w:pPr>
      <w:r>
        <w:rPr>
          <w:rFonts w:ascii="Arial" w:cs="Arial" w:eastAsia="Arial" w:hAnsi="Arial"/>
          <w:b w:val="false"/>
          <w:bCs w:val="false"/>
          <w:color w:val="555555"/>
          <w:sz w:val="24"/>
          <w:szCs w:val="24"/>
        </w:rPr>
        <w:t xml:space="preserve">New Blue Solution LLC</w:t>
      </w:r>
    </w:p>
    <w:p>
      <w:pPr>
        <w:spacing w:after="120" w:before="0"/>
        <w:jc w:val="center"/>
      </w:pPr>
      <w:r>
        <w:rPr>
          <w:rFonts w:ascii="Arial" w:cs="Arial" w:eastAsia="Arial" w:hAnsi="Arial"/>
          <w:b w:val="false"/>
          <w:bCs w:val="false"/>
          <w:color w:val="888888"/>
          <w:sz w:val="22"/>
          <w:szCs w:val="22"/>
        </w:rPr>
        <w:t xml:space="preserve">newbluesolution.com</w:t>
      </w:r>
    </w:p>
    <w:p>
      <w:pPr>
        <w:spacing w:after="120" w:before="0"/>
      </w:pPr>
      <w:r>
        <w:t xml:space="preserve"/>
      </w:r>
    </w:p>
    <w:p>
      <w:pPr>
        <w:spacing w:after="120" w:before="0"/>
      </w:pPr>
      <w:r>
        <w:t xml:space="preserve"/>
      </w:r>
    </w:p>
    <w:p>
      <w:pPr>
        <w:pBdr>
          <w:bottom w:val="single" w:color="1B4F8A" w:sz="6" w:space="1"/>
        </w:pBdr>
        <w:spacing w:after="320" w:before="320"/>
      </w:pPr>
      <w:r>
        <w:t xml:space="preserve"/>
      </w:r>
    </w:p>
    <w:p>
      <w:pPr>
        <w:pStyle w:val="Heading1"/>
        <w:spacing w:after="160" w:before="360"/>
      </w:pPr>
      <w:r>
        <w:rPr>
          <w:rFonts w:ascii="Arial" w:cs="Arial" w:eastAsia="Arial" w:hAnsi="Arial"/>
          <w:b/>
          <w:bCs/>
          <w:color w:val="1B4F8A"/>
          <w:sz w:val="28"/>
          <w:szCs w:val="28"/>
        </w:rPr>
        <w:t xml:space="preserve">Abstract</w:t>
      </w:r>
    </w:p>
    <w:p>
      <w:pPr>
        <w:spacing w:after="160" w:before="0" w:line="280"/>
        <w:jc w:val="both"/>
      </w:pPr>
      <w:r>
        <w:rPr>
          <w:rFonts w:ascii="Arial" w:cs="Arial" w:eastAsia="Arial" w:hAnsi="Arial"/>
          <w:sz w:val="22"/>
          <w:szCs w:val="22"/>
        </w:rPr>
        <w:t xml:space="preserve">The global transition toward renewable energy has achieved remarkable growth, with wind and solar capacity expanding dramatically over the past decade. However, a fundamental disconnect persists between the physical realities of these energy sources and the policy ambitions driving their deployment. This paper systematically examines the technical and operational case against relying on wind and solar photovoltaic systems as baseload power sources — the reliable, continuous generation that forms the backbone of modern electricity grids.</w:t>
      </w:r>
    </w:p>
    <w:p>
      <w:pPr>
        <w:spacing w:after="160" w:before="0" w:line="280"/>
        <w:jc w:val="both"/>
      </w:pPr>
      <w:r>
        <w:rPr>
          <w:rFonts w:ascii="Arial" w:cs="Arial" w:eastAsia="Arial" w:hAnsi="Arial"/>
          <w:sz w:val="22"/>
          <w:szCs w:val="22"/>
        </w:rPr>
        <w:t xml:space="preserve">Drawing on capacity factor data, grid stability research, and recent case studies including the 2025 Iberian blackout, this analysis demonstrates that unmitigated wind and solar introduce profound challenges: inherently low and unpredictable capacity factors, absence of system inertia essential for frequency regulation, prohibitive storage requirements for deep decarbonization, and escalating integration costs at high penetration levels. While these technologies offer legitimate value as complementary energy sources, their promotion as baseload replacements represents a category error with serious implications for grid reliability and economic efficiency.</w:t>
      </w:r>
    </w:p>
    <w:p>
      <w:pPr>
        <w:pStyle w:val="Heading1"/>
        <w:spacing w:after="160" w:before="360"/>
      </w:pPr>
      <w:r>
        <w:rPr>
          <w:rFonts w:ascii="Arial" w:cs="Arial" w:eastAsia="Arial" w:hAnsi="Arial"/>
          <w:b/>
          <w:bCs/>
          <w:color w:val="1B4F8A"/>
          <w:sz w:val="28"/>
          <w:szCs w:val="28"/>
        </w:rPr>
        <w:t xml:space="preserve">1. Introduction</w:t>
      </w:r>
    </w:p>
    <w:p>
      <w:pPr>
        <w:spacing w:after="160" w:before="0" w:line="280"/>
        <w:jc w:val="both"/>
      </w:pPr>
      <w:r>
        <w:rPr>
          <w:rFonts w:ascii="Arial" w:cs="Arial" w:eastAsia="Arial" w:hAnsi="Arial"/>
          <w:sz w:val="22"/>
          <w:szCs w:val="22"/>
        </w:rPr>
        <w:t xml:space="preserve">The modern electrical grid rests on a simple but demanding principle: supply and demand must be perfectly balanced at every moment. Failure to maintain this equilibrium triggers frequency deviations, equipment damage, and ultimately cascading blackouts. For more than a century, grid operators have fulfilled this obligation through a portfolio of baseload power plants — large, centralized facilities operating continuously at stable output — supplemented by dispatchable sources that can ramp up or down on command.</w:t>
      </w:r>
    </w:p>
    <w:p>
      <w:pPr>
        <w:spacing w:after="160" w:before="0" w:line="280"/>
        <w:jc w:val="both"/>
      </w:pPr>
      <w:r>
        <w:rPr>
          <w:rFonts w:ascii="Arial" w:cs="Arial" w:eastAsia="Arial" w:hAnsi="Arial"/>
          <w:sz w:val="22"/>
          <w:szCs w:val="22"/>
        </w:rPr>
        <w:t xml:space="preserve">A consensus has long existed within the electric utility sector that renewable generators such as wind and solar are fundamentally unsuited to provide baseload power. Yet in recent years, policymakers across Europe, North America, and beyond have pursued aggressive renewable mandates that implicitly treat wind and solar as capable of displacing conventional baseload capacity.</w:t>
      </w:r>
    </w:p>
    <w:p>
      <w:pPr>
        <w:spacing w:after="160" w:before="0" w:line="280"/>
        <w:jc w:val="both"/>
      </w:pPr>
      <w:r>
        <w:rPr>
          <w:rFonts w:ascii="Arial" w:cs="Arial" w:eastAsia="Arial" w:hAnsi="Arial"/>
          <w:sz w:val="22"/>
          <w:szCs w:val="22"/>
        </w:rPr>
        <w:t xml:space="preserve">This paper does not argue against renewable energy per se. Rather, it contends that the specific characteristics of wind and solar — intermittency, variability, non-dispatchability, and lack of inertial response — render them unsuitable for baseload service. Understanding this distinction is not an academic exercise; it bears directly on energy security, economic competitiveness, and the feasibility of decarbonization pathways.</w:t>
      </w:r>
    </w:p>
    <w:p>
      <w:pPr>
        <w:pStyle w:val="Heading1"/>
        <w:spacing w:after="160" w:before="360"/>
      </w:pPr>
      <w:r>
        <w:rPr>
          <w:rFonts w:ascii="Arial" w:cs="Arial" w:eastAsia="Arial" w:hAnsi="Arial"/>
          <w:b/>
          <w:bCs/>
          <w:color w:val="1B4F8A"/>
          <w:sz w:val="28"/>
          <w:szCs w:val="28"/>
        </w:rPr>
        <w:t xml:space="preserve">2. The Baseload Concept: Why It Matters</w:t>
      </w:r>
    </w:p>
    <w:p>
      <w:pPr>
        <w:spacing w:after="160" w:before="0" w:line="280"/>
        <w:jc w:val="both"/>
      </w:pPr>
      <w:r>
        <w:rPr>
          <w:rFonts w:ascii="Arial" w:cs="Arial" w:eastAsia="Arial" w:hAnsi="Arial"/>
          <w:sz w:val="22"/>
          <w:szCs w:val="22"/>
        </w:rPr>
        <w:t xml:space="preserve">Before evaluating wind and solar against baseload requirements, it is essential to clarify what baseload means and why it matters. Baseload power refers to the minimum level of electricity demand that persists continuously over a 24-hour cycle. This portion of the load does not disappear during off-peak hours; it represents the always-on consumption of refrigerators, network infrastructure, industrial processes, hospitals, and countless other essential services.</w:t>
      </w:r>
    </w:p>
    <w:p>
      <w:pPr>
        <w:spacing w:after="160" w:before="0" w:line="280"/>
        <w:jc w:val="both"/>
      </w:pPr>
      <w:r>
        <w:rPr>
          <w:rFonts w:ascii="Arial" w:cs="Arial" w:eastAsia="Arial" w:hAnsi="Arial"/>
          <w:sz w:val="22"/>
          <w:szCs w:val="22"/>
        </w:rPr>
        <w:t xml:space="preserve">Baseload power plants share three defining characteristics. First, they achieve high capacity factors — typically exceeding 90% for nuclear facilities — meaning they operate at or near full power for the vast majority of hours each year. Second, they provide output stability, maintaining consistent voltage and frequency without sudden fluctuations. Third, they operate reliably on demand, without dependence on weather conditions or other external variables beyond the operator's control.</w:t>
      </w:r>
    </w:p>
    <w:p>
      <w:pPr>
        <w:spacing w:after="160" w:before="0" w:line="280"/>
        <w:jc w:val="both"/>
      </w:pPr>
      <w:r>
        <w:rPr>
          <w:rFonts w:ascii="Arial" w:cs="Arial" w:eastAsia="Arial" w:hAnsi="Arial"/>
          <w:sz w:val="22"/>
          <w:szCs w:val="22"/>
        </w:rPr>
        <w:t xml:space="preserve">Coal and nuclear plants have historically served as baseload workhorses because they excel on all three metrics. Natural gas combined-cycle plants can also provide baseload service. Hydroelectric and geothermal facilities offer steady output in regions where they are available, though their capacity factors typically range somewhat lower.</w:t>
      </w:r>
    </w:p>
    <w:p>
      <w:pPr>
        <w:spacing w:after="160" w:before="0" w:line="280"/>
        <w:jc w:val="both"/>
      </w:pPr>
      <w:r>
        <w:rPr>
          <w:rFonts w:ascii="Arial" w:cs="Arial" w:eastAsia="Arial" w:hAnsi="Arial"/>
          <w:sz w:val="22"/>
          <w:szCs w:val="22"/>
        </w:rPr>
        <w:t xml:space="preserve">The critical point is that baseload is not merely a measure of average output but a guarantee of continuous availability. A power source that delivers 35% of its nameplate capacity on average but cannot be relied upon during specific hours — particularly during periods of peak demand or system stress — does not satisfy baseload requirements regardless of its annual energy contribution.</w:t>
      </w:r>
    </w:p>
    <w:p>
      <w:pPr>
        <w:pStyle w:val="Heading1"/>
        <w:spacing w:after="160" w:before="360"/>
      </w:pPr>
      <w:r>
        <w:rPr>
          <w:rFonts w:ascii="Arial" w:cs="Arial" w:eastAsia="Arial" w:hAnsi="Arial"/>
          <w:b/>
          <w:bCs/>
          <w:color w:val="1B4F8A"/>
          <w:sz w:val="28"/>
          <w:szCs w:val="28"/>
        </w:rPr>
        <w:t xml:space="preserve">3. The Intermittency Problem: Nature's Uncontrollable Variable</w:t>
      </w:r>
    </w:p>
    <w:p>
      <w:pPr>
        <w:pStyle w:val="Heading2"/>
        <w:spacing w:after="120" w:before="240"/>
      </w:pPr>
      <w:r>
        <w:rPr>
          <w:rFonts w:ascii="Arial" w:cs="Arial" w:eastAsia="Arial" w:hAnsi="Arial"/>
          <w:b/>
          <w:bCs/>
          <w:color w:val="2E75B6"/>
          <w:sz w:val="24"/>
          <w:szCs w:val="24"/>
        </w:rPr>
        <w:t xml:space="preserve">3.1  Capacity Factors and Their Implications</w:t>
      </w:r>
    </w:p>
    <w:p>
      <w:pPr>
        <w:spacing w:after="160" w:before="0" w:line="280"/>
        <w:jc w:val="both"/>
      </w:pPr>
      <w:r>
        <w:rPr>
          <w:rFonts w:ascii="Arial" w:cs="Arial" w:eastAsia="Arial" w:hAnsi="Arial"/>
          <w:sz w:val="22"/>
          <w:szCs w:val="22"/>
        </w:rPr>
        <w:t xml:space="preserve">The most straightforward measure of wind and solar's baseload limitations is their capacity factor — the ratio of actual generation to maximum potential generation if running continuously at full power. In the United States, solar projects achieve average capacity factors of approximately 20%, with wind closer to 35%. These figures vary by location and season, but the fundamental pattern is consistent globally: wind and solar operate far below their rated capacity.</w:t>
      </w:r>
    </w:p>
    <w:p>
      <w:pPr>
        <w:spacing w:after="160" w:before="0" w:line="280"/>
        <w:jc w:val="both"/>
      </w:pPr>
      <w:r>
        <w:rPr>
          <w:rFonts w:ascii="Arial" w:cs="Arial" w:eastAsia="Arial" w:hAnsi="Arial"/>
          <w:sz w:val="22"/>
          <w:szCs w:val="22"/>
        </w:rPr>
        <w:t xml:space="preserve">These figures are not merely low; they are also highly variable. A nuclear plant operating at a 93% capacity factor does so predictably, with refueling outages scheduled during shoulder seasons when demand is lower. Wind and solar, by contrast, fluctuate with weather patterns that follow daily, seasonal, and stochastic cycles beyond human control.</w:t>
      </w:r>
    </w:p>
    <w:p>
      <w:pPr>
        <w:pStyle w:val="Heading2"/>
        <w:spacing w:after="120" w:before="240"/>
      </w:pPr>
      <w:r>
        <w:rPr>
          <w:rFonts w:ascii="Arial" w:cs="Arial" w:eastAsia="Arial" w:hAnsi="Arial"/>
          <w:b/>
          <w:bCs/>
          <w:color w:val="2E75B6"/>
          <w:sz w:val="24"/>
          <w:szCs w:val="24"/>
        </w:rPr>
        <w:t xml:space="preserve">3.2  The Predictability Gap</w:t>
      </w:r>
    </w:p>
    <w:p>
      <w:pPr>
        <w:spacing w:after="160" w:before="0" w:line="280"/>
        <w:jc w:val="both"/>
      </w:pPr>
      <w:r>
        <w:rPr>
          <w:rFonts w:ascii="Arial" w:cs="Arial" w:eastAsia="Arial" w:hAnsi="Arial"/>
          <w:sz w:val="22"/>
          <w:szCs w:val="22"/>
        </w:rPr>
        <w:t xml:space="preserve">Proponents of renewable energy often note that wind and solar intermittency can be predicted with increasing accuracy using advanced forecasting techniques. Modern AI-based systems achieve high forecasting accuracy for generation patterns. While impressive, this statement misses a crucial distinction: prediction is not control.</w:t>
      </w:r>
    </w:p>
    <w:p>
      <w:pPr>
        <w:spacing w:after="160" w:before="0" w:line="280"/>
        <w:jc w:val="both"/>
      </w:pPr>
      <w:r>
        <w:rPr>
          <w:rFonts w:ascii="Arial" w:cs="Arial" w:eastAsia="Arial" w:hAnsi="Arial"/>
          <w:sz w:val="22"/>
          <w:szCs w:val="22"/>
        </w:rPr>
        <w:t xml:space="preserve">Forecasting accuracy deteriorates precisely during the most challenging conditions — rapid weather changes, extreme events, and extended periods of low wind or cloud cover that can last for days or weeks. A high-accuracy forecast still admits meaningful uncertainty that must be covered by some combination of reserves, storage, or curtailment of other resources.</w:t>
      </w:r>
    </w:p>
    <w:p>
      <w:pPr>
        <w:spacing w:after="160" w:before="0" w:line="280"/>
        <w:jc w:val="both"/>
      </w:pPr>
      <w:r>
        <w:rPr>
          <w:rFonts w:ascii="Arial" w:cs="Arial" w:eastAsia="Arial" w:hAnsi="Arial"/>
          <w:sz w:val="22"/>
          <w:szCs w:val="22"/>
        </w:rPr>
        <w:t xml:space="preserve">The 2025 Iberian blackout provides a sobering real-world illustration. At the time of the outage, solar and wind were supplying 59% and 12% of electricity in Spain and Portugal respectively. When a frequency anomaly triggered protective shutdowns across a significant fraction of solar plants, the remaining system lacked sufficient spinning inertia to stabilize, leading to a cascading collapse — probably the largest blackout in European history. The problem was not that operators failed to predict renewable output; it was that the renewable generators themselves disconnected automatically when the grid needed them most.</w:t>
      </w:r>
    </w:p>
    <w:p>
      <w:pPr>
        <w:pStyle w:val="Heading2"/>
        <w:spacing w:after="120" w:before="240"/>
      </w:pPr>
      <w:r>
        <w:rPr>
          <w:rFonts w:ascii="Arial" w:cs="Arial" w:eastAsia="Arial" w:hAnsi="Arial"/>
          <w:b/>
          <w:bCs/>
          <w:color w:val="2E75B6"/>
          <w:sz w:val="24"/>
          <w:szCs w:val="24"/>
        </w:rPr>
        <w:t xml:space="preserve">3.3  Seasonal and Geographic Constraints</w:t>
      </w:r>
    </w:p>
    <w:p>
      <w:pPr>
        <w:spacing w:after="160" w:before="0" w:line="280"/>
        <w:jc w:val="both"/>
      </w:pPr>
      <w:r>
        <w:rPr>
          <w:rFonts w:ascii="Arial" w:cs="Arial" w:eastAsia="Arial" w:hAnsi="Arial"/>
          <w:sz w:val="22"/>
          <w:szCs w:val="22"/>
        </w:rPr>
        <w:t xml:space="preserve">Beyond short-term variability, wind and solar exhibit pronounced seasonal patterns that create mismatches with demand. In northern climates, solar output plunges during winter months precisely when heating demand peaks and daylight hours are shortest. Wind patterns also vary seasonally. These seasonal complementarities can be managed but not eliminated, requiring either massive overbuilding of generating capacity or long-duration storage measured in weeks rather than hours.</w:t>
      </w:r>
    </w:p>
    <w:p>
      <w:pPr>
        <w:pStyle w:val="Heading1"/>
        <w:spacing w:after="160" w:before="360"/>
      </w:pPr>
      <w:r>
        <w:rPr>
          <w:rFonts w:ascii="Arial" w:cs="Arial" w:eastAsia="Arial" w:hAnsi="Arial"/>
          <w:b/>
          <w:bCs/>
          <w:color w:val="1B4F8A"/>
          <w:sz w:val="28"/>
          <w:szCs w:val="28"/>
        </w:rPr>
        <w:t xml:space="preserve">4. The Inertia Crisis: A Technical Challenge Beyond Intermittency</w:t>
      </w:r>
    </w:p>
    <w:p>
      <w:pPr>
        <w:pStyle w:val="Heading2"/>
        <w:spacing w:after="120" w:before="240"/>
      </w:pPr>
      <w:r>
        <w:rPr>
          <w:rFonts w:ascii="Arial" w:cs="Arial" w:eastAsia="Arial" w:hAnsi="Arial"/>
          <w:b/>
          <w:bCs/>
          <w:color w:val="2E75B6"/>
          <w:sz w:val="24"/>
          <w:szCs w:val="24"/>
        </w:rPr>
        <w:t xml:space="preserve">4.1  What Is Grid Inertia?</w:t>
      </w:r>
    </w:p>
    <w:p>
      <w:pPr>
        <w:spacing w:after="160" w:before="0" w:line="280"/>
        <w:jc w:val="both"/>
      </w:pPr>
      <w:r>
        <w:rPr>
          <w:rFonts w:ascii="Arial" w:cs="Arial" w:eastAsia="Arial" w:hAnsi="Arial"/>
          <w:sz w:val="22"/>
          <w:szCs w:val="22"/>
        </w:rPr>
        <w:t xml:space="preserve">The most sophisticated discussion of renewable integration must address a technical factor often overlooked in public debate: grid inertia. Inertia in power systems refers to the kinetic energy stored in the spinning mass of conventional generators — steam turbines, gas turbines, and hydroelectric units. When a sudden disturbance occurs (such as the unexpected loss of a large generator), this stored energy is released almost instantaneously, resisting the rate of frequency change and buying time for control systems to respond.</w:t>
      </w:r>
    </w:p>
    <w:p>
      <w:pPr>
        <w:spacing w:after="160" w:before="0" w:line="280"/>
        <w:jc w:val="both"/>
      </w:pPr>
      <w:r>
        <w:rPr>
          <w:rFonts w:ascii="Arial" w:cs="Arial" w:eastAsia="Arial" w:hAnsi="Arial"/>
          <w:sz w:val="22"/>
          <w:szCs w:val="22"/>
        </w:rPr>
        <w:t xml:space="preserve">Traditional power systems rely on this physical property as a first line of defense against frequency excursions. The inertia provided by synchronous generators is passive, automatic, and instantaneous; no control signal, no communication link, no software decision is required.</w:t>
      </w:r>
    </w:p>
    <w:p>
      <w:pPr>
        <w:pStyle w:val="Heading2"/>
        <w:spacing w:after="120" w:before="240"/>
      </w:pPr>
      <w:r>
        <w:rPr>
          <w:rFonts w:ascii="Arial" w:cs="Arial" w:eastAsia="Arial" w:hAnsi="Arial"/>
          <w:b/>
          <w:bCs/>
          <w:color w:val="2E75B6"/>
          <w:sz w:val="24"/>
          <w:szCs w:val="24"/>
        </w:rPr>
        <w:t xml:space="preserve">4.2  The Inverter Problem</w:t>
      </w:r>
    </w:p>
    <w:p>
      <w:pPr>
        <w:spacing w:after="160" w:before="0" w:line="280"/>
        <w:jc w:val="both"/>
      </w:pPr>
      <w:r>
        <w:rPr>
          <w:rFonts w:ascii="Arial" w:cs="Arial" w:eastAsia="Arial" w:hAnsi="Arial"/>
          <w:sz w:val="22"/>
          <w:szCs w:val="22"/>
        </w:rPr>
        <w:t xml:space="preserve">Wind turbines and solar photovoltaic systems are fundamentally different. They connect to the grid through power electronic inverters, which have no rotating mass and provide no inherent inertia. Instead, they are grid-following devices that measure grid frequency and adjust their output accordingly. This dependency creates a circular vulnerability: when grid frequency deviates from normal ranges, grid-following inverters may disconnect to protect their equipment, removing generation and exacerbating the very frequency deviation that triggered the disconnection.</w:t>
      </w:r>
    </w:p>
    <w:p>
      <w:pPr>
        <w:spacing w:after="160" w:before="0" w:line="280"/>
        <w:jc w:val="both"/>
      </w:pPr>
      <w:r>
        <w:rPr>
          <w:rFonts w:ascii="Arial" w:cs="Arial" w:eastAsia="Arial" w:hAnsi="Arial"/>
          <w:sz w:val="22"/>
          <w:szCs w:val="22"/>
        </w:rPr>
        <w:t xml:space="preserve">This is precisely what appears to have occurred during the Iberian blackout. Large, unexpected frequency anomalies triggered protective automated shutdowns of solar plants, accelerating a supply-demand imbalance that the remaining system could not survive. In a conventional system dominated by spinning generators, an equivalent disturbance would have been met with immediate inertial response, not cascading disconnections.</w:t>
      </w:r>
    </w:p>
    <w:p>
      <w:pPr>
        <w:pStyle w:val="Heading2"/>
        <w:spacing w:after="120" w:before="240"/>
      </w:pPr>
      <w:r>
        <w:rPr>
          <w:rFonts w:ascii="Arial" w:cs="Arial" w:eastAsia="Arial" w:hAnsi="Arial"/>
          <w:b/>
          <w:bCs/>
          <w:color w:val="2E75B6"/>
          <w:sz w:val="24"/>
          <w:szCs w:val="24"/>
        </w:rPr>
        <w:t xml:space="preserve">4.3  Mitigation Technologies and Their Limits</w:t>
      </w:r>
    </w:p>
    <w:p>
      <w:pPr>
        <w:spacing w:after="160" w:before="0" w:line="280"/>
        <w:jc w:val="both"/>
      </w:pPr>
      <w:r>
        <w:rPr>
          <w:rFonts w:ascii="Arial" w:cs="Arial" w:eastAsia="Arial" w:hAnsi="Arial"/>
          <w:sz w:val="22"/>
          <w:szCs w:val="22"/>
        </w:rPr>
        <w:t xml:space="preserve">Engineers have developed technologies to address the inertia challenge. Grid-forming inverters can synthesize inertial response and regulate frequency actively, while synchronous condensers provide physical inertia without generating electricity. However, these solutions are not yet deployed at scale, add significant costs, and do not eliminate the fundamental reliance on some form of spinning or synthetic mass to maintain stability.</w:t>
      </w:r>
    </w:p>
    <w:p>
      <w:pPr>
        <w:spacing w:after="160" w:before="0" w:line="280"/>
        <w:jc w:val="both"/>
      </w:pPr>
      <w:r>
        <w:rPr>
          <w:rFonts w:ascii="Arial" w:cs="Arial" w:eastAsia="Arial" w:hAnsi="Arial"/>
          <w:sz w:val="22"/>
          <w:szCs w:val="22"/>
        </w:rPr>
        <w:t xml:space="preserve">The more honest assessment is that running a power system predominantly on wind and solar has yet to be demonstrated at scale on any large grid in the world. The theoretical possibility of doing so — with enormous investments in grid-forming inverters, storage, transmission, and demand management — does not constitute practical feasibility at current technology readiness levels.</w:t>
      </w:r>
    </w:p>
    <w:p>
      <w:pPr>
        <w:pStyle w:val="Heading1"/>
        <w:spacing w:after="160" w:before="360"/>
      </w:pPr>
      <w:r>
        <w:rPr>
          <w:rFonts w:ascii="Arial" w:cs="Arial" w:eastAsia="Arial" w:hAnsi="Arial"/>
          <w:b/>
          <w:bCs/>
          <w:color w:val="1B4F8A"/>
          <w:sz w:val="28"/>
          <w:szCs w:val="28"/>
        </w:rPr>
        <w:t xml:space="preserve">5. The Storage Mirage: Economics vs. Physics</w:t>
      </w:r>
    </w:p>
    <w:p>
      <w:pPr>
        <w:pStyle w:val="Heading2"/>
        <w:spacing w:after="120" w:before="240"/>
      </w:pPr>
      <w:r>
        <w:rPr>
          <w:rFonts w:ascii="Arial" w:cs="Arial" w:eastAsia="Arial" w:hAnsi="Arial"/>
          <w:b/>
          <w:bCs/>
          <w:color w:val="2E75B6"/>
          <w:sz w:val="24"/>
          <w:szCs w:val="24"/>
        </w:rPr>
        <w:t xml:space="preserve">5.1  Short-Duration Storage Is Not a Solution for Baseload</w:t>
      </w:r>
    </w:p>
    <w:p>
      <w:pPr>
        <w:spacing w:after="160" w:before="0" w:line="280"/>
        <w:jc w:val="both"/>
      </w:pPr>
      <w:r>
        <w:rPr>
          <w:rFonts w:ascii="Arial" w:cs="Arial" w:eastAsia="Arial" w:hAnsi="Arial"/>
          <w:sz w:val="22"/>
          <w:szCs w:val="22"/>
        </w:rPr>
        <w:t xml:space="preserve">Much public discussion of renewable energy assumes that batteries solve the intermittency problem. This assumption collapses under scrutiny. Batteries are well-suited to short-duration applications: smoothing sub-hourly fluctuations, providing frequency response, and shifting energy from midday solar peak to evening demand hours. They are fundamentally unsuited to baseload replacement.</w:t>
      </w:r>
    </w:p>
    <w:p>
      <w:pPr>
        <w:spacing w:after="160" w:before="0" w:line="280"/>
        <w:jc w:val="both"/>
      </w:pPr>
      <w:r>
        <w:rPr>
          <w:rFonts w:ascii="Arial" w:cs="Arial" w:eastAsia="Arial" w:hAnsi="Arial"/>
          <w:sz w:val="22"/>
          <w:szCs w:val="22"/>
        </w:rPr>
        <w:t xml:space="preserve">The reason is simple: batteries store energy, not power. A battery system sized to deliver power for four hours cannot maintain output for a week of cloudy, windless conditions. Extending duration requires proportionally more storage capacity. The battery park that satisfies a short-duration application becomes economically prohibitive when scaled to cover multi-day low-generation events.</w:t>
      </w:r>
    </w:p>
    <w:p>
      <w:pPr>
        <w:pStyle w:val="Heading2"/>
        <w:spacing w:after="120" w:before="240"/>
      </w:pPr>
      <w:r>
        <w:rPr>
          <w:rFonts w:ascii="Arial" w:cs="Arial" w:eastAsia="Arial" w:hAnsi="Arial"/>
          <w:b/>
          <w:bCs/>
          <w:color w:val="2E75B6"/>
          <w:sz w:val="24"/>
          <w:szCs w:val="24"/>
        </w:rPr>
        <w:t xml:space="preserve">5.2  The Diminishing Returns of Deep Decarbonization</w:t>
      </w:r>
    </w:p>
    <w:p>
      <w:pPr>
        <w:spacing w:after="160" w:before="0" w:line="280"/>
        <w:jc w:val="both"/>
      </w:pPr>
      <w:r>
        <w:rPr>
          <w:rFonts w:ascii="Arial" w:cs="Arial" w:eastAsia="Arial" w:hAnsi="Arial"/>
          <w:sz w:val="22"/>
          <w:szCs w:val="22"/>
        </w:rPr>
        <w:t xml:space="preserve">As renewable penetration increases, each additional percentage point of decarbonization becomes progressively more expensive. Early studies suggested that power systems could accommodate renewable penetration up to around 30% with minimal infrastructure changes. Beyond that threshold, integration costs escalate significantly.</w:t>
      </w:r>
    </w:p>
    <w:p>
      <w:pPr>
        <w:spacing w:after="160" w:before="0" w:line="280"/>
        <w:jc w:val="both"/>
      </w:pPr>
      <w:r>
        <w:rPr>
          <w:rFonts w:ascii="Arial" w:cs="Arial" w:eastAsia="Arial" w:hAnsi="Arial"/>
          <w:sz w:val="22"/>
          <w:szCs w:val="22"/>
        </w:rPr>
        <w:t xml:space="preserve">At very high penetration levels — 90% or above — the economics become prohibitive. Once renewable generation exceeds instantaneous demand at peak production times, additional renewable capacity must be paired with storage on a nearly percentage-for-percentage basis, and curtailment rates soar. The last increment of decarbonization may require doubling or tripling total system costs relative to an 80–90% renewable grid.</w:t>
      </w:r>
    </w:p>
    <w:p>
      <w:pPr>
        <w:pStyle w:val="Heading2"/>
        <w:spacing w:after="120" w:before="240"/>
      </w:pPr>
      <w:r>
        <w:rPr>
          <w:rFonts w:ascii="Arial" w:cs="Arial" w:eastAsia="Arial" w:hAnsi="Arial"/>
          <w:b/>
          <w:bCs/>
          <w:color w:val="2E75B6"/>
          <w:sz w:val="24"/>
          <w:szCs w:val="24"/>
        </w:rPr>
        <w:t xml:space="preserve">5.3  Seasonal Storage: The Unresolved Frontier</w:t>
      </w:r>
    </w:p>
    <w:p>
      <w:pPr>
        <w:spacing w:after="160" w:before="0" w:line="280"/>
        <w:jc w:val="both"/>
      </w:pPr>
      <w:r>
        <w:rPr>
          <w:rFonts w:ascii="Arial" w:cs="Arial" w:eastAsia="Arial" w:hAnsi="Arial"/>
          <w:sz w:val="22"/>
          <w:szCs w:val="22"/>
        </w:rPr>
        <w:t xml:space="preserve">The most challenging storage requirement is not diurnal but seasonal. Regions with significant winter heating loads and reduced solar output face extended periods of low renewable generation lasting days or weeks. Battery technology does not provide a credible path to seasonal storage at grid scale.</w:t>
      </w:r>
    </w:p>
    <w:p>
      <w:pPr>
        <w:spacing w:after="160" w:before="0" w:line="280"/>
        <w:jc w:val="both"/>
      </w:pPr>
      <w:r>
        <w:rPr>
          <w:rFonts w:ascii="Arial" w:cs="Arial" w:eastAsia="Arial" w:hAnsi="Arial"/>
          <w:sz w:val="22"/>
          <w:szCs w:val="22"/>
        </w:rPr>
        <w:t xml:space="preserve">Pumped hydro storage offers longer duration but requires specific geography and typically operates on daily rather than seasonal cycles. Hydrogen storage is frequently proposed but remains thermodynamically and economically unfavorable for power generation, with round-trip efficiencies below 40% and high capital costs for storage infrastructure.</w:t>
      </w:r>
    </w:p>
    <w:p>
      <w:pPr>
        <w:pStyle w:val="Heading1"/>
        <w:spacing w:after="160" w:before="360"/>
      </w:pPr>
      <w:r>
        <w:rPr>
          <w:rFonts w:ascii="Arial" w:cs="Arial" w:eastAsia="Arial" w:hAnsi="Arial"/>
          <w:b/>
          <w:bCs/>
          <w:color w:val="1B4F8A"/>
          <w:sz w:val="28"/>
          <w:szCs w:val="28"/>
        </w:rPr>
        <w:t xml:space="preserve">6. Cost Comparisons and Hidden Subsidies</w:t>
      </w:r>
    </w:p>
    <w:p>
      <w:pPr>
        <w:pStyle w:val="Heading2"/>
        <w:spacing w:after="120" w:before="240"/>
      </w:pPr>
      <w:r>
        <w:rPr>
          <w:rFonts w:ascii="Arial" w:cs="Arial" w:eastAsia="Arial" w:hAnsi="Arial"/>
          <w:b/>
          <w:bCs/>
          <w:color w:val="2E75B6"/>
          <w:sz w:val="24"/>
          <w:szCs w:val="24"/>
        </w:rPr>
        <w:t xml:space="preserve">6.1  Comparing Apples to Oranges</w:t>
      </w:r>
    </w:p>
    <w:p>
      <w:pPr>
        <w:spacing w:after="160" w:before="0" w:line="280"/>
        <w:jc w:val="both"/>
      </w:pPr>
      <w:r>
        <w:rPr>
          <w:rFonts w:ascii="Arial" w:cs="Arial" w:eastAsia="Arial" w:hAnsi="Arial"/>
          <w:sz w:val="22"/>
          <w:szCs w:val="22"/>
        </w:rPr>
        <w:t xml:space="preserve">Advocates for wind and solar frequently cite their low levelized cost of energy (LCOE) — the average cost per megawatt-hour of building and operating a generator. LCOE comparisons, however, systematically undervalue reliability and overvalue intermittent generation. A wind farm's LCOE tells you nothing about its value during a winter high-pressure system when wind output collapses for ten consecutive days.</w:t>
      </w:r>
    </w:p>
    <w:p>
      <w:pPr>
        <w:pStyle w:val="Heading2"/>
        <w:spacing w:after="120" w:before="240"/>
      </w:pPr>
      <w:r>
        <w:rPr>
          <w:rFonts w:ascii="Arial" w:cs="Arial" w:eastAsia="Arial" w:hAnsi="Arial"/>
          <w:b/>
          <w:bCs/>
          <w:color w:val="2E75B6"/>
          <w:sz w:val="24"/>
          <w:szCs w:val="24"/>
        </w:rPr>
        <w:t xml:space="preserve">6.2  The Integration Cost Blind Spot</w:t>
      </w:r>
    </w:p>
    <w:p>
      <w:pPr>
        <w:spacing w:after="160" w:before="0" w:line="280"/>
        <w:jc w:val="both"/>
      </w:pPr>
      <w:r>
        <w:rPr>
          <w:rFonts w:ascii="Arial" w:cs="Arial" w:eastAsia="Arial" w:hAnsi="Arial"/>
          <w:sz w:val="22"/>
          <w:szCs w:val="22"/>
        </w:rPr>
        <w:t xml:space="preserve">Proper comparison requires accounting for system integration costs — the additional expenses incurred to accommodate variable generation elsewhere in the grid. These include reserve capacity from fossil or hydro plants that must remain available when renewables falter; grid reinforcement to handle bidirectional power flows and congestion; storage infrastructure to shift energy across time; and curtailment of excess renewable output during periods of oversupply.</w:t>
      </w:r>
    </w:p>
    <w:p>
      <w:pPr>
        <w:spacing w:after="160" w:before="0" w:line="280"/>
        <w:jc w:val="both"/>
      </w:pPr>
      <w:r>
        <w:rPr>
          <w:rFonts w:ascii="Arial" w:cs="Arial" w:eastAsia="Arial" w:hAnsi="Arial"/>
          <w:sz w:val="22"/>
          <w:szCs w:val="22"/>
        </w:rPr>
        <w:t xml:space="preserve">When these costs are properly allocated, the economic case for high renewable penetrations weakens considerably. At higher penetration levels, integration costs can exceed the generation cost of the renewable energy itself.</w:t>
      </w:r>
    </w:p>
    <w:p>
      <w:pPr>
        <w:pStyle w:val="Heading2"/>
        <w:spacing w:after="120" w:before="240"/>
      </w:pPr>
      <w:r>
        <w:rPr>
          <w:rFonts w:ascii="Arial" w:cs="Arial" w:eastAsia="Arial" w:hAnsi="Arial"/>
          <w:b/>
          <w:bCs/>
          <w:color w:val="2E75B6"/>
          <w:sz w:val="24"/>
          <w:szCs w:val="24"/>
        </w:rPr>
        <w:t xml:space="preserve">6.3  Lifespan and Replacement Realities</w:t>
      </w:r>
    </w:p>
    <w:p>
      <w:pPr>
        <w:spacing w:after="160" w:before="0" w:line="280"/>
        <w:jc w:val="both"/>
      </w:pPr>
      <w:r>
        <w:rPr>
          <w:rFonts w:ascii="Arial" w:cs="Arial" w:eastAsia="Arial" w:hAnsi="Arial"/>
          <w:sz w:val="22"/>
          <w:szCs w:val="22"/>
        </w:rPr>
        <w:t xml:space="preserve">The economic comparison must also account for asset lifespans. A well-maintained nuclear plant operates for 60 years or more. Hydroelectric dams have operated for over a century. Solar panels carry typical 25-to-30-year warranties with performance degradation over time. Wind turbines face similar lifespan limitations, with major component replacements required during their operating lives. Accelerated replacement cycles represent a hidden cost that LCOE calculations incompletely capture.</w:t>
      </w:r>
    </w:p>
    <w:p>
      <w:pPr>
        <w:pStyle w:val="Heading1"/>
        <w:spacing w:after="160" w:before="360"/>
      </w:pPr>
      <w:r>
        <w:rPr>
          <w:rFonts w:ascii="Arial" w:cs="Arial" w:eastAsia="Arial" w:hAnsi="Arial"/>
          <w:b/>
          <w:bCs/>
          <w:color w:val="1B4F8A"/>
          <w:sz w:val="28"/>
          <w:szCs w:val="28"/>
        </w:rPr>
        <w:t xml:space="preserve">7. Case Studies: When Theory Meets Reality</w:t>
      </w:r>
    </w:p>
    <w:p>
      <w:pPr>
        <w:pStyle w:val="Heading2"/>
        <w:spacing w:after="120" w:before="240"/>
      </w:pPr>
      <w:r>
        <w:rPr>
          <w:rFonts w:ascii="Arial" w:cs="Arial" w:eastAsia="Arial" w:hAnsi="Arial"/>
          <w:b/>
          <w:bCs/>
          <w:color w:val="2E75B6"/>
          <w:sz w:val="24"/>
          <w:szCs w:val="24"/>
        </w:rPr>
        <w:t xml:space="preserve">7.1  Spain and Portugal: The 2025 Blackout</w:t>
      </w:r>
    </w:p>
    <w:p>
      <w:pPr>
        <w:spacing w:after="160" w:before="0" w:line="280"/>
        <w:jc w:val="both"/>
      </w:pPr>
      <w:r>
        <w:rPr>
          <w:rFonts w:ascii="Arial" w:cs="Arial" w:eastAsia="Arial" w:hAnsi="Arial"/>
          <w:sz w:val="22"/>
          <w:szCs w:val="22"/>
        </w:rPr>
        <w:t xml:space="preserve">The Iberian blackout of April 2025 represents the most instructive recent failure of a renewables-heavy grid. With solar and wind supplying over 70% of generation at the time of the incident, the system proved unable to withstand a disturbance that would have been manageable in a conventional configuration. The cascade is clear: frequency deviation triggered protective disconnection of solar plants, which exacerbated the supply-demand imbalance and led to grid collapse.</w:t>
      </w:r>
    </w:p>
    <w:p>
      <w:pPr>
        <w:spacing w:after="160" w:before="0" w:line="280"/>
        <w:jc w:val="both"/>
      </w:pPr>
      <w:r>
        <w:rPr>
          <w:rFonts w:ascii="Arial" w:cs="Arial" w:eastAsia="Arial" w:hAnsi="Arial"/>
          <w:sz w:val="22"/>
          <w:szCs w:val="22"/>
        </w:rPr>
        <w:t xml:space="preserve">This event is not an indictment of renewable energy per se but a warning about the risks of deployment without commensurate investment in grid-strengthening technologies. Spain had received repeated warnings from grid operators about the fragility of its transmission infrastructure under high renewable penetration, yet political pressure for accelerated decarbonization overrode those concerns.</w:t>
      </w:r>
    </w:p>
    <w:p>
      <w:pPr>
        <w:pStyle w:val="Heading2"/>
        <w:spacing w:after="120" w:before="240"/>
      </w:pPr>
      <w:r>
        <w:rPr>
          <w:rFonts w:ascii="Arial" w:cs="Arial" w:eastAsia="Arial" w:hAnsi="Arial"/>
          <w:b/>
          <w:bCs/>
          <w:color w:val="2E75B6"/>
          <w:sz w:val="24"/>
          <w:szCs w:val="24"/>
        </w:rPr>
        <w:t xml:space="preserve">7.2  Texas: Winter Storm Uri</w:t>
      </w:r>
    </w:p>
    <w:p>
      <w:pPr>
        <w:spacing w:after="160" w:before="0" w:line="280"/>
        <w:jc w:val="both"/>
      </w:pPr>
      <w:r>
        <w:rPr>
          <w:rFonts w:ascii="Arial" w:cs="Arial" w:eastAsia="Arial" w:hAnsi="Arial"/>
          <w:sz w:val="22"/>
          <w:szCs w:val="22"/>
        </w:rPr>
        <w:t xml:space="preserve">The 2021 Texas blackout, while triggered by extreme winter weather, exposed similar vulnerabilities. Wind turbines froze. Solar generation was negligible under overcast conditions. Natural gas plants that might have compensated experienced their own failures due to inadequate winterization. The result was days of rolling blackouts and dozens of deaths.</w:t>
      </w:r>
    </w:p>
    <w:p>
      <w:pPr>
        <w:spacing w:after="160" w:before="0" w:line="280"/>
        <w:jc w:val="both"/>
      </w:pPr>
      <w:r>
        <w:rPr>
          <w:rFonts w:ascii="Arial" w:cs="Arial" w:eastAsia="Arial" w:hAnsi="Arial"/>
          <w:sz w:val="22"/>
          <w:szCs w:val="22"/>
        </w:rPr>
        <w:t xml:space="preserve">The Texas experience illustrates a broader principle: dependence on renewable generation is dependence on weather. When weather conditions simultaneously suppress renewable output and increase demand — a common pattern during extreme events — the consequences can be catastrophic.</w:t>
      </w:r>
    </w:p>
    <w:p>
      <w:pPr>
        <w:pStyle w:val="Heading2"/>
        <w:spacing w:after="120" w:before="240"/>
      </w:pPr>
      <w:r>
        <w:rPr>
          <w:rFonts w:ascii="Arial" w:cs="Arial" w:eastAsia="Arial" w:hAnsi="Arial"/>
          <w:b/>
          <w:bCs/>
          <w:color w:val="2E75B6"/>
          <w:sz w:val="24"/>
          <w:szCs w:val="24"/>
        </w:rPr>
        <w:t xml:space="preserve">7.3  Germany: The Cost of Energiewende</w:t>
      </w:r>
    </w:p>
    <w:p>
      <w:pPr>
        <w:spacing w:after="160" w:before="0" w:line="280"/>
        <w:jc w:val="both"/>
      </w:pPr>
      <w:r>
        <w:rPr>
          <w:rFonts w:ascii="Arial" w:cs="Arial" w:eastAsia="Arial" w:hAnsi="Arial"/>
          <w:sz w:val="22"/>
          <w:szCs w:val="22"/>
        </w:rPr>
        <w:t xml:space="preserve">Germany's ambitious energy transition has demonstrated that high renewable penetration is technically achievable but economically painful. Despite installing enormous wind and solar capacity, Germany continues to rely on coal and natural gas for baseload and dispatchable power. Industrial electricity prices have soared, harming competitiveness. Because renewable expansion has not been accompanied by sufficient grid and storage investment, Germany remains dependent on its neighbors for grid stability.</w:t>
      </w:r>
    </w:p>
    <w:p>
      <w:pPr>
        <w:spacing w:after="160" w:before="0" w:line="280"/>
        <w:jc w:val="both"/>
      </w:pPr>
      <w:r>
        <w:rPr>
          <w:rFonts w:ascii="Arial" w:cs="Arial" w:eastAsia="Arial" w:hAnsi="Arial"/>
          <w:sz w:val="22"/>
          <w:szCs w:val="22"/>
        </w:rPr>
        <w:t xml:space="preserve">The lesson is not that renewables cannot contribute significantly but that replacing baseload generation requires a complete system redesign, not simply the addition of wind turbines and solar panels to an otherwise unchanged grid.</w:t>
      </w:r>
    </w:p>
    <w:p>
      <w:pPr>
        <w:pStyle w:val="Heading1"/>
        <w:spacing w:after="160" w:before="360"/>
      </w:pPr>
      <w:r>
        <w:rPr>
          <w:rFonts w:ascii="Arial" w:cs="Arial" w:eastAsia="Arial" w:hAnsi="Arial"/>
          <w:b/>
          <w:bCs/>
          <w:color w:val="1B4F8A"/>
          <w:sz w:val="28"/>
          <w:szCs w:val="28"/>
        </w:rPr>
        <w:t xml:space="preserve">8. The Way Forward: Appropriate Roles for Wind and Solar</w:t>
      </w:r>
    </w:p>
    <w:p>
      <w:pPr>
        <w:pStyle w:val="Heading2"/>
        <w:spacing w:after="120" w:before="240"/>
      </w:pPr>
      <w:r>
        <w:rPr>
          <w:rFonts w:ascii="Arial" w:cs="Arial" w:eastAsia="Arial" w:hAnsi="Arial"/>
          <w:b/>
          <w:bCs/>
          <w:color w:val="2E75B6"/>
          <w:sz w:val="24"/>
          <w:szCs w:val="24"/>
        </w:rPr>
        <w:t xml:space="preserve">8.1  Complement, Not Replacement</w:t>
      </w:r>
    </w:p>
    <w:p>
      <w:pPr>
        <w:spacing w:after="160" w:before="0" w:line="280"/>
        <w:jc w:val="both"/>
      </w:pPr>
      <w:r>
        <w:rPr>
          <w:rFonts w:ascii="Arial" w:cs="Arial" w:eastAsia="Arial" w:hAnsi="Arial"/>
          <w:sz w:val="22"/>
          <w:szCs w:val="22"/>
        </w:rPr>
        <w:t xml:space="preserve">Acknowledging the limitations of wind and solar is not equivalent to rejecting their value. These technologies offer genuine benefits: zero-carbon operation during generation, modular deployment, short construction lead times, and low marginal operating costs. They are well-suited to displacing fossil fuel generation during periods of favorable weather, reducing overall emissions from a diverse generation portfolio, providing energy to storage systems for later dispatch, and serving as one component of a resilient, multi-technology system.</w:t>
      </w:r>
    </w:p>
    <w:p>
      <w:pPr>
        <w:spacing w:after="160" w:before="0" w:line="280"/>
        <w:jc w:val="both"/>
      </w:pPr>
      <w:r>
        <w:rPr>
          <w:rFonts w:ascii="Arial" w:cs="Arial" w:eastAsia="Arial" w:hAnsi="Arial"/>
          <w:sz w:val="22"/>
          <w:szCs w:val="22"/>
        </w:rPr>
        <w:t xml:space="preserve">The error lies not in deploying wind and solar but in imagining they can replace dispatchable baseload capacity without fundamental trade-offs.</w:t>
      </w:r>
    </w:p>
    <w:p>
      <w:pPr>
        <w:pStyle w:val="Heading2"/>
        <w:spacing w:after="120" w:before="240"/>
      </w:pPr>
      <w:r>
        <w:rPr>
          <w:rFonts w:ascii="Arial" w:cs="Arial" w:eastAsia="Arial" w:hAnsi="Arial"/>
          <w:b/>
          <w:bCs/>
          <w:color w:val="2E75B6"/>
          <w:sz w:val="24"/>
          <w:szCs w:val="24"/>
        </w:rPr>
        <w:t xml:space="preserve">8.2  The Need for Portfolio Diversity</w:t>
      </w:r>
    </w:p>
    <w:p>
      <w:pPr>
        <w:spacing w:after="160" w:before="0" w:line="280"/>
        <w:jc w:val="both"/>
      </w:pPr>
      <w:r>
        <w:rPr>
          <w:rFonts w:ascii="Arial" w:cs="Arial" w:eastAsia="Arial" w:hAnsi="Arial"/>
          <w:sz w:val="22"/>
          <w:szCs w:val="22"/>
        </w:rPr>
        <w:t xml:space="preserve">The most reliable and cost-effective low-carbon electricity systems will leverage diverse generation resources. Nuclear power offers high capacity factors and zero-carbon operation. Geothermal provides steady output where available but is geographically constrained. Hydroelectric offers dispatchable power and storage but faces environmental and siting challenges. Natural gas with carbon capture provides dispatchable backup but remains dependent on fossil fuels.</w:t>
      </w:r>
    </w:p>
    <w:p>
      <w:pPr>
        <w:spacing w:after="160" w:before="0" w:line="280"/>
        <w:jc w:val="both"/>
      </w:pPr>
      <w:r>
        <w:rPr>
          <w:rFonts w:ascii="Arial" w:cs="Arial" w:eastAsia="Arial" w:hAnsi="Arial"/>
          <w:sz w:val="22"/>
          <w:szCs w:val="22"/>
        </w:rPr>
        <w:t xml:space="preserve">The optimal portfolio for any given region will depend on local resources, existing infrastructure, and reliability requirements. A one-size-fits-all prescription of "100% renewable" serves political objectives rather than engineering realities.</w:t>
      </w:r>
    </w:p>
    <w:p>
      <w:pPr>
        <w:pStyle w:val="Heading2"/>
        <w:spacing w:after="120" w:before="240"/>
      </w:pPr>
      <w:r>
        <w:rPr>
          <w:rFonts w:ascii="Arial" w:cs="Arial" w:eastAsia="Arial" w:hAnsi="Arial"/>
          <w:b/>
          <w:bCs/>
          <w:color w:val="2E75B6"/>
          <w:sz w:val="24"/>
          <w:szCs w:val="24"/>
        </w:rPr>
        <w:t xml:space="preserve">8.3  Honest Accounting for Costs and Trade-offs</w:t>
      </w:r>
    </w:p>
    <w:p>
      <w:pPr>
        <w:spacing w:after="160" w:before="0" w:line="280"/>
        <w:jc w:val="both"/>
      </w:pPr>
      <w:r>
        <w:rPr>
          <w:rFonts w:ascii="Arial" w:cs="Arial" w:eastAsia="Arial" w:hAnsi="Arial"/>
          <w:sz w:val="22"/>
          <w:szCs w:val="22"/>
        </w:rPr>
        <w:t xml:space="preserve">Public discussion of energy policy would benefit from greater honesty about trade-offs. Every energy source involves compromises between cost, reliability, environmental impact, land use, and other values. Wind and solar have environmental footprints — large land areas, materials requirements, disposal challenges — that are real even if smaller than coal's emissions.</w:t>
      </w:r>
    </w:p>
    <w:p>
      <w:pPr>
        <w:spacing w:after="160" w:before="0" w:line="280"/>
        <w:jc w:val="both"/>
      </w:pPr>
      <w:r>
        <w:rPr>
          <w:rFonts w:ascii="Arial" w:cs="Arial" w:eastAsia="Arial" w:hAnsi="Arial"/>
          <w:sz w:val="22"/>
          <w:szCs w:val="22"/>
        </w:rPr>
        <w:t xml:space="preserve">Recognition of these trade-offs is not climate denial. It is the prerequisite for designing energy systems that are not only low-carbon but also reliable, affordable, and resilient.</w:t>
      </w:r>
    </w:p>
    <w:p>
      <w:pPr>
        <w:pStyle w:val="Heading1"/>
        <w:spacing w:after="160" w:before="360"/>
      </w:pPr>
      <w:r>
        <w:rPr>
          <w:rFonts w:ascii="Arial" w:cs="Arial" w:eastAsia="Arial" w:hAnsi="Arial"/>
          <w:b/>
          <w:bCs/>
          <w:color w:val="1B4F8A"/>
          <w:sz w:val="28"/>
          <w:szCs w:val="28"/>
        </w:rPr>
        <w:t xml:space="preserve">9. Conclusion</w:t>
      </w:r>
    </w:p>
    <w:p>
      <w:pPr>
        <w:spacing w:after="160" w:before="0" w:line="280"/>
        <w:jc w:val="both"/>
      </w:pPr>
      <w:r>
        <w:rPr>
          <w:rFonts w:ascii="Arial" w:cs="Arial" w:eastAsia="Arial" w:hAnsi="Arial"/>
          <w:sz w:val="22"/>
          <w:szCs w:val="22"/>
        </w:rPr>
        <w:t xml:space="preserve">The proposition that wind and solar can serve as baseload power sources conflicts with fundamental physical and economic realities. Their low and variable capacity factors, absence of inherent inertia, dependence on weather conditions, and prohibitive storage requirements for high penetration levels render them fundamentally unsuited to the continuous, stable, reliable output that baseload demands.</w:t>
      </w:r>
    </w:p>
    <w:p>
      <w:pPr>
        <w:spacing w:after="160" w:before="0" w:line="280"/>
        <w:jc w:val="both"/>
      </w:pPr>
      <w:r>
        <w:rPr>
          <w:rFonts w:ascii="Arial" w:cs="Arial" w:eastAsia="Arial" w:hAnsi="Arial"/>
          <w:sz w:val="22"/>
          <w:szCs w:val="22"/>
        </w:rPr>
        <w:t xml:space="preserve">This conclusion is not a condemnation of renewable energy. Wind and solar have legitimate and valuable roles in a diversified generation portfolio. They can reduce emissions, displace fossil fuel consumption during favorable conditions, and complement dispatchable resources. The problem arises when political ambition outruns technical reality — when policymakers mandate renewable targets without ensuring commensurate investment in grid enhancements, storage, and backup capacity.</w:t>
      </w:r>
    </w:p>
    <w:p>
      <w:pPr>
        <w:spacing w:after="160" w:before="0" w:line="280"/>
        <w:jc w:val="both"/>
      </w:pPr>
      <w:r>
        <w:rPr>
          <w:rFonts w:ascii="Arial" w:cs="Arial" w:eastAsia="Arial" w:hAnsi="Arial"/>
          <w:sz w:val="22"/>
          <w:szCs w:val="22"/>
        </w:rPr>
        <w:t xml:space="preserve">The 2025 Iberian blackout offers a clear warning: a grid dominated by wind and solar, lacking adequate spinning inertia and grid-forming capabilities, is vulnerable to cascading failure. The transition to low-carbon electricity must proceed with eyes open to these risks. A path to decarbonization that sacrifices reliability is not a sustainable path at all.</w:t>
      </w:r>
    </w:p>
    <w:p>
      <w:pPr>
        <w:spacing w:after="160" w:before="0" w:line="280"/>
        <w:jc w:val="both"/>
      </w:pPr>
      <w:r>
        <w:rPr>
          <w:rFonts w:ascii="Arial" w:cs="Arial" w:eastAsia="Arial" w:hAnsi="Arial"/>
          <w:sz w:val="22"/>
          <w:szCs w:val="22"/>
        </w:rPr>
        <w:t xml:space="preserve">The future electricity grid will likely include substantial renewable generation. But that future will also require dispatchable low-carbon sources — nuclear, geothermal, high-temperature solar thermal, and others — to provide the baseload backbone that wind and solar cannot. Acknowledging this reality is the first step toward an energy system that is truly sustainable across all dimensions: environmental, economic, and operational.</w:t>
      </w:r>
    </w:p>
    <w:p>
      <w:pPr>
        <w:pStyle w:val="Heading1"/>
        <w:spacing w:after="160" w:before="360"/>
      </w:pPr>
      <w:r>
        <w:rPr>
          <w:rFonts w:ascii="Arial" w:cs="Arial" w:eastAsia="Arial" w:hAnsi="Arial"/>
          <w:b/>
          <w:bCs/>
          <w:color w:val="1B4F8A"/>
          <w:sz w:val="28"/>
          <w:szCs w:val="28"/>
        </w:rPr>
        <w:t xml:space="preserve">References</w:t>
      </w:r>
    </w:p>
    <w:p>
      <w:pPr>
        <w:spacing w:after="160" w:before="0" w:line="280"/>
        <w:jc w:val="both"/>
      </w:pPr>
      <w:r>
        <w:rPr>
          <w:rFonts w:ascii="Arial" w:cs="Arial" w:eastAsia="Arial" w:hAnsi="Arial"/>
          <w:sz w:val="22"/>
          <w:szCs w:val="22"/>
        </w:rPr>
        <w:t xml:space="preserve">Sovacool, B.K. (2009). The intermittency of wind, solar, and renewable electricity generators: Technical barrier or rhetorical excuse? Utilities Policy, 17(3-4), 288-296.</w:t>
      </w:r>
    </w:p>
    <w:p>
      <w:pPr>
        <w:spacing w:after="160" w:before="0" w:line="280"/>
        <w:jc w:val="both"/>
      </w:pPr>
      <w:r>
        <w:rPr>
          <w:rFonts w:ascii="Arial" w:cs="Arial" w:eastAsia="Arial" w:hAnsi="Arial"/>
          <w:sz w:val="22"/>
          <w:szCs w:val="22"/>
        </w:rPr>
        <w:t xml:space="preserve">Nejlaa, E., Saidani, K., &amp; Besbes, M. (2025). Overcoming the integration bottleneck: a global review of renewable energy and grid adaptation strategies. Energy Sources, Part B: Economics, Planning, and Policy, 2569922.</w:t>
      </w:r>
    </w:p>
    <w:p>
      <w:pPr>
        <w:spacing w:after="160" w:before="0" w:line="280"/>
        <w:jc w:val="both"/>
      </w:pPr>
      <w:r>
        <w:rPr>
          <w:rFonts w:ascii="Arial" w:cs="Arial" w:eastAsia="Arial" w:hAnsi="Arial"/>
          <w:sz w:val="22"/>
          <w:szCs w:val="22"/>
        </w:rPr>
        <w:t xml:space="preserve">Foyer, A. (2025). The Workhorse Index: Capacity Factors. Orennia.</w:t>
      </w:r>
    </w:p>
    <w:p>
      <w:pPr>
        <w:spacing w:after="160" w:before="0" w:line="280"/>
        <w:jc w:val="both"/>
      </w:pPr>
      <w:r>
        <w:rPr>
          <w:rFonts w:ascii="Arial" w:cs="Arial" w:eastAsia="Arial" w:hAnsi="Arial"/>
          <w:sz w:val="22"/>
          <w:szCs w:val="22"/>
        </w:rPr>
        <w:t xml:space="preserve">Wang, S. &amp; Trembath, A. (2025). It's Okay to Notice When Solar and Wind Fail: Lessons from Spain's Blackout. Breakthrough Journal.</w:t>
      </w:r>
    </w:p>
    <w:p>
      <w:pPr>
        <w:spacing w:after="160" w:before="0" w:line="280"/>
        <w:jc w:val="both"/>
      </w:pPr>
      <w:r>
        <w:rPr>
          <w:rFonts w:ascii="Arial" w:cs="Arial" w:eastAsia="Arial" w:hAnsi="Arial"/>
          <w:sz w:val="22"/>
          <w:szCs w:val="22"/>
        </w:rPr>
        <w:t xml:space="preserve">U.S. Energy Information Administration. (2024). Monthly generator capacity factor data by fuel and technology.</w:t>
      </w:r>
    </w:p>
    <w:p>
      <w:pPr>
        <w:spacing w:after="160" w:before="0" w:line="280"/>
        <w:jc w:val="both"/>
      </w:pPr>
      <w:r>
        <w:rPr>
          <w:rFonts w:ascii="Arial" w:cs="Arial" w:eastAsia="Arial" w:hAnsi="Arial"/>
          <w:sz w:val="22"/>
          <w:szCs w:val="22"/>
        </w:rPr>
        <w:t xml:space="preserve">OSTI.gov. (2025). Resilient Distributed Frequency Regulation of Renewable Generators under Communication Interruptions.</w:t>
      </w:r>
    </w:p>
    <w:p>
      <w:r>
        <w:br w:type="page"/>
      </w:r>
    </w:p>
    <w:p>
      <w:pPr>
        <w:spacing w:after="120" w:before="0"/>
      </w:pPr>
      <w:r>
        <w:t xml:space="preserve"/>
      </w:r>
    </w:p>
    <w:p>
      <w:pPr>
        <w:spacing w:after="120" w:before="0"/>
      </w:pPr>
      <w:r>
        <w:t xml:space="preserve"/>
      </w:r>
    </w:p>
    <w:p>
      <w:pPr>
        <w:spacing w:after="80" w:before="0"/>
        <w:jc w:val="center"/>
      </w:pPr>
      <w:r>
        <w:rPr>
          <w:rFonts w:ascii="Arial" w:cs="Arial" w:eastAsia="Arial" w:hAnsi="Arial"/>
          <w:b/>
          <w:bCs/>
          <w:color w:val="1B4F8A"/>
          <w:sz w:val="40"/>
          <w:szCs w:val="40"/>
        </w:rPr>
        <w:t xml:space="preserve">THE CASE FOR MacTherm™ SOLAR THERMAL</w:t>
      </w:r>
    </w:p>
    <w:p>
      <w:pPr>
        <w:spacing w:after="240" w:before="0"/>
        <w:jc w:val="center"/>
      </w:pPr>
      <w:r>
        <w:rPr>
          <w:rFonts w:ascii="Arial" w:cs="Arial" w:eastAsia="Arial" w:hAnsi="Arial"/>
          <w:b w:val="false"/>
          <w:bCs w:val="false"/>
          <w:color w:val="2E75B6"/>
          <w:sz w:val="26"/>
          <w:szCs w:val="26"/>
        </w:rPr>
        <w:t xml:space="preserve">Dispatchable, Reliable, Renewable Generation as True Baseload Power</w:t>
      </w:r>
    </w:p>
    <w:p>
      <w:pPr>
        <w:spacing w:after="60" w:before="0"/>
        <w:jc w:val="center"/>
      </w:pPr>
      <w:r>
        <w:rPr>
          <w:rFonts w:ascii="Arial" w:cs="Arial" w:eastAsia="Arial" w:hAnsi="Arial"/>
          <w:b/>
          <w:bCs/>
          <w:color w:val="333333"/>
          <w:sz w:val="24"/>
          <w:szCs w:val="24"/>
        </w:rPr>
        <w:t xml:space="preserve">Don MacLean</w:t>
      </w:r>
    </w:p>
    <w:p>
      <w:pPr>
        <w:spacing w:after="120" w:before="0"/>
        <w:jc w:val="center"/>
      </w:pPr>
      <w:r>
        <w:rPr>
          <w:rFonts w:ascii="Arial" w:cs="Arial" w:eastAsia="Arial" w:hAnsi="Arial"/>
          <w:b w:val="false"/>
          <w:bCs w:val="false"/>
          <w:color w:val="555555"/>
          <w:sz w:val="24"/>
          <w:szCs w:val="24"/>
        </w:rPr>
        <w:t xml:space="preserve">New Blue Solution LLC</w:t>
      </w:r>
    </w:p>
    <w:p>
      <w:pPr>
        <w:spacing w:after="120" w:before="0"/>
        <w:jc w:val="center"/>
      </w:pPr>
      <w:r>
        <w:rPr>
          <w:rFonts w:ascii="Arial" w:cs="Arial" w:eastAsia="Arial" w:hAnsi="Arial"/>
          <w:b w:val="false"/>
          <w:bCs w:val="false"/>
          <w:color w:val="888888"/>
          <w:sz w:val="22"/>
          <w:szCs w:val="22"/>
        </w:rPr>
        <w:t xml:space="preserve">newbluesolution.com</w:t>
      </w:r>
    </w:p>
    <w:p>
      <w:pPr>
        <w:spacing w:after="120" w:before="0"/>
      </w:pPr>
      <w:r>
        <w:t xml:space="preserve"/>
      </w:r>
    </w:p>
    <w:p>
      <w:pPr>
        <w:spacing w:after="120" w:before="0"/>
      </w:pPr>
      <w:r>
        <w:t xml:space="preserve"/>
      </w:r>
    </w:p>
    <w:p>
      <w:pPr>
        <w:pBdr>
          <w:bottom w:val="single" w:color="1B4F8A" w:sz="6" w:space="1"/>
        </w:pBdr>
        <w:spacing w:after="320" w:before="320"/>
      </w:pPr>
      <w:r>
        <w:t xml:space="preserve"/>
      </w:r>
    </w:p>
    <w:p>
      <w:pPr>
        <w:pStyle w:val="Heading1"/>
        <w:spacing w:after="160" w:before="360"/>
      </w:pPr>
      <w:r>
        <w:rPr>
          <w:rFonts w:ascii="Arial" w:cs="Arial" w:eastAsia="Arial" w:hAnsi="Arial"/>
          <w:b/>
          <w:bCs/>
          <w:color w:val="1B4F8A"/>
          <w:sz w:val="28"/>
          <w:szCs w:val="28"/>
        </w:rPr>
        <w:t xml:space="preserve">Abstract</w:t>
      </w:r>
    </w:p>
    <w:p>
      <w:pPr>
        <w:spacing w:after="160" w:before="0" w:line="280"/>
        <w:jc w:val="both"/>
      </w:pPr>
      <w:r>
        <w:rPr>
          <w:rFonts w:ascii="Arial" w:cs="Arial" w:eastAsia="Arial" w:hAnsi="Arial"/>
          <w:sz w:val="22"/>
          <w:szCs w:val="22"/>
        </w:rPr>
        <w:t xml:space="preserve">The global energy transition has reached a critical impasse. Wind and solar photovoltaic systems, despite decades of subsidies and deployment, cannot provide baseload power — the continuous, reliable generation that forms the backbone of modern electricity grids. Their inherent intermittency, lack of inertia, and prohibitive storage requirements at high penetration levels are not engineering problems awaiting solutions; they are physical constraints.</w:t>
      </w:r>
    </w:p>
    <w:p>
      <w:pPr>
        <w:spacing w:after="160" w:before="0" w:line="280"/>
        <w:jc w:val="both"/>
      </w:pPr>
      <w:r>
        <w:rPr>
          <w:rFonts w:ascii="Arial" w:cs="Arial" w:eastAsia="Arial" w:hAnsi="Arial"/>
          <w:sz w:val="22"/>
          <w:szCs w:val="22"/>
        </w:rPr>
        <w:t xml:space="preserve">This paper presents an alternative: dispatchable solar thermal generation using MacTherm™ collectors with BlueNanofluid™ heat transfer fluid and integrated thermal energy storage. Unlike photovoltaic systems, MacTherm™ collects solar energy as heat — a form that can be stored economically at scale and converted to electricity on demand through an organic Rankine cycle turbine. The MacTherm™ platform achieves what wind and photovoltaic systems cannot: dispatchable generation with inherent grid inertia, modular scalability from kilowatt to megawatt scale, co-generation of heat and power from a single collector field, and economic viability without subsidy dependence in high-cost and remote markets. This paper demonstrates that solar thermal power is not only a viable baseload contributor but a superior alternative to intermittent generation for applications where reliability is non-negotiable.</w:t>
      </w:r>
    </w:p>
    <w:p>
      <w:pPr>
        <w:pStyle w:val="Heading1"/>
        <w:spacing w:after="160" w:before="360"/>
      </w:pPr>
      <w:r>
        <w:rPr>
          <w:rFonts w:ascii="Arial" w:cs="Arial" w:eastAsia="Arial" w:hAnsi="Arial"/>
          <w:b/>
          <w:bCs/>
          <w:color w:val="1B4F8A"/>
          <w:sz w:val="28"/>
          <w:szCs w:val="28"/>
        </w:rPr>
        <w:t xml:space="preserve">1. Introduction</w:t>
      </w:r>
    </w:p>
    <w:p>
      <w:pPr>
        <w:spacing w:after="160" w:before="0" w:line="280"/>
        <w:jc w:val="both"/>
      </w:pPr>
      <w:r>
        <w:rPr>
          <w:rFonts w:ascii="Arial" w:cs="Arial" w:eastAsia="Arial" w:hAnsi="Arial"/>
          <w:sz w:val="22"/>
          <w:szCs w:val="22"/>
        </w:rPr>
        <w:t xml:space="preserve">The fundamental requirement of any electrical grid is simple but absolute: supply and demand must be perfectly balanced at every moment. Baseload power — the minimum level of demand that persists continuously — requires generation that achieves three things: high capacity factors, output stability without sudden fluctuations, and reliable operation on demand without dependence on external variables beyond the operator's control.</w:t>
      </w:r>
    </w:p>
    <w:p>
      <w:pPr>
        <w:spacing w:after="160" w:before="0" w:line="280"/>
        <w:jc w:val="both"/>
      </w:pPr>
      <w:r>
        <w:rPr>
          <w:rFonts w:ascii="Arial" w:cs="Arial" w:eastAsia="Arial" w:hAnsi="Arial"/>
          <w:sz w:val="22"/>
          <w:szCs w:val="22"/>
        </w:rPr>
        <w:t xml:space="preserve">Wind and solar PV fail on all three counts. Their capacity factors average 20% and 35% respectively in the United States, meaning they operate far below rated capacity most of the time. Their output fluctuates with weather patterns beyond human control. And because they connect to the grid through power electronic inverters rather than synchronous generators, they provide no inherent inertia — the passive frequency stability that conventional generators supply automatically.</w:t>
      </w:r>
    </w:p>
    <w:p>
      <w:pPr>
        <w:spacing w:after="160" w:before="0" w:line="280"/>
        <w:jc w:val="both"/>
      </w:pPr>
      <w:r>
        <w:rPr>
          <w:rFonts w:ascii="Arial" w:cs="Arial" w:eastAsia="Arial" w:hAnsi="Arial"/>
          <w:sz w:val="22"/>
          <w:szCs w:val="22"/>
        </w:rPr>
        <w:t xml:space="preserve">The 2025 Iberian blackout provided a real-world demonstration of these vulnerabilities. With solar and wind supplying over 70% of generation at the time, a frequency anomaly triggered protective shutdowns across a significant fraction of solar plants. The remaining system lacked sufficient spinning inertia to stabilize, leading to a cascading collapse that became probably the largest blackout in European history. The problem was not forecasting accuracy or grid management; it was that the renewable generators themselves disconnected automatically when the grid needed them most.</w:t>
      </w:r>
    </w:p>
    <w:p>
      <w:pPr>
        <w:spacing w:after="160" w:before="0" w:line="280"/>
        <w:jc w:val="both"/>
      </w:pPr>
      <w:r>
        <w:rPr>
          <w:rFonts w:ascii="Arial" w:cs="Arial" w:eastAsia="Arial" w:hAnsi="Arial"/>
          <w:sz w:val="22"/>
          <w:szCs w:val="22"/>
        </w:rPr>
        <w:t xml:space="preserve">What has been missing from the renewable energy conversation is a solar technology that does not share these limitations — one that stores energy as heat rather than electricity, drives a synchronous turbine rather than an inverter, and delivers power on demand rather than when the sun happens to shine. That technology is solar thermal with integrated thermal storage — specifically, the MacTherm™ platform with BlueNanofluid™.</w:t>
      </w:r>
    </w:p>
    <w:p>
      <w:pPr>
        <w:pStyle w:val="Heading1"/>
        <w:spacing w:after="160" w:before="360"/>
      </w:pPr>
      <w:r>
        <w:rPr>
          <w:rFonts w:ascii="Arial" w:cs="Arial" w:eastAsia="Arial" w:hAnsi="Arial"/>
          <w:b/>
          <w:bCs/>
          <w:color w:val="1B4F8A"/>
          <w:sz w:val="28"/>
          <w:szCs w:val="28"/>
        </w:rPr>
        <w:t xml:space="preserve">2. The Baseload Definition and Why It Matters</w:t>
      </w:r>
    </w:p>
    <w:p>
      <w:pPr>
        <w:spacing w:after="160" w:before="0" w:line="280"/>
        <w:jc w:val="both"/>
      </w:pPr>
      <w:r>
        <w:rPr>
          <w:rFonts w:ascii="Arial" w:cs="Arial" w:eastAsia="Arial" w:hAnsi="Arial"/>
          <w:sz w:val="22"/>
          <w:szCs w:val="22"/>
        </w:rPr>
        <w:t xml:space="preserve">Baseload power is not merely a measure of average output over a year. It is a guarantee of continuous availability during the hours when it is needed.</w:t>
      </w:r>
    </w:p>
    <w:p>
      <w:pPr>
        <w:spacing w:after="160" w:before="0" w:line="280"/>
        <w:jc w:val="both"/>
      </w:pPr>
      <w:r>
        <w:rPr>
          <w:rFonts w:ascii="Arial" w:cs="Arial" w:eastAsia="Arial" w:hAnsi="Arial"/>
          <w:sz w:val="22"/>
          <w:szCs w:val="22"/>
        </w:rPr>
        <w:t xml:space="preserve">A nuclear plant operating at a 93% capacity factor does so predictably, with refueling outages scheduled during shoulder seasons when demand is lower. A coal or natural gas plant can be dispatched on command, ramping up or down as needed. These are baseload resources because the operator controls the output, not the weather.</w:t>
      </w:r>
    </w:p>
    <w:p>
      <w:pPr>
        <w:spacing w:after="160" w:before="0" w:line="280"/>
        <w:jc w:val="both"/>
      </w:pPr>
      <w:r>
        <w:rPr>
          <w:rFonts w:ascii="Arial" w:cs="Arial" w:eastAsia="Arial" w:hAnsi="Arial"/>
          <w:sz w:val="22"/>
          <w:szCs w:val="22"/>
        </w:rPr>
        <w:t xml:space="preserve">A wind farm producing 35% of its nameplate capacity on average cannot be relied upon during specific hours — particularly during periods of peak demand or system stress. A solar PV array producing negligible output at night and reduced output on cloudy days cannot fill a baseload role regardless of how many panels are installed. Annual energy contribution is not the same as baseload service.</w:t>
      </w:r>
    </w:p>
    <w:p>
      <w:pPr>
        <w:spacing w:after="160" w:before="0" w:line="280"/>
        <w:jc w:val="both"/>
      </w:pPr>
      <w:r>
        <w:rPr>
          <w:rFonts w:ascii="Arial" w:cs="Arial" w:eastAsia="Arial" w:hAnsi="Arial"/>
          <w:sz w:val="22"/>
          <w:szCs w:val="22"/>
        </w:rPr>
        <w:t xml:space="preserve">This distinction bears directly on energy security, economic competitiveness, and the feasibility of decarbonization pathways. A grid powered predominantly by wind and PV is not a grid that can be relied upon without massive overbuild of generating capacity, continent-scale transmission, and storage infrastructure that does not yet exist at affordable cost.</w:t>
      </w:r>
    </w:p>
    <w:p>
      <w:pPr>
        <w:pStyle w:val="Heading1"/>
        <w:spacing w:after="160" w:before="360"/>
      </w:pPr>
      <w:r>
        <w:rPr>
          <w:rFonts w:ascii="Arial" w:cs="Arial" w:eastAsia="Arial" w:hAnsi="Arial"/>
          <w:b/>
          <w:bCs/>
          <w:color w:val="1B4F8A"/>
          <w:sz w:val="28"/>
          <w:szCs w:val="28"/>
        </w:rPr>
        <w:t xml:space="preserve">3. The MacTherm™ Collector: Capturing Solar Energy as Storable Heat</w:t>
      </w:r>
    </w:p>
    <w:p>
      <w:pPr>
        <w:spacing w:after="160" w:before="0" w:line="280"/>
        <w:jc w:val="both"/>
      </w:pPr>
      <w:r>
        <w:rPr>
          <w:rFonts w:ascii="Arial" w:cs="Arial" w:eastAsia="Arial" w:hAnsi="Arial"/>
          <w:sz w:val="22"/>
          <w:szCs w:val="22"/>
        </w:rPr>
        <w:t xml:space="preserve">The MacTherm™ solar thermal collector represents a fundamental departure from both conventional flat-plate solar thermal and photovoltaic panels. Its patented pyramidal frustum geometry — with double-glazed faces and a pressurized 5.8 mm fluid-filled chimney cavity — captures sunlight across a wider range of incidence angles than any fixed-tilt flat panel. Heat transfer fluid circulates through the serpentine CCA absorber pipe and the chimney cavity, gaining heat from direct solar radiation through the glazing and from polished aluminum mirrors reflecting onto the cavity walls. There is no air gap; the fluid is in direct thermal contact with all heated surfaces.</w:t>
      </w:r>
    </w:p>
    <w:p>
      <w:pPr>
        <w:spacing w:after="160" w:before="0" w:line="280"/>
        <w:jc w:val="both"/>
      </w:pPr>
      <w:r>
        <w:rPr>
          <w:rFonts w:ascii="Arial" w:cs="Arial" w:eastAsia="Arial" w:hAnsi="Arial"/>
          <w:sz w:val="22"/>
          <w:szCs w:val="22"/>
        </w:rPr>
        <w:t xml:space="preserve">This geometry matters practically: it extends the useful collection window earlier into the morning and later into the afternoon than flat panels, and it captures low-angle winter sun that flat PV panels almost entirely miss. Winter performance — critical for year-round dispatchability — remains strong across the collector family.</w:t>
      </w:r>
    </w:p>
    <w:p>
      <w:pPr>
        <w:spacing w:after="160" w:before="0" w:line="280"/>
        <w:jc w:val="both"/>
      </w:pPr>
      <w:r>
        <w:rPr>
          <w:rFonts w:ascii="Arial" w:cs="Arial" w:eastAsia="Arial" w:hAnsi="Arial"/>
          <w:sz w:val="22"/>
          <w:szCs w:val="22"/>
        </w:rPr>
        <w:t xml:space="preserve">The primary output of the MacTherm™ collector is thermal energy delivered by BlueNanofluid™ at working temperatures suited to direct use, thermal storage, and organic Rankine cycle power generation. That thermal output — controllable, storable, and dispatchable — is the foundation of the platform’s advantage over intermittent generation.</w:t>
      </w:r>
    </w:p>
    <w:p>
      <w:pPr>
        <w:pStyle w:val="Heading1"/>
        <w:spacing w:after="160" w:before="360"/>
      </w:pPr>
      <w:r>
        <w:rPr>
          <w:rFonts w:ascii="Arial" w:cs="Arial" w:eastAsia="Arial" w:hAnsi="Arial"/>
          <w:b/>
          <w:bCs/>
          <w:color w:val="1B4F8A"/>
          <w:sz w:val="28"/>
          <w:szCs w:val="28"/>
        </w:rPr>
        <w:t xml:space="preserve">4. BlueNanofluid™: Enhanced Heat Transfer Across the Operating Range</w:t>
      </w:r>
    </w:p>
    <w:p>
      <w:pPr>
        <w:spacing w:after="160" w:before="0" w:line="280"/>
        <w:jc w:val="both"/>
      </w:pPr>
      <w:r>
        <w:rPr>
          <w:rFonts w:ascii="Arial" w:cs="Arial" w:eastAsia="Arial" w:hAnsi="Arial"/>
          <w:sz w:val="22"/>
          <w:szCs w:val="22"/>
        </w:rPr>
        <w:t xml:space="preserve">BlueNanofluid™, designed and manufactured by New Blue Solution LLC, is a graphene nanoplatelet (GNP) heat transfer fluid that delivers enhanced thermal conductivity and heat transfer performance exceeding 40% over conventional water-glycol fluids. It operates across a wide working temperature range — from −40°C freeze protection for cold-climate applications up to high-temperature industrial applications — without thermal degradation or pressure vessel requirements beyond those of standard pressurized solar thermal systems.</w:t>
      </w:r>
    </w:p>
    <w:p>
      <w:pPr>
        <w:spacing w:after="160" w:before="0" w:line="280"/>
        <w:jc w:val="both"/>
      </w:pPr>
      <w:r>
        <w:rPr>
          <w:rFonts w:ascii="Arial" w:cs="Arial" w:eastAsia="Arial" w:hAnsi="Arial"/>
          <w:sz w:val="22"/>
          <w:szCs w:val="22"/>
        </w:rPr>
        <w:t xml:space="preserve">In the MacTherm™ collector, BlueNanofluid™ operates in the pressurized working range typical of non-concentrating solar thermal systems: collector outlet temperatures generally in the range of 80–180°C depending on unit size, flow rate, and solar conditions. Within this range, the enhanced heat transfer properties of BlueNanofluid™ translate directly into higher thermal output per unit of collector area, faster thermal response, and more effective heat delivery to the storage or end-use system.</w:t>
      </w:r>
    </w:p>
    <w:p>
      <w:pPr>
        <w:spacing w:after="160" w:before="0" w:line="280"/>
        <w:jc w:val="both"/>
      </w:pPr>
      <w:r>
        <w:rPr>
          <w:rFonts w:ascii="Arial" w:cs="Arial" w:eastAsia="Arial" w:hAnsi="Arial"/>
          <w:sz w:val="22"/>
          <w:szCs w:val="22"/>
        </w:rPr>
        <w:t xml:space="preserve">BlueNanofluid™’s rated high-temperature stability — documented at 600°C and above — is a material property that becomes relevant in concentrating solar power (CSP) and industrial process heat contexts, where optical concentration ratios of 30× or more drive fluid temperatures into that range. In those applications, BlueNanofluid™ addresses the primary limitation of conventional synthetic oil heat transfer fluids, which degrade above approximately 400°C. The MacTherm™ collector, operating as a non-concentrating system, does not currently reach those temperatures; the high-temperature rating reflects the fluid’s capability headroom and its suitability for integration into future CSP or hybrid industrial systems.</w:t>
      </w:r>
    </w:p>
    <w:p>
      <w:pPr>
        <w:pStyle w:val="Heading1"/>
        <w:spacing w:after="160" w:before="360"/>
      </w:pPr>
      <w:r>
        <w:rPr>
          <w:rFonts w:ascii="Arial" w:cs="Arial" w:eastAsia="Arial" w:hAnsi="Arial"/>
          <w:b/>
          <w:bCs/>
          <w:color w:val="1B4F8A"/>
          <w:sz w:val="28"/>
          <w:szCs w:val="28"/>
        </w:rPr>
        <w:t xml:space="preserve">5. Thermal Storage: The Enabler of Dispatchable Solar</w:t>
      </w:r>
    </w:p>
    <w:p>
      <w:pPr>
        <w:spacing w:after="160" w:before="0" w:line="280"/>
        <w:jc w:val="both"/>
      </w:pPr>
      <w:r>
        <w:rPr>
          <w:rFonts w:ascii="Arial" w:cs="Arial" w:eastAsia="Arial" w:hAnsi="Arial"/>
          <w:sz w:val="22"/>
          <w:szCs w:val="22"/>
        </w:rPr>
        <w:t xml:space="preserve">The single most important distinction between MacTherm™-based generation and wind or PV is this: thermal energy can be stored economically at scale; electricity cannot.</w:t>
      </w:r>
    </w:p>
    <w:p>
      <w:pPr>
        <w:spacing w:after="160" w:before="0" w:line="280"/>
        <w:jc w:val="both"/>
      </w:pPr>
      <w:r>
        <w:rPr>
          <w:rFonts w:ascii="Arial" w:cs="Arial" w:eastAsia="Arial" w:hAnsi="Arial"/>
          <w:sz w:val="22"/>
          <w:szCs w:val="22"/>
        </w:rPr>
        <w:t xml:space="preserve">Battery storage remains expensive, and extending duration to cover multi-day low-generation events requires proportionally more capacity, with costs scaling accordingly. Seasonal storage — the ability to bridge extended periods of low solar input lasting days or weeks — is economically infeasible with current battery technology.</w:t>
      </w:r>
    </w:p>
    <w:p>
      <w:pPr>
        <w:spacing w:after="160" w:before="0" w:line="280"/>
        <w:jc w:val="both"/>
      </w:pPr>
      <w:r>
        <w:rPr>
          <w:rFonts w:ascii="Arial" w:cs="Arial" w:eastAsia="Arial" w:hAnsi="Arial"/>
          <w:sz w:val="22"/>
          <w:szCs w:val="22"/>
        </w:rPr>
        <w:t xml:space="preserve">Thermal energy storage at the temperatures delivered by MacTherm™ is fundamentally more economical. Insulated hot water and pressurized phase-change storage systems can hold thermal energy for hours or days at a fraction of the cost of equivalent battery storage. Storage duration is a function of tank volume and insulation quality, not power electronics; scaling storage means adding volume, not additional inverters or battery packs. Design life for well-constructed thermal storage vessels substantially exceeds that of lithium battery systems.</w:t>
      </w:r>
    </w:p>
    <w:p>
      <w:pPr>
        <w:spacing w:after="160" w:before="0" w:line="280"/>
        <w:jc w:val="both"/>
      </w:pPr>
      <w:r>
        <w:rPr>
          <w:rFonts w:ascii="Arial" w:cs="Arial" w:eastAsia="Arial" w:hAnsi="Arial"/>
          <w:sz w:val="22"/>
          <w:szCs w:val="22"/>
        </w:rPr>
        <w:t xml:space="preserve">What this enables is dispatchable solar power. A MacTherm™ collector array with adequate thermal storage can provide continuous power output — drawing on stored thermal energy during nighttime hours or overcast periods, and recharging storage during peak solar input. For extended low-solar events, storage volume determines resilience. A system designed for multi-day storage capacity can sustain operation through consecutive cloudy days without any solar input.</w:t>
      </w:r>
    </w:p>
    <w:p>
      <w:pPr>
        <w:spacing w:after="160" w:before="0" w:line="280"/>
        <w:jc w:val="both"/>
      </w:pPr>
      <w:r>
        <w:rPr>
          <w:rFonts w:ascii="Arial" w:cs="Arial" w:eastAsia="Arial" w:hAnsi="Arial"/>
          <w:sz w:val="22"/>
          <w:szCs w:val="22"/>
        </w:rPr>
        <w:t xml:space="preserve">The principle is proven at larger scale by concentrating solar power (CSP) installations such as the Gemasolar plant in Spain, which operates with molten salt storage at higher temperatures and achieves a 65% capacity factor — substantially above any wind or solar PV plant. Gemasolar uses high-temperature molten salt because its parabolic trough collectors drive fluid to 400°C and above. MacTherm™ operates at lower collector temperatures and uses appropriately matched storage media. The underlying logic — store heat cheaply and dispatch it on demand — is identical, and it remains an order of magnitude more economical than battery storage on an energy capacity basis.</w:t>
      </w:r>
    </w:p>
    <w:p>
      <w:pPr>
        <w:pStyle w:val="Heading1"/>
        <w:spacing w:after="160" w:before="360"/>
      </w:pPr>
      <w:r>
        <w:rPr>
          <w:rFonts w:ascii="Arial" w:cs="Arial" w:eastAsia="Arial" w:hAnsi="Arial"/>
          <w:b/>
          <w:bCs/>
          <w:color w:val="1B4F8A"/>
          <w:sz w:val="28"/>
          <w:szCs w:val="28"/>
        </w:rPr>
        <w:t xml:space="preserve">6. Inertia and Grid Stability: The MacTherm™ Advantage</w:t>
      </w:r>
    </w:p>
    <w:p>
      <w:pPr>
        <w:spacing w:after="160" w:before="0" w:line="280"/>
        <w:jc w:val="both"/>
      </w:pPr>
      <w:r>
        <w:rPr>
          <w:rFonts w:ascii="Arial" w:cs="Arial" w:eastAsia="Arial" w:hAnsi="Arial"/>
          <w:sz w:val="22"/>
          <w:szCs w:val="22"/>
        </w:rPr>
        <w:t xml:space="preserve">Beyond intermittency and storage, there is a third critical factor that wind and PV cannot address: grid inertia. When a sudden disturbance occurs — such as the unexpected loss of a large generator — the kinetic energy stored in the spinning mass of conventional generators is released almost instantaneously, resisting the rate of frequency change and buying time for control systems to respond. The inertia provided by synchronous generators is passive, automatic, and instantaneous; no control signal is required.</w:t>
      </w:r>
    </w:p>
    <w:p>
      <w:pPr>
        <w:spacing w:after="160" w:before="0" w:line="280"/>
        <w:jc w:val="both"/>
      </w:pPr>
      <w:r>
        <w:rPr>
          <w:rFonts w:ascii="Arial" w:cs="Arial" w:eastAsia="Arial" w:hAnsi="Arial"/>
          <w:sz w:val="22"/>
          <w:szCs w:val="22"/>
        </w:rPr>
        <w:t xml:space="preserve">Wind turbines and solar PV systems connect to the grid through power electronic inverters, which have no rotating mass and provide no inherent inertia. They are grid-following devices, creating the circular vulnerability that was demonstrated so dramatically in the Iberian blackout: frequency deviation causes inverter-based generators to disconnect, which worsens the frequency deviation, which triggers further disconnections.</w:t>
      </w:r>
    </w:p>
    <w:p>
      <w:pPr>
        <w:spacing w:after="160" w:before="0" w:line="280"/>
        <w:jc w:val="both"/>
      </w:pPr>
      <w:r>
        <w:rPr>
          <w:rFonts w:ascii="Arial" w:cs="Arial" w:eastAsia="Arial" w:hAnsi="Arial"/>
          <w:sz w:val="22"/>
          <w:szCs w:val="22"/>
        </w:rPr>
        <w:t xml:space="preserve">The MacTherm™-ORC system solves this problem because every electricity-generating installation includes a synchronous generator — the organic Rankine cycle turbine. This generator provides real, physical grid inertia identical to that of a conventional power plant. When a disturbance occurs, the turbine's rotating mass resists frequency change automatically. There is no control signal, no software, no communication link required. This passive stability cannot be replicated by grid-forming inverters without additional complexity and cost.</w:t>
      </w:r>
    </w:p>
    <w:p>
      <w:pPr>
        <w:spacing w:after="160" w:before="0" w:line="280"/>
        <w:jc w:val="both"/>
      </w:pPr>
      <w:r>
        <w:rPr>
          <w:rFonts w:ascii="Arial" w:cs="Arial" w:eastAsia="Arial" w:hAnsi="Arial"/>
          <w:sz w:val="22"/>
          <w:szCs w:val="22"/>
        </w:rPr>
        <w:t xml:space="preserve">For grid-connected applications, MacTherm™-based generation does not consume stability as wind and PV do; it contributes stability, like any conventional synchronous generator. For remote off-grid applications, it can operate in island mode without reliance on a grid connection for frequency reference.</w:t>
      </w:r>
    </w:p>
    <w:p>
      <w:pPr>
        <w:pStyle w:val="Heading1"/>
        <w:spacing w:after="160" w:before="360"/>
      </w:pPr>
      <w:r>
        <w:rPr>
          <w:rFonts w:ascii="Arial" w:cs="Arial" w:eastAsia="Arial" w:hAnsi="Arial"/>
          <w:b/>
          <w:bCs/>
          <w:color w:val="1B4F8A"/>
          <w:sz w:val="28"/>
          <w:szCs w:val="28"/>
        </w:rPr>
        <w:t xml:space="preserve">7. Modularity: Scaling from Kilowatt to Megawatt Without Redesign</w:t>
      </w:r>
    </w:p>
    <w:p>
      <w:pPr>
        <w:spacing w:after="160" w:before="0" w:line="280"/>
        <w:jc w:val="both"/>
      </w:pPr>
      <w:r>
        <w:rPr>
          <w:rFonts w:ascii="Arial" w:cs="Arial" w:eastAsia="Arial" w:hAnsi="Arial"/>
          <w:sz w:val="22"/>
          <w:szCs w:val="22"/>
        </w:rPr>
        <w:t xml:space="preserve">The MacTherm™-ORC system is fundamentally modular. The collector field consists of any number of MacTherm™ units in available sizes. Thermal storage consists of appropriately sized insulated storage vessels matched to the collector outlet temperature. The power block consists of any organic Rankine cycle generator appropriately sized to the installation. All components scale independently.</w:t>
      </w:r>
    </w:p>
    <w:p>
      <w:pPr>
        <w:spacing w:after="160" w:before="0" w:line="280"/>
        <w:jc w:val="both"/>
      </w:pPr>
      <w:r>
        <w:rPr>
          <w:rFonts w:ascii="Arial" w:cs="Arial" w:eastAsia="Arial" w:hAnsi="Arial"/>
          <w:sz w:val="22"/>
          <w:szCs w:val="22"/>
        </w:rPr>
        <w:t xml:space="preserve">No redesign is required. No new engineering is needed when scaling up. The system scales by parallel replication of identical components — the same modular logic that has made solar PV successful, but with the critical difference that MacTherm™ scales both collection and storage together. PV systems can add panels, but they cannot add storage without proportionally scaling an entirely separate battery system. MacTherm™-ORC adds both collection and storage simultaneously.</w:t>
      </w:r>
    </w:p>
    <w:p>
      <w:pPr>
        <w:spacing w:after="160" w:before="0" w:line="280"/>
        <w:jc w:val="both"/>
      </w:pPr>
      <w:r>
        <w:rPr>
          <w:rFonts w:ascii="Arial" w:cs="Arial" w:eastAsia="Arial" w:hAnsi="Arial"/>
          <w:sz w:val="22"/>
          <w:szCs w:val="22"/>
        </w:rPr>
        <w:t xml:space="preserve">This modularity makes the platform suitable for a wide range of applications: remote village clinics, military installations, mining camps, island communities, and grid-connected renewable generation, all using the same fundamental technology platform without application-specific redesign.</w:t>
      </w:r>
    </w:p>
    <w:p>
      <w:pPr>
        <w:pStyle w:val="Heading1"/>
        <w:spacing w:after="160" w:before="360"/>
      </w:pPr>
      <w:r>
        <w:rPr>
          <w:rFonts w:ascii="Arial" w:cs="Arial" w:eastAsia="Arial" w:hAnsi="Arial"/>
          <w:b/>
          <w:bCs/>
          <w:color w:val="1B4F8A"/>
          <w:sz w:val="28"/>
          <w:szCs w:val="28"/>
        </w:rPr>
        <w:t xml:space="preserve">8. Economic Viability Without Subsidies</w:t>
      </w:r>
    </w:p>
    <w:p>
      <w:pPr>
        <w:spacing w:after="160" w:before="0" w:line="280"/>
        <w:jc w:val="both"/>
      </w:pPr>
      <w:r>
        <w:rPr>
          <w:rFonts w:ascii="Arial" w:cs="Arial" w:eastAsia="Arial" w:hAnsi="Arial"/>
          <w:sz w:val="22"/>
          <w:szCs w:val="22"/>
        </w:rPr>
        <w:t xml:space="preserve">MacTherm™ delivers thermal energy at a levelized cost substantially lower than grid electricity in most high-cost markets and competitive in many standard markets. Organic Rankine cycle conversion at temperatures achievable with non-concentrating solar thermal collectors adds a power generation capability on top of the direct heat value, improving overall project economics. Adding thermal storage adds a modest increment to the levelized cost amortized over the system life, yielding fully dispatchable solar power at a competitive all-in price.</w:t>
      </w:r>
    </w:p>
    <w:p>
      <w:pPr>
        <w:spacing w:after="160" w:before="0" w:line="280"/>
        <w:jc w:val="both"/>
      </w:pPr>
      <w:r>
        <w:rPr>
          <w:rFonts w:ascii="Arial" w:cs="Arial" w:eastAsia="Arial" w:hAnsi="Arial"/>
          <w:sz w:val="22"/>
          <w:szCs w:val="22"/>
        </w:rPr>
        <w:t xml:space="preserve">In remote applications where generation is currently dependent on diesel, MacTherm™-ORC offers dramatically improved economics. Remote mines, Arctic communities, and island nations typically pay multiples of the grid-electricity rate for diesel generation. In these markets, MacTherm™-ORC achieves attractive payback periods on a pure capital-and-operating-cost basis.</w:t>
      </w:r>
    </w:p>
    <w:p>
      <w:pPr>
        <w:spacing w:after="160" w:before="0" w:line="280"/>
        <w:jc w:val="both"/>
      </w:pPr>
      <w:r>
        <w:rPr>
          <w:rFonts w:ascii="Arial" w:cs="Arial" w:eastAsia="Arial" w:hAnsi="Arial"/>
          <w:sz w:val="22"/>
          <w:szCs w:val="22"/>
        </w:rPr>
        <w:t xml:space="preserve">Crucially, these economics do not rely on subsidies, carbon prices, or renewable energy credits. The capital-and-operating cost comparison favors MacTherm™-ORC over diesel in virtually all remote applications and over grid power in many high-cost regions.</w:t>
      </w:r>
    </w:p>
    <w:p>
      <w:pPr>
        <w:pStyle w:val="Heading1"/>
        <w:spacing w:after="160" w:before="360"/>
      </w:pPr>
      <w:r>
        <w:rPr>
          <w:rFonts w:ascii="Arial" w:cs="Arial" w:eastAsia="Arial" w:hAnsi="Arial"/>
          <w:b/>
          <w:bCs/>
          <w:color w:val="1B4F8A"/>
          <w:sz w:val="28"/>
          <w:szCs w:val="28"/>
        </w:rPr>
        <w:t xml:space="preserve">9. Co-Generation: Heat, Power, and Water from One Platform</w:t>
      </w:r>
    </w:p>
    <w:p>
      <w:pPr>
        <w:spacing w:after="160" w:before="0" w:line="280"/>
        <w:jc w:val="both"/>
      </w:pPr>
      <w:r>
        <w:rPr>
          <w:rFonts w:ascii="Arial" w:cs="Arial" w:eastAsia="Arial" w:hAnsi="Arial"/>
          <w:sz w:val="22"/>
          <w:szCs w:val="22"/>
        </w:rPr>
        <w:t xml:space="preserve">No discussion of MacTherm™ as a baseload solution is complete without acknowledging its co-generation capabilities, which no other renewable technology can match. Wind turbines produce only electricity, and only when the wind blows. Solar PV panels produce only electricity, and only when the sun shines. Neither produces heat, and neither produces water.</w:t>
      </w:r>
    </w:p>
    <w:p>
      <w:pPr>
        <w:spacing w:after="160" w:before="0" w:line="280"/>
        <w:jc w:val="both"/>
      </w:pPr>
      <w:r>
        <w:rPr>
          <w:rFonts w:ascii="Arial" w:cs="Arial" w:eastAsia="Arial" w:hAnsi="Arial"/>
          <w:sz w:val="22"/>
          <w:szCs w:val="22"/>
        </w:rPr>
        <w:t xml:space="preserve">MacTherm™ produces heat as its primary output. That heat can be used directly for space heating, domestic hot water, and low-to-medium temperature industrial process heat. It can be converted to electricity via the organic Rankine cycle. It can drive thermally assisted desalination processes to produce fresh water from seawater or brackish groundwater. And it can serve as an energy source for electrolysis-based hydrogen production when paired with the ORC power output.</w:t>
      </w:r>
    </w:p>
    <w:p>
      <w:pPr>
        <w:spacing w:after="160" w:before="0" w:line="280"/>
        <w:jc w:val="both"/>
      </w:pPr>
      <w:r>
        <w:rPr>
          <w:rFonts w:ascii="Arial" w:cs="Arial" w:eastAsia="Arial" w:hAnsi="Arial"/>
          <w:sz w:val="22"/>
          <w:szCs w:val="22"/>
        </w:rPr>
        <w:t xml:space="preserve">For baseload applications, this co-generation capability provides multiple value streams that improve project economics. A MacTherm™ installation serving a remote mining camp provides electricity, space heating, hot water, and fresh water from the same collector field. A MacTherm™ installation serving an island nation provides electricity and desalinated water — addressing two of the most critical vulnerabilities of small island developing states from a single capital investment.</w:t>
      </w:r>
    </w:p>
    <w:p>
      <w:pPr>
        <w:pStyle w:val="Heading1"/>
        <w:spacing w:after="160" w:before="360"/>
      </w:pPr>
      <w:r>
        <w:rPr>
          <w:rFonts w:ascii="Arial" w:cs="Arial" w:eastAsia="Arial" w:hAnsi="Arial"/>
          <w:b/>
          <w:bCs/>
          <w:color w:val="1B4F8A"/>
          <w:sz w:val="28"/>
          <w:szCs w:val="28"/>
        </w:rPr>
        <w:t xml:space="preserve">10. Reliability and Longevity: The Long-Horizon Infrastructure Argument</w:t>
      </w:r>
    </w:p>
    <w:p>
      <w:pPr>
        <w:spacing w:after="160" w:before="0" w:line="280"/>
        <w:jc w:val="both"/>
      </w:pPr>
      <w:r>
        <w:rPr>
          <w:rFonts w:ascii="Arial" w:cs="Arial" w:eastAsia="Arial" w:hAnsi="Arial"/>
          <w:sz w:val="22"/>
          <w:szCs w:val="22"/>
        </w:rPr>
        <w:t xml:space="preserve">Baseload power requires infrastructure that lasts. Utilities do not build power plants expecting to replace them every ten years. The MacTherm™ collector is designed for a 25-year service life with no moving parts in the collector itself. The absorber tube does not degrade. The double glazing does not wear out. BlueNanofluid™ does not degrade at operating temperature. The frame does not corrode prematurely when properly specified for the deployment environment.</w:t>
      </w:r>
    </w:p>
    <w:p>
      <w:pPr>
        <w:spacing w:after="160" w:before="0" w:line="280"/>
        <w:jc w:val="both"/>
      </w:pPr>
      <w:r>
        <w:rPr>
          <w:rFonts w:ascii="Arial" w:cs="Arial" w:eastAsia="Arial" w:hAnsi="Arial"/>
          <w:sz w:val="22"/>
          <w:szCs w:val="22"/>
        </w:rPr>
        <w:t xml:space="preserve">The organic Rankine cycle turbine has moving parts and will require maintenance, but ORC technology is mature with thousands of installations worldwide. Planned turbine maintenance is a manageable capital event, not a fundamental limitation of the technology.</w:t>
      </w:r>
    </w:p>
    <w:p>
      <w:pPr>
        <w:spacing w:after="160" w:before="0" w:line="280"/>
        <w:jc w:val="both"/>
      </w:pPr>
      <w:r>
        <w:rPr>
          <w:rFonts w:ascii="Arial" w:cs="Arial" w:eastAsia="Arial" w:hAnsi="Arial"/>
          <w:sz w:val="22"/>
          <w:szCs w:val="22"/>
        </w:rPr>
        <w:t xml:space="preserve">Compare this to solar PV, where panels degrade progressively over their rated lifespan, meaning an older array produces meaningfully less than its original rated output. Compare it to batteries, which have a 10-to-15-year design life and degrade significantly over that period. Compare it to wind turbines, which require major component replacements — gearbox, blades, generator — during their design life.</w:t>
      </w:r>
    </w:p>
    <w:p>
      <w:pPr>
        <w:spacing w:after="160" w:before="0" w:line="280"/>
        <w:jc w:val="both"/>
      </w:pPr>
      <w:r>
        <w:rPr>
          <w:rFonts w:ascii="Arial" w:cs="Arial" w:eastAsia="Arial" w:hAnsi="Arial"/>
          <w:sz w:val="22"/>
          <w:szCs w:val="22"/>
        </w:rPr>
        <w:t xml:space="preserve">For an investor or utility seeking baseload capacity, longevity matters. A MacTherm™ installation built today will still be producing at near-original capacity in 2050. The same cannot be said for wind or PV-battery systems without substantial reinvestment.</w:t>
      </w:r>
    </w:p>
    <w:p>
      <w:pPr>
        <w:pStyle w:val="Heading1"/>
        <w:spacing w:after="160" w:before="360"/>
      </w:pPr>
      <w:r>
        <w:rPr>
          <w:rFonts w:ascii="Arial" w:cs="Arial" w:eastAsia="Arial" w:hAnsi="Arial"/>
          <w:b/>
          <w:bCs/>
          <w:color w:val="1B4F8A"/>
          <w:sz w:val="28"/>
          <w:szCs w:val="28"/>
        </w:rPr>
        <w:t xml:space="preserve">11. Grid Integration: Augmenting Existing Baseload</w:t>
      </w:r>
    </w:p>
    <w:p>
      <w:pPr>
        <w:spacing w:after="160" w:before="0" w:line="280"/>
        <w:jc w:val="both"/>
      </w:pPr>
      <w:r>
        <w:rPr>
          <w:rFonts w:ascii="Arial" w:cs="Arial" w:eastAsia="Arial" w:hAnsi="Arial"/>
          <w:sz w:val="22"/>
          <w:szCs w:val="22"/>
        </w:rPr>
        <w:t xml:space="preserve">MacTherm™-ORC is not exclusively a standalone solution. It can be integrated with existing baseload plants in configurations that reduce fuel consumption and emissions without requiring those plants to cycle inefficiently.</w:t>
      </w:r>
    </w:p>
    <w:p>
      <w:pPr>
        <w:spacing w:after="160" w:before="0" w:line="280"/>
        <w:jc w:val="both"/>
      </w:pPr>
      <w:r>
        <w:rPr>
          <w:rFonts w:ascii="Arial" w:cs="Arial" w:eastAsia="Arial" w:hAnsi="Arial"/>
          <w:sz w:val="22"/>
          <w:szCs w:val="22"/>
        </w:rPr>
        <w:t xml:space="preserve">In a solar pre-heat configuration, MacTherm™ arrays pre-heat feedwater entering a coal or gas boiler. The boiler then requires less fuel to reach operating temperature, reducing fuel consumption without modifying the boiler itself. The baseload plant continues to run at its optimal steady state; the MacTherm™ system provides the variable portion of the thermal input.</w:t>
      </w:r>
    </w:p>
    <w:p>
      <w:pPr>
        <w:spacing w:after="160" w:before="0" w:line="280"/>
        <w:jc w:val="both"/>
      </w:pPr>
      <w:r>
        <w:rPr>
          <w:rFonts w:ascii="Arial" w:cs="Arial" w:eastAsia="Arial" w:hAnsi="Arial"/>
          <w:sz w:val="22"/>
          <w:szCs w:val="22"/>
        </w:rPr>
        <w:t xml:space="preserve">In a parallel operation configuration, MacTherm™-ORC runs alongside a baseload plant, providing dispatchable renewable energy that can be called upon when needed. The baseload plant does not need to ramp down during midday solar peaks and ramp up again in the evening — the duck-curve problem that plagues grids with high PV penetration. Instead, the MacTherm™ system with thermal storage shifts its output to match demand, while the baseload plant runs at constant, efficient output.</w:t>
      </w:r>
    </w:p>
    <w:p>
      <w:pPr>
        <w:spacing w:after="160" w:before="0" w:line="280"/>
        <w:jc w:val="both"/>
      </w:pPr>
      <w:r>
        <w:rPr>
          <w:rFonts w:ascii="Arial" w:cs="Arial" w:eastAsia="Arial" w:hAnsi="Arial"/>
          <w:sz w:val="22"/>
          <w:szCs w:val="22"/>
        </w:rPr>
        <w:t xml:space="preserve">This is fundamentally the opposite of the PV integration model. PV forces baseload plants to cycle, reducing their efficiency and increasing their wear. MacTherm™-ORC allows baseload plants to run at steady state while solar provides the variable portion of the load. This is integration as augmentation, not disruption.</w:t>
      </w:r>
    </w:p>
    <w:p>
      <w:pPr>
        <w:pStyle w:val="Heading1"/>
        <w:spacing w:after="160" w:before="360"/>
      </w:pPr>
      <w:r>
        <w:rPr>
          <w:rFonts w:ascii="Arial" w:cs="Arial" w:eastAsia="Arial" w:hAnsi="Arial"/>
          <w:b/>
          <w:bCs/>
          <w:color w:val="1B4F8A"/>
          <w:sz w:val="28"/>
          <w:szCs w:val="28"/>
        </w:rPr>
        <w:t xml:space="preserve">12. Conclusion</w:t>
      </w:r>
    </w:p>
    <w:p>
      <w:pPr>
        <w:spacing w:after="160" w:before="0" w:line="280"/>
        <w:jc w:val="both"/>
      </w:pPr>
      <w:r>
        <w:rPr>
          <w:rFonts w:ascii="Arial" w:cs="Arial" w:eastAsia="Arial" w:hAnsi="Arial"/>
          <w:sz w:val="22"/>
          <w:szCs w:val="22"/>
        </w:rPr>
        <w:t xml:space="preserve">The global energy transition has been dominated for two decades by wind and solar PV. This dominance has produced real reductions in emissions and real growth in renewable generation. But it has also produced a dangerous assumption: that wind and PV can serve as the backbone of a reliable grid. They cannot. Their intermittency, lack of inertia, and prohibitive storage costs at high penetration are physical constraints that no amount of policy ambition can override. The 2025 Iberian blackout was a demonstration of what happens when grids become overly dependent on inverter-based resources.</w:t>
      </w:r>
    </w:p>
    <w:p>
      <w:pPr>
        <w:spacing w:after="160" w:before="0" w:line="280"/>
        <w:jc w:val="both"/>
      </w:pPr>
      <w:r>
        <w:rPr>
          <w:rFonts w:ascii="Arial" w:cs="Arial" w:eastAsia="Arial" w:hAnsi="Arial"/>
          <w:sz w:val="22"/>
          <w:szCs w:val="22"/>
        </w:rPr>
        <w:t xml:space="preserve">MacTherm™ solar thermal with BlueNanofluid™ offers a different path. By storing solar energy as heat rather than converting it immediately to electricity, and by driving a synchronous ORC turbine rather than a grid-following inverter, the platform achieves what wind and PV cannot:</w:t>
      </w:r>
    </w:p>
    <w:p>
      <w:pPr>
        <w:pStyle w:val="ListParagraph"/>
        <w:numPr>
          <w:ilvl w:val="0"/>
          <w:numId w:val="2"/>
        </w:numPr>
        <w:spacing w:after="60" w:before="60" w:line="280"/>
      </w:pPr>
      <w:r>
        <w:rPr>
          <w:rFonts w:ascii="Arial" w:cs="Arial" w:eastAsia="Arial" w:hAnsi="Arial"/>
          <w:sz w:val="22"/>
          <w:szCs w:val="22"/>
        </w:rPr>
        <w:t xml:space="preserve">Dispatchable generation capability, enabled by economical thermal energy storage that is substantially more cost-effective than battery storage on an energy capacity basis.</w:t>
      </w:r>
    </w:p>
    <w:p>
      <w:pPr>
        <w:pStyle w:val="ListParagraph"/>
        <w:numPr>
          <w:ilvl w:val="0"/>
          <w:numId w:val="2"/>
        </w:numPr>
        <w:spacing w:after="60" w:before="60" w:line="280"/>
      </w:pPr>
      <w:r>
        <w:rPr>
          <w:rFonts w:ascii="Arial" w:cs="Arial" w:eastAsia="Arial" w:hAnsi="Arial"/>
          <w:sz w:val="22"/>
          <w:szCs w:val="22"/>
        </w:rPr>
        <w:t xml:space="preserve">Grid inertia contribution through synchronous organic Rankine cycle generators.</w:t>
      </w:r>
    </w:p>
    <w:p>
      <w:pPr>
        <w:pStyle w:val="ListParagraph"/>
        <w:numPr>
          <w:ilvl w:val="0"/>
          <w:numId w:val="2"/>
        </w:numPr>
        <w:spacing w:after="60" w:before="60" w:line="280"/>
      </w:pPr>
      <w:r>
        <w:rPr>
          <w:rFonts w:ascii="Arial" w:cs="Arial" w:eastAsia="Arial" w:hAnsi="Arial"/>
          <w:sz w:val="22"/>
          <w:szCs w:val="22"/>
        </w:rPr>
        <w:t xml:space="preserve">Modular scalability from small-scale off-grid installations to multi-megawatt grid-connected plants, without redesign.</w:t>
      </w:r>
    </w:p>
    <w:p>
      <w:pPr>
        <w:pStyle w:val="ListParagraph"/>
        <w:numPr>
          <w:ilvl w:val="0"/>
          <w:numId w:val="2"/>
        </w:numPr>
        <w:spacing w:after="60" w:before="60" w:line="280"/>
      </w:pPr>
      <w:r>
        <w:rPr>
          <w:rFonts w:ascii="Arial" w:cs="Arial" w:eastAsia="Arial" w:hAnsi="Arial"/>
          <w:sz w:val="22"/>
          <w:szCs w:val="22"/>
        </w:rPr>
        <w:t xml:space="preserve">Co-generation of heat, electricity, and desalinated water from a single platform.</w:t>
      </w:r>
    </w:p>
    <w:p>
      <w:pPr>
        <w:pStyle w:val="ListParagraph"/>
        <w:numPr>
          <w:ilvl w:val="0"/>
          <w:numId w:val="2"/>
        </w:numPr>
        <w:spacing w:after="60" w:before="60" w:line="280"/>
      </w:pPr>
      <w:r>
        <w:rPr>
          <w:rFonts w:ascii="Arial" w:cs="Arial" w:eastAsia="Arial" w:hAnsi="Arial"/>
          <w:sz w:val="22"/>
          <w:szCs w:val="22"/>
        </w:rPr>
        <w:t xml:space="preserve">Economic viability without subsidy dependence, particularly compelling in remote and island applications.</w:t>
      </w:r>
    </w:p>
    <w:p>
      <w:pPr>
        <w:pStyle w:val="ListParagraph"/>
        <w:numPr>
          <w:ilvl w:val="0"/>
          <w:numId w:val="2"/>
        </w:numPr>
        <w:spacing w:after="60" w:before="60" w:line="280"/>
      </w:pPr>
      <w:r>
        <w:rPr>
          <w:rFonts w:ascii="Arial" w:cs="Arial" w:eastAsia="Arial" w:hAnsi="Arial"/>
          <w:sz w:val="22"/>
          <w:szCs w:val="22"/>
        </w:rPr>
        <w:t xml:space="preserve">A 25-year design life with minimal performance degradation.</w:t>
      </w:r>
    </w:p>
    <w:p>
      <w:pPr>
        <w:spacing w:after="120" w:before="0"/>
      </w:pPr>
      <w:r>
        <w:t xml:space="preserve"/>
      </w:r>
    </w:p>
    <w:p>
      <w:pPr>
        <w:spacing w:after="160" w:before="0" w:line="280"/>
        <w:jc w:val="both"/>
      </w:pPr>
      <w:r>
        <w:rPr>
          <w:rFonts w:ascii="Arial" w:cs="Arial" w:eastAsia="Arial" w:hAnsi="Arial"/>
          <w:sz w:val="22"/>
          <w:szCs w:val="22"/>
        </w:rPr>
        <w:t xml:space="preserve">The question is not whether the world needs baseload renewable power. It does. The question is whether the energy community will recognize that wind and PV, despite their merits as complementary resources, cannot fill that role. The technology that can fill it already exists. It is ready. It is reliable.</w:t>
      </w:r>
    </w:p>
    <w:p>
      <w:pPr>
        <w:spacing w:after="160" w:before="0" w:line="280"/>
        <w:jc w:val="both"/>
      </w:pPr>
      <w:r>
        <w:rPr>
          <w:rFonts w:ascii="Arial" w:cs="Arial" w:eastAsia="Arial" w:hAnsi="Arial"/>
          <w:sz w:val="22"/>
          <w:szCs w:val="22"/>
        </w:rPr>
        <w:t xml:space="preserve">MacTherm™ is that technology. BlueNanofluid™ is the breakthrough that makes it possible.</w:t>
      </w:r>
    </w:p>
    <w:p>
      <w:pPr>
        <w:pStyle w:val="Heading1"/>
        <w:spacing w:after="160" w:before="360"/>
      </w:pPr>
      <w:r>
        <w:rPr>
          <w:rFonts w:ascii="Arial" w:cs="Arial" w:eastAsia="Arial" w:hAnsi="Arial"/>
          <w:b/>
          <w:bCs/>
          <w:color w:val="1B4F8A"/>
          <w:sz w:val="28"/>
          <w:szCs w:val="28"/>
        </w:rPr>
        <w:t xml:space="preserve">References</w:t>
      </w:r>
    </w:p>
    <w:p>
      <w:pPr>
        <w:spacing w:after="160" w:before="0" w:line="280"/>
        <w:jc w:val="both"/>
      </w:pPr>
      <w:r>
        <w:rPr>
          <w:rFonts w:ascii="Arial" w:cs="Arial" w:eastAsia="Arial" w:hAnsi="Arial"/>
          <w:sz w:val="22"/>
          <w:szCs w:val="22"/>
        </w:rPr>
        <w:t xml:space="preserve">Acar, C., &amp; Dincer, I. (2014). Comparative assessment of hydrogen production methods from renewable and non-renewable sources. International Journal of Hydrogen Energy, 39(1), 1-12.</w:t>
      </w:r>
    </w:p>
    <w:p>
      <w:pPr>
        <w:spacing w:after="160" w:before="0" w:line="280"/>
        <w:jc w:val="both"/>
      </w:pPr>
      <w:r>
        <w:rPr>
          <w:rFonts w:ascii="Arial" w:cs="Arial" w:eastAsia="Arial" w:hAnsi="Arial"/>
          <w:sz w:val="22"/>
          <w:szCs w:val="22"/>
        </w:rPr>
        <w:t xml:space="preserve">Al-Karaghouli, A., &amp; Kazmerski, L.L. (2013). Energy consumption and water production cost of conventional and renewable-energy-powered desalination processes. Renewable and Sustainable Energy Reviews, 24, 343-356.</w:t>
      </w:r>
    </w:p>
    <w:p>
      <w:pPr>
        <w:spacing w:after="160" w:before="0" w:line="280"/>
        <w:jc w:val="both"/>
      </w:pPr>
      <w:r>
        <w:rPr>
          <w:rFonts w:ascii="Arial" w:cs="Arial" w:eastAsia="Arial" w:hAnsi="Arial"/>
          <w:sz w:val="22"/>
          <w:szCs w:val="22"/>
        </w:rPr>
        <w:t xml:space="preserve">CAISO (California Independent System Operator). (2016). What the duck curve tells us about managing a green grid.</w:t>
      </w:r>
    </w:p>
    <w:p>
      <w:pPr>
        <w:spacing w:after="160" w:before="0" w:line="280"/>
        <w:jc w:val="both"/>
      </w:pPr>
      <w:r>
        <w:rPr>
          <w:rFonts w:ascii="Arial" w:cs="Arial" w:eastAsia="Arial" w:hAnsi="Arial"/>
          <w:sz w:val="22"/>
          <w:szCs w:val="22"/>
        </w:rPr>
        <w:t xml:space="preserve">Choi, S.U.S., &amp; Eastman, J.A. (1995). Enhancing thermal conductivity of fluids with nanoparticles. ASME International Mechanical Engineering Congress &amp; Exposition.</w:t>
      </w:r>
    </w:p>
    <w:p>
      <w:pPr>
        <w:spacing w:after="160" w:before="0" w:line="280"/>
        <w:jc w:val="both"/>
      </w:pPr>
      <w:r>
        <w:rPr>
          <w:rFonts w:ascii="Arial" w:cs="Arial" w:eastAsia="Arial" w:hAnsi="Arial"/>
          <w:sz w:val="22"/>
          <w:szCs w:val="22"/>
        </w:rPr>
        <w:t xml:space="preserve">Denholm, P., et al. (2019). The potential for thermal storage to reduce the cost of integrating renewable energy. NREL Technical Report.</w:t>
      </w:r>
    </w:p>
    <w:p>
      <w:pPr>
        <w:spacing w:after="160" w:before="0" w:line="280"/>
        <w:jc w:val="both"/>
      </w:pPr>
      <w:r>
        <w:rPr>
          <w:rFonts w:ascii="Arial" w:cs="Arial" w:eastAsia="Arial" w:hAnsi="Arial"/>
          <w:sz w:val="22"/>
          <w:szCs w:val="22"/>
        </w:rPr>
        <w:t xml:space="preserve">Gil, A., et al. (2010). State of the art on high temperature thermal energy storage for power generation. Renewable and Sustainable Energy Reviews, 14(1), 31-55.</w:t>
      </w:r>
    </w:p>
    <w:p>
      <w:pPr>
        <w:spacing w:after="160" w:before="0" w:line="280"/>
        <w:jc w:val="both"/>
      </w:pPr>
      <w:r>
        <w:rPr>
          <w:rFonts w:ascii="Arial" w:cs="Arial" w:eastAsia="Arial" w:hAnsi="Arial"/>
          <w:sz w:val="22"/>
          <w:szCs w:val="22"/>
        </w:rPr>
        <w:t xml:space="preserve">IRENA (International Renewable Energy Agency). (2016). Solar hybrid systems for power generation.</w:t>
      </w:r>
    </w:p>
    <w:p>
      <w:pPr>
        <w:spacing w:after="160" w:before="0" w:line="280"/>
        <w:jc w:val="both"/>
      </w:pPr>
      <w:r>
        <w:rPr>
          <w:rFonts w:ascii="Arial" w:cs="Arial" w:eastAsia="Arial" w:hAnsi="Arial"/>
          <w:sz w:val="22"/>
          <w:szCs w:val="22"/>
        </w:rPr>
        <w:t xml:space="preserve">IRENA. (2020). Innovation outlook: Thermal energy storage.</w:t>
      </w:r>
    </w:p>
    <w:p>
      <w:pPr>
        <w:spacing w:after="160" w:before="0" w:line="280"/>
        <w:jc w:val="both"/>
      </w:pPr>
      <w:r>
        <w:rPr>
          <w:rFonts w:ascii="Arial" w:cs="Arial" w:eastAsia="Arial" w:hAnsi="Arial"/>
          <w:sz w:val="22"/>
          <w:szCs w:val="22"/>
        </w:rPr>
        <w:t xml:space="preserve">Kuravi, S., et al. (2013). Thermal energy storage technologies and systems for concentrating solar power plants. Progress in Energy and Combustion Science, 39(4), 285-319.</w:t>
      </w:r>
    </w:p>
    <w:p>
      <w:pPr>
        <w:spacing w:after="160" w:before="0" w:line="280"/>
        <w:jc w:val="both"/>
      </w:pPr>
      <w:r>
        <w:rPr>
          <w:rFonts w:ascii="Arial" w:cs="Arial" w:eastAsia="Arial" w:hAnsi="Arial"/>
          <w:sz w:val="22"/>
          <w:szCs w:val="22"/>
        </w:rPr>
        <w:t xml:space="preserve">Lecompte, S., et al. (2015). Review of organic Rankine cycle (ORC) architectures for waste heat recovery. Renewable and Sustainable Energy Reviews, 47, 448-461.</w:t>
      </w:r>
    </w:p>
    <w:p>
      <w:pPr>
        <w:spacing w:after="160" w:before="0" w:line="280"/>
        <w:jc w:val="both"/>
      </w:pPr>
      <w:r>
        <w:rPr>
          <w:rFonts w:ascii="Arial" w:cs="Arial" w:eastAsia="Arial" w:hAnsi="Arial"/>
          <w:sz w:val="22"/>
          <w:szCs w:val="22"/>
        </w:rPr>
        <w:t xml:space="preserve">Lilliestam, J., et al. (2017). The value of concentrating solar power with thermal storage for grid stability. Energy Policy, 107, 542-552.</w:t>
      </w:r>
    </w:p>
    <w:p>
      <w:pPr>
        <w:spacing w:after="160" w:before="0" w:line="280"/>
        <w:jc w:val="both"/>
      </w:pPr>
      <w:r>
        <w:rPr>
          <w:rFonts w:ascii="Arial" w:cs="Arial" w:eastAsia="Arial" w:hAnsi="Arial"/>
          <w:sz w:val="22"/>
          <w:szCs w:val="22"/>
        </w:rPr>
        <w:t xml:space="preserve">Naterer, G.F., et al. (2011). Thermochemical hydrogen production with a copper-chlorine cycle: A review of the state of the art. International Journal of Hydrogen Energy, 36(24), 15808-15819.</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New Blue Solution LLC  |  newbluesolution.com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720" w:hanging="360"/>
      </w:pPr>
      <w:rPr>
        <w:rFonts w:ascii="Arial" w:cs="Arial" w:eastAsia="Arial" w:hAnsi="Arial"/>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B4F8A"/>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200"/>
      <w:outlineLvl w:val="2"/>
    </w:pPr>
    <w:rPr>
      <w:rFonts w:ascii="Arial" w:cs="Arial" w:eastAsia="Arial" w:hAnsi="Arial"/>
      <w:b/>
      <w:bCs/>
      <w:i/>
      <w:i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2026-04-26T19:01:22.162Z</dcterms:created>
  <dcterms:modified xsi:type="dcterms:W3CDTF">2026-04-26T19:01:22.163Z</dcterms:modified>
</cp:coreProperties>
</file>

<file path=docProps/custom.xml><?xml version="1.0" encoding="utf-8"?>
<Properties xmlns="http://schemas.openxmlformats.org/officeDocument/2006/custom-properties" xmlns:vt="http://schemas.openxmlformats.org/officeDocument/2006/docPropsVTypes"/>
</file>