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07B83" w:sz="12" w:space="4"/>
        </w:pBdr>
        <w:spacing w:after="60" w:before="0"/>
      </w:pPr>
      <w:r>
        <w:rPr>
          <w:rFonts w:ascii="Segoe UI Emoji" w:cs="Segoe UI Emoji" w:eastAsia="Segoe UI Emoji" w:hAnsi="Segoe UI Emoji"/>
          <w:sz w:val="32"/>
          <w:szCs w:val="32"/>
        </w:rPr>
        <w:t xml:space="preserve">💧 </w:t>
      </w:r>
      <w:r>
        <w:rPr>
          <w:rFonts w:ascii="Arial" w:cs="Arial" w:eastAsia="Arial" w:hAnsi="Arial"/>
          <w:b/>
          <w:bCs/>
          <w:color w:val="003366"/>
          <w:sz w:val="28"/>
          <w:szCs w:val="28"/>
        </w:rPr>
        <w:t xml:space="preserve">NEW BLUE SOLUTION LLC</w:t>
      </w:r>
      <w:r>
        <w:rPr>
          <w:rFonts w:ascii="Arial" w:cs="Arial" w:eastAsia="Arial" w:hAnsi="Arial"/>
          <w:color w:val="0070C0"/>
          <w:sz w:val="20"/>
          <w:szCs w:val="20"/>
        </w:rPr>
        <w:t xml:space="preserve">   |   newbluesolution.com   |   bluenanofluid.com</w:t>
      </w:r>
    </w:p>
    <w:p>
      <w:pPr>
        <w:spacing w:after="0" w:before="80"/>
      </w:pPr>
      <w:r>
        <w:t xml:space="preserve"/>
      </w:r>
    </w:p>
    <w:p>
      <w:pPr>
        <w:spacing w:after="40" w:before="140"/>
      </w:pPr>
      <w:r>
        <w:rPr>
          <w:rFonts w:ascii="Arial" w:cs="Arial" w:eastAsia="Arial" w:hAnsi="Arial"/>
          <w:b/>
          <w:bCs/>
          <w:color w:val="003366"/>
          <w:sz w:val="36"/>
          <w:szCs w:val="36"/>
        </w:rPr>
        <w:t xml:space="preserve">NBS Resort Energy, Water &amp; Independence System</w:t>
      </w:r>
    </w:p>
    <w:p>
      <w:pPr>
        <w:spacing w:after="160" w:before="0"/>
      </w:pPr>
      <w:r>
        <w:rPr>
          <w:rFonts w:ascii="Arial" w:cs="Arial" w:eastAsia="Arial" w:hAnsi="Arial"/>
          <w:i/>
          <w:iCs/>
          <w:color w:val="007B83"/>
          <w:sz w:val="20"/>
          <w:szCs w:val="20"/>
        </w:rPr>
        <w:t xml:space="preserve">Integrated Solar Thermal • ORC Power • Thermal Desalination • On-Site Bottled Water • Hydrogen Storage • Pool Independence
For Caribbean Resorts — Powered by MacTherm™ and BlueNanofluid™</w:t>
      </w:r>
    </w:p>
    <w:p>
      <w:pPr>
        <w:pBdr>
          <w:bottom w:val="single" w:color="007B83" w:sz="8" w:space="2"/>
        </w:pBdr>
        <w:spacing w:after="80" w:before="200"/>
      </w:pPr>
      <w:r>
        <w:rPr>
          <w:rFonts w:ascii="Arial" w:cs="Arial" w:eastAsia="Arial" w:hAnsi="Arial"/>
          <w:b/>
          <w:bCs/>
          <w:color w:val="003366"/>
          <w:sz w:val="26"/>
          <w:szCs w:val="26"/>
        </w:rPr>
        <w:t xml:space="preserve">1.  The Caribbean Energy Problem — Cost, Vulnerability &amp; Water</w:t>
      </w:r>
    </w:p>
    <w:p>
      <w:pPr>
        <w:spacing w:after="60" w:before="40"/>
      </w:pPr>
      <w:r>
        <w:rPr>
          <w:rFonts w:ascii="Arial" w:cs="Arial" w:eastAsia="Arial" w:hAnsi="Arial"/>
          <w:color w:val="1A1A2E"/>
          <w:sz w:val="19"/>
          <w:szCs w:val="19"/>
        </w:rPr>
        <w:t xml:space="preserve">Caribbean resorts carry an energy and water burden that has no direct equivalent elsewhere in the hospitality world. Electricity across the region averages $0.35–$0.45 per kWh — three times the US mainland rate — because most islands generate power entirely from imported diesel. For a 120-room all-inclusive resort, the combined annual cost of electricity, fuel oil for hot water and cooking, trucked or metered fresh water, and bottled drinking water procurement typically runs to $2.0M–$2.5M per year. This is not a marginal operational cost; it is a structural drag on profitability that compounds with every fuel price movement.</w:t>
      </w:r>
    </w:p>
    <w:p>
      <w:pPr>
        <w:spacing w:after="60" w:before="40"/>
      </w:pPr>
      <w:r>
        <w:rPr>
          <w:rFonts w:ascii="Arial" w:cs="Arial" w:eastAsia="Arial" w:hAnsi="Arial"/>
          <w:color w:val="1A1A2E"/>
          <w:sz w:val="19"/>
          <w:szCs w:val="19"/>
        </w:rPr>
        <w:t xml:space="preserve">Three further pressures are accelerating the case for change. Hurricane seasons have repeatedly demonstrated that grid-dependent and water-trucking-dependent resorts are among the most operationally fragile properties in the world. ESG expectations from institutional investors and premium travel platforms are creating real commercial differentiation between sustainable and non-sustainable properties. And freshwater security — often treated as an afterthought until a drought, storm, or logistics failure disrupts supply — adds a chronic and underappreciated cost that the NBS system eliminates.</w:t>
      </w:r>
    </w:p>
    <w:p>
      <w:pPr>
        <w:spacing w:after="60" w:before="40"/>
      </w:pPr>
      <w:r>
        <w:rPr>
          <w:rFonts w:ascii="Arial" w:cs="Arial" w:eastAsia="Arial" w:hAnsi="Arial"/>
          <w:color w:val="1A1A2E"/>
          <w:sz w:val="19"/>
          <w:szCs w:val="19"/>
        </w:rPr>
        <w:t xml:space="preserve">The NBS Resort System does not partially address these problems. It resolves all of them within a single integrated architecture built around the MacTherm™ solar thermal collector, BlueNanofluid™ heat transfer fluid, and an ORC power block whose waste heat — previously discarded through a cooling tower — now drives a Multi-Effect Distillation (MED) desalination unit. That unit produces the resort’s on-site bottled drinking water, tops up both swimming pools, and covers all back-of-house water needs, at zero additional fuel cost and zero additional collector area.</w:t>
      </w:r>
    </w:p>
    <w:p>
      <w:pPr>
        <w:pBdr>
          <w:bottom w:val="single" w:color="007B83" w:sz="8" w:space="2"/>
        </w:pBdr>
        <w:spacing w:after="80" w:before="200"/>
      </w:pPr>
      <w:r>
        <w:rPr>
          <w:rFonts w:ascii="Arial" w:cs="Arial" w:eastAsia="Arial" w:hAnsi="Arial"/>
          <w:b/>
          <w:bCs/>
          <w:color w:val="003366"/>
          <w:sz w:val="26"/>
          <w:szCs w:val="26"/>
        </w:rPr>
        <w:t xml:space="preserve">2.  The Thermal-First Insight — Where the Money Actually Goes</w:t>
      </w:r>
    </w:p>
    <w:p>
      <w:pPr>
        <w:spacing w:after="60" w:before="40"/>
      </w:pPr>
      <w:r>
        <w:rPr>
          <w:rFonts w:ascii="Arial" w:cs="Arial" w:eastAsia="Arial" w:hAnsi="Arial"/>
          <w:color w:val="1A1A2E"/>
          <w:sz w:val="19"/>
          <w:szCs w:val="19"/>
        </w:rPr>
        <w:t xml:space="preserve">Most energy conversations in hospitality default to solar PV panels and grid electricity. This framing misses the dominant cost driver. When the full energy and water balance of a Caribbean resort is examined, thermal energy — heat for hot water, pools, kitchens, laundry, and desalination — accounts for 60–70% of total energy expenditure. And it is thermal energy that MacTherm™ delivers at temperatures that simultaneously drive heating, electricity generation, and desalination.</w:t>
      </w:r>
    </w:p>
    <w:p>
      <w:pPr>
        <w:spacing w:after="60" w:before="40"/>
      </w:pPr>
      <w:r>
        <w:rPr>
          <w:rFonts w:ascii="Arial" w:cs="Arial" w:eastAsia="Arial" w:hAnsi="Arial"/>
          <w:color w:val="1A1A2E"/>
          <w:sz w:val="19"/>
          <w:szCs w:val="19"/>
        </w:rPr>
        <w:t xml:space="preserve">The table below maps the full load profile of a 120-room all-inclusive resort against the NBS solution stack. MED-related rows are highlighted — these are delivered by ORC exhaust heat that was previously wasted, at zero additional collector cost.</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820"/>
        <w:gridCol w:w="2500"/>
        <w:gridCol w:w="1500"/>
        <w:gridCol w:w="1940"/>
      </w:tblGrid>
      <w:tr>
        <w:trPr>
          <w:tblHeader/>
        </w:trPr>
        <w:tc>
          <w:tcPr>
            <w:tcW w:type="dxa" w:w="26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Load Category</w:t>
            </w:r>
          </w:p>
        </w:tc>
        <w:tc>
          <w:tcPr>
            <w:tcW w:type="dxa" w:w="82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kWh/day</w:t>
            </w:r>
          </w:p>
        </w:tc>
        <w:tc>
          <w:tcPr>
            <w:tcW w:type="dxa" w:w="2500"/>
            <w:tcBorders>
              <w:top w:val="single" w:color="A8D8DB" w:sz="4"/>
              <w:left w:val="single" w:color="A8D8DB" w:sz="4"/>
              <w:bottom w:val="single" w:color="A8D8DB" w:sz="4"/>
              <w:right w:val="single" w:color="A8D8DB" w:sz="4"/>
            </w:tcBorders>
            <w:shd w:fill="007B83"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NBS Solution</w:t>
            </w:r>
          </w:p>
        </w:tc>
        <w:tc>
          <w:tcPr>
            <w:tcW w:type="dxa" w:w="1500"/>
            <w:tcBorders>
              <w:top w:val="single" w:color="A8D8DB" w:sz="4"/>
              <w:left w:val="single" w:color="A8D8DB" w:sz="4"/>
              <w:bottom w:val="single" w:color="A8D8DB" w:sz="4"/>
              <w:right w:val="single" w:color="A8D8DB" w:sz="4"/>
            </w:tcBorders>
            <w:shd w:fill="1A7A4A"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Coverage</w:t>
            </w:r>
          </w:p>
        </w:tc>
        <w:tc>
          <w:tcPr>
            <w:tcW w:type="dxa" w:w="194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Energy Source</w:t>
            </w:r>
          </w:p>
        </w:tc>
      </w:tr>
      <w:tr>
        <w:tc>
          <w:tcPr>
            <w:tcW w:type="dxa" w:w="2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Guest room hot water (120 rooms, 300+ guests)</w:t>
            </w:r>
          </w:p>
        </w:tc>
        <w:tc>
          <w:tcPr>
            <w:tcW w:type="dxa" w:w="8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450</w:t>
            </w:r>
          </w:p>
        </w:tc>
        <w:tc>
          <w:tcPr>
            <w:tcW w:type="dxa" w:w="25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Mid-temp MacTherm™ array + ORC exhaust pre-heat</w:t>
            </w:r>
          </w:p>
        </w:tc>
        <w:tc>
          <w:tcPr>
            <w:tcW w:type="dxa" w:w="1500"/>
            <w:tcBorders>
              <w:top w:val="single" w:color="A8D8DB" w:sz="4"/>
              <w:left w:val="single" w:color="A8D8DB" w:sz="4"/>
              <w:bottom w:val="single" w:color="A8D8DB" w:sz="4"/>
              <w:right w:val="single" w:color="A8D8DB" w:sz="4"/>
            </w:tcBorders>
            <w:shd w:fill="D6F0E4"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100%</w:t>
            </w:r>
          </w:p>
        </w:tc>
        <w:tc>
          <w:tcPr>
            <w:tcW w:type="dxa" w:w="19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Solar thermal 80–120°C</w:t>
            </w:r>
          </w:p>
        </w:tc>
      </w:tr>
      <w:tr>
        <w:tc>
          <w:tcPr>
            <w:tcW w:type="dxa" w:w="2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Laundry &amp; housekeeping</w:t>
            </w:r>
          </w:p>
        </w:tc>
        <w:tc>
          <w:tcPr>
            <w:tcW w:type="dxa" w:w="8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285</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Mid-temp MacTherm™ array</w:t>
            </w:r>
          </w:p>
        </w:tc>
        <w:tc>
          <w:tcPr>
            <w:tcW w:type="dxa" w:w="1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100%</w:t>
            </w:r>
          </w:p>
        </w:tc>
        <w:tc>
          <w:tcPr>
            <w:tcW w:type="dxa" w:w="19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Solar thermal 80–120°C</w:t>
            </w:r>
          </w:p>
        </w:tc>
      </w:tr>
      <w:tr>
        <w:tc>
          <w:tcPr>
            <w:tcW w:type="dxa" w:w="2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Kitchen process heat, cooking &amp; dishwashing</w:t>
            </w:r>
          </w:p>
        </w:tc>
        <w:tc>
          <w:tcPr>
            <w:tcW w:type="dxa" w:w="8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500</w:t>
            </w:r>
          </w:p>
        </w:tc>
        <w:tc>
          <w:tcPr>
            <w:tcW w:type="dxa" w:w="25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Mid-temp MacTherm™ array</w:t>
            </w:r>
          </w:p>
        </w:tc>
        <w:tc>
          <w:tcPr>
            <w:tcW w:type="dxa" w:w="1500"/>
            <w:tcBorders>
              <w:top w:val="single" w:color="A8D8DB" w:sz="4"/>
              <w:left w:val="single" w:color="A8D8DB" w:sz="4"/>
              <w:bottom w:val="single" w:color="A8D8DB" w:sz="4"/>
              <w:right w:val="single" w:color="A8D8DB" w:sz="4"/>
            </w:tcBorders>
            <w:shd w:fill="D6F0E4"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100%</w:t>
            </w:r>
          </w:p>
        </w:tc>
        <w:tc>
          <w:tcPr>
            <w:tcW w:type="dxa" w:w="19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Solar thermal 80–120°C</w:t>
            </w:r>
          </w:p>
        </w:tc>
      </w:tr>
      <w:tr>
        <w:tc>
          <w:tcPr>
            <w:tcW w:type="dxa" w:w="2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Swimming pool heating &amp; make-up water</w:t>
            </w:r>
          </w:p>
        </w:tc>
        <w:tc>
          <w:tcPr>
            <w:tcW w:type="dxa" w:w="8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300</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exhaust heat + MED distillate pool top-up</w:t>
            </w:r>
          </w:p>
        </w:tc>
        <w:tc>
          <w:tcPr>
            <w:tcW w:type="dxa" w:w="1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100%</w:t>
            </w:r>
          </w:p>
        </w:tc>
        <w:tc>
          <w:tcPr>
            <w:tcW w:type="dxa" w:w="19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exhaust 85–110°C</w:t>
            </w:r>
          </w:p>
        </w:tc>
      </w:tr>
      <w:tr>
        <w:tc>
          <w:tcPr>
            <w:tcW w:type="dxa" w:w="26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Seawater desalination (MED — see note¹)</w:t>
            </w:r>
          </w:p>
        </w:tc>
        <w:tc>
          <w:tcPr>
            <w:tcW w:type="dxa" w:w="82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right"/>
            </w:pPr>
            <w:r>
              <w:rPr>
                <w:rFonts w:ascii="Arial" w:cs="Arial" w:eastAsia="Arial" w:hAnsi="Arial"/>
                <w:b/>
                <w:bCs/>
                <w:color w:val="C8962A"/>
                <w:sz w:val="17"/>
                <w:szCs w:val="17"/>
              </w:rPr>
              <w:t xml:space="preserve">37</w:t>
            </w:r>
          </w:p>
        </w:tc>
        <w:tc>
          <w:tcPr>
            <w:tcW w:type="dxa" w:w="25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ORC exhaust cascade → 6-effect MED (25 m³/day)</w:t>
            </w:r>
          </w:p>
        </w:tc>
        <w:tc>
          <w:tcPr>
            <w:tcW w:type="dxa" w:w="15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100%</w:t>
            </w:r>
          </w:p>
        </w:tc>
        <w:tc>
          <w:tcPr>
            <w:tcW w:type="dxa" w:w="194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ORC exhaust — zero extra collectors</w:t>
            </w:r>
          </w:p>
        </w:tc>
      </w:tr>
      <w:tr>
        <w:tc>
          <w:tcPr>
            <w:tcW w:type="dxa" w:w="26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Bottled / drinking water production</w:t>
            </w:r>
          </w:p>
        </w:tc>
        <w:tc>
          <w:tcPr>
            <w:tcW w:type="dxa" w:w="82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right"/>
            </w:pPr>
            <w:r>
              <w:rPr>
                <w:rFonts w:ascii="Arial" w:cs="Arial" w:eastAsia="Arial" w:hAnsi="Arial"/>
                <w:b/>
                <w:bCs/>
                <w:color w:val="C8962A"/>
                <w:sz w:val="17"/>
                <w:szCs w:val="17"/>
              </w:rPr>
              <w:t xml:space="preserve">~0</w:t>
            </w:r>
          </w:p>
        </w:tc>
        <w:tc>
          <w:tcPr>
            <w:tcW w:type="dxa" w:w="25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MED distillate + remineralisation station</w:t>
            </w:r>
          </w:p>
        </w:tc>
        <w:tc>
          <w:tcPr>
            <w:tcW w:type="dxa" w:w="15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100%</w:t>
            </w:r>
          </w:p>
        </w:tc>
        <w:tc>
          <w:tcPr>
            <w:tcW w:type="dxa" w:w="194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By-product of MED; zero marginal cost</w:t>
            </w:r>
          </w:p>
        </w:tc>
      </w:tr>
      <w:tr>
        <w:tc>
          <w:tcPr>
            <w:tcW w:type="dxa" w:w="2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Bulk potable water (showers, WCs, general)</w:t>
            </w:r>
          </w:p>
        </w:tc>
        <w:tc>
          <w:tcPr>
            <w:tcW w:type="dxa" w:w="8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516</w:t>
            </w:r>
          </w:p>
        </w:tc>
        <w:tc>
          <w:tcPr>
            <w:tcW w:type="dxa" w:w="25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electrical → RO membranes (174 m³/day balance)</w:t>
            </w:r>
          </w:p>
        </w:tc>
        <w:tc>
          <w:tcPr>
            <w:tcW w:type="dxa" w:w="1500"/>
            <w:tcBorders>
              <w:top w:val="single" w:color="A8D8DB" w:sz="4"/>
              <w:left w:val="single" w:color="A8D8DB" w:sz="4"/>
              <w:bottom w:val="single" w:color="A8D8DB" w:sz="4"/>
              <w:right w:val="single" w:color="A8D8DB" w:sz="4"/>
            </w:tcBorders>
            <w:shd w:fill="D6F0E4"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~68%²</w:t>
            </w:r>
          </w:p>
        </w:tc>
        <w:tc>
          <w:tcPr>
            <w:tcW w:type="dxa" w:w="19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electrical + municipal supplement</w:t>
            </w:r>
          </w:p>
        </w:tc>
      </w:tr>
      <w:tr>
        <w:tc>
          <w:tcPr>
            <w:tcW w:type="dxa" w:w="2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Air conditioning (rooms, restaurant, common)</w:t>
            </w:r>
          </w:p>
        </w:tc>
        <w:tc>
          <w:tcPr>
            <w:tcW w:type="dxa" w:w="8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6,500</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electrical → electric chillers (COP 3.5)</w:t>
            </w:r>
          </w:p>
        </w:tc>
        <w:tc>
          <w:tcPr>
            <w:tcW w:type="dxa" w:w="1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~35–50%</w:t>
            </w:r>
          </w:p>
        </w:tc>
        <w:tc>
          <w:tcPr>
            <w:tcW w:type="dxa" w:w="19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electrical</w:t>
            </w:r>
          </w:p>
        </w:tc>
      </w:tr>
      <w:tr>
        <w:tc>
          <w:tcPr>
            <w:tcW w:type="dxa" w:w="2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Lighting, pumps, lifts, AV &amp; entertainment</w:t>
            </w:r>
          </w:p>
        </w:tc>
        <w:tc>
          <w:tcPr>
            <w:tcW w:type="dxa" w:w="8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1,800</w:t>
            </w:r>
          </w:p>
        </w:tc>
        <w:tc>
          <w:tcPr>
            <w:tcW w:type="dxa" w:w="25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electrical output</w:t>
            </w:r>
          </w:p>
        </w:tc>
        <w:tc>
          <w:tcPr>
            <w:tcW w:type="dxa" w:w="1500"/>
            <w:tcBorders>
              <w:top w:val="single" w:color="A8D8DB" w:sz="4"/>
              <w:left w:val="single" w:color="A8D8DB" w:sz="4"/>
              <w:bottom w:val="single" w:color="A8D8DB" w:sz="4"/>
              <w:right w:val="single" w:color="A8D8DB" w:sz="4"/>
            </w:tcBorders>
            <w:shd w:fill="D6F0E4"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~35%</w:t>
            </w:r>
          </w:p>
        </w:tc>
        <w:tc>
          <w:tcPr>
            <w:tcW w:type="dxa" w:w="19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electrical</w:t>
            </w:r>
          </w:p>
        </w:tc>
      </w:tr>
      <w:tr>
        <w:tc>
          <w:tcPr>
            <w:tcW w:type="dxa" w:w="2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Kitchen refrigeration &amp; cold storage</w:t>
            </w:r>
          </w:p>
        </w:tc>
        <w:tc>
          <w:tcPr>
            <w:tcW w:type="dxa" w:w="8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900</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electrical output</w:t>
            </w:r>
          </w:p>
        </w:tc>
        <w:tc>
          <w:tcPr>
            <w:tcW w:type="dxa" w:w="1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~35%</w:t>
            </w:r>
          </w:p>
        </w:tc>
        <w:tc>
          <w:tcPr>
            <w:tcW w:type="dxa" w:w="19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electrical</w:t>
            </w:r>
          </w:p>
        </w:tc>
      </w:tr>
      <w:tr>
        <w:tc>
          <w:tcPr>
            <w:tcW w:type="dxa" w:w="2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H₂ backup reserve production (HTSE)</w:t>
            </w:r>
          </w:p>
        </w:tc>
        <w:tc>
          <w:tcPr>
            <w:tcW w:type="dxa" w:w="8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right"/>
            </w:pPr>
            <w:r>
              <w:rPr>
                <w:rFonts w:ascii="Arial" w:cs="Arial" w:eastAsia="Arial" w:hAnsi="Arial"/>
                <w:b w:val="false"/>
                <w:bCs w:val="false"/>
                <w:color w:val="1A1A2E"/>
                <w:sz w:val="17"/>
                <w:szCs w:val="17"/>
              </w:rPr>
              <w:t xml:space="preserve">35</w:t>
            </w:r>
          </w:p>
        </w:tc>
        <w:tc>
          <w:tcPr>
            <w:tcW w:type="dxa" w:w="25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electrical (10% allocation)</w:t>
            </w:r>
          </w:p>
        </w:tc>
        <w:tc>
          <w:tcPr>
            <w:tcW w:type="dxa" w:w="1500"/>
            <w:tcBorders>
              <w:top w:val="single" w:color="A8D8DB" w:sz="4"/>
              <w:left w:val="single" w:color="A8D8DB" w:sz="4"/>
              <w:bottom w:val="single" w:color="A8D8DB" w:sz="4"/>
              <w:right w:val="single" w:color="A8D8DB" w:sz="4"/>
            </w:tcBorders>
            <w:shd w:fill="D6F0E4" w:val="clear"/>
            <w:tcMar>
              <w:top w:type="dxa" w:w="60"/>
              <w:left w:type="dxa" w:w="120"/>
              <w:bottom w:type="dxa" w:w="60"/>
              <w:right w:type="dxa" w:w="120"/>
            </w:tcMar>
            <w:vAlign w:val="center"/>
          </w:tcPr>
          <w:p>
            <w:pPr>
              <w:jc w:val="center"/>
            </w:pPr>
            <w:r>
              <w:rPr>
                <w:rFonts w:ascii="Arial" w:cs="Arial" w:eastAsia="Arial" w:hAnsi="Arial"/>
                <w:b/>
                <w:bCs/>
                <w:color w:val="1A7A4A"/>
                <w:sz w:val="17"/>
                <w:szCs w:val="17"/>
              </w:rPr>
              <w:t xml:space="preserve">Ongoing</w:t>
            </w:r>
          </w:p>
        </w:tc>
        <w:tc>
          <w:tcPr>
            <w:tcW w:type="dxa" w:w="19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electrical</w:t>
            </w:r>
          </w:p>
        </w:tc>
      </w:tr>
    </w:tbl>
    <w:p>
      <w:pPr>
        <w:spacing w:after="0" w:before="50"/>
      </w:pPr>
      <w:r>
        <w:t xml:space="preserve"/>
      </w:r>
    </w:p>
    <w:p>
      <w:pPr>
        <w:spacing w:after="50" w:before="30"/>
      </w:pPr>
      <w:r>
        <w:rPr>
          <w:rFonts w:ascii="Arial" w:cs="Arial" w:eastAsia="Arial" w:hAnsi="Arial"/>
          <w:i/>
          <w:iCs/>
          <w:color w:val="555555"/>
          <w:sz w:val="17"/>
          <w:szCs w:val="17"/>
        </w:rPr>
        <w:t xml:space="preserve">¹ MED electrical consumption is only 37 kWh/day pumping (1.5 kWh/m³) — 83% less than an equivalent standalone RO system producing the same volume.</w:t>
      </w:r>
    </w:p>
    <w:p>
      <w:pPr>
        <w:spacing w:after="50" w:before="30"/>
      </w:pPr>
      <w:r>
        <w:rPr>
          <w:rFonts w:ascii="Arial" w:cs="Arial" w:eastAsia="Arial" w:hAnsi="Arial"/>
          <w:i/>
          <w:iCs/>
          <w:color w:val="555555"/>
          <w:sz w:val="17"/>
          <w:szCs w:val="17"/>
        </w:rPr>
        <w:t xml:space="preserve">² RO bulk potable coverage depends on whether ORC electrical output is sufficient after other loads; a municipal supplement or grid top-up is included in the financial model for conservatism.</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3.  What Sets This Apart — Two Boundaries Pushed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rPr>
          <w:tblHeader/>
        </w:trPr>
        <w:tc>
          <w:tcPr>
            <w:tcW w:type="dxa" w:w="4620"/>
            <w:tcBorders>
              <w:top w:val="single" w:color="A8D8DB" w:sz="4"/>
              <w:left w:val="single" w:color="A8D8DB" w:sz="4"/>
              <w:bottom w:val="single" w:color="A8D8DB" w:sz="4"/>
              <w:right w:val="single" w:color="A8D8DB" w:sz="4"/>
            </w:tcBorders>
            <w:shd w:fill="003366" w:val="clear"/>
            <w:tcMar>
              <w:top w:type="dxa" w:w="100"/>
              <w:left w:type="dxa" w:w="160"/>
              <w:bottom w:type="dxa" w:w="100"/>
              <w:right w:type="dxa" w:w="160"/>
            </w:tcMar>
          </w:tcPr>
          <w:p>
            <w:pPr>
              <w:jc w:val="center"/>
            </w:pPr>
            <w:r>
              <w:rPr>
                <w:rFonts w:ascii="Arial" w:cs="Arial" w:eastAsia="Arial" w:hAnsi="Arial"/>
                <w:b/>
                <w:bCs/>
                <w:color w:val="C8962A"/>
                <w:sz w:val="20"/>
                <w:szCs w:val="20"/>
              </w:rPr>
              <w:t xml:space="preserve">Differentiator 1</w:t>
            </w:r>
          </w:p>
          <w:p>
            <w:pPr>
              <w:jc w:val="center"/>
            </w:pPr>
            <w:r>
              <w:rPr>
                <w:rFonts w:ascii="Arial" w:cs="Arial" w:eastAsia="Arial" w:hAnsi="Arial"/>
                <w:b/>
                <w:bCs/>
                <w:color w:val="FFFFFF"/>
                <w:sz w:val="19"/>
                <w:szCs w:val="19"/>
              </w:rPr>
              <w:t xml:space="preserve">A Fluid That Operates Where Others Fail</w:t>
            </w:r>
          </w:p>
        </w:tc>
        <w:tc>
          <w:tcPr>
            <w:tcW w:type="dxa" w:w="4740"/>
            <w:tcBorders>
              <w:top w:val="single" w:color="A8D8DB" w:sz="4"/>
              <w:left w:val="single" w:color="A8D8DB" w:sz="4"/>
              <w:bottom w:val="single" w:color="A8D8DB" w:sz="4"/>
              <w:right w:val="single" w:color="A8D8DB" w:sz="4"/>
            </w:tcBorders>
            <w:shd w:fill="003366" w:val="clear"/>
            <w:tcMar>
              <w:top w:type="dxa" w:w="100"/>
              <w:left w:type="dxa" w:w="160"/>
              <w:bottom w:type="dxa" w:w="100"/>
              <w:right w:type="dxa" w:w="160"/>
            </w:tcMar>
          </w:tcPr>
          <w:p>
            <w:pPr>
              <w:jc w:val="center"/>
            </w:pPr>
            <w:r>
              <w:rPr>
                <w:rFonts w:ascii="Arial" w:cs="Arial" w:eastAsia="Arial" w:hAnsi="Arial"/>
                <w:b/>
                <w:bCs/>
                <w:color w:val="C8962A"/>
                <w:sz w:val="20"/>
                <w:szCs w:val="20"/>
              </w:rPr>
              <w:t xml:space="preserve">Differentiator 2</w:t>
            </w:r>
          </w:p>
          <w:p>
            <w:pPr>
              <w:jc w:val="center"/>
            </w:pPr>
            <w:r>
              <w:rPr>
                <w:rFonts w:ascii="Arial" w:cs="Arial" w:eastAsia="Arial" w:hAnsi="Arial"/>
                <w:b/>
                <w:bCs/>
                <w:color w:val="FFFFFF"/>
                <w:sz w:val="19"/>
                <w:szCs w:val="19"/>
              </w:rPr>
              <w:t xml:space="preserve">A Non-Vacuum Collector Beyond Vacuum-Tube Limits</w:t>
            </w:r>
          </w:p>
        </w:tc>
      </w:tr>
      <w:tr>
        <w:tc>
          <w:tcPr>
            <w:tcW w:type="dxa" w:w="4620"/>
            <w:tcBorders>
              <w:top w:val="single" w:color="A8D8DB" w:sz="4"/>
              <w:left w:val="single" w:color="A8D8DB" w:sz="4"/>
              <w:bottom w:val="single" w:color="A8D8DB" w:sz="4"/>
              <w:right w:val="single" w:color="A8D8DB" w:sz="4"/>
            </w:tcBorders>
            <w:shd w:fill="D6F0F2" w:val="clear"/>
            <w:tcMar>
              <w:top w:type="dxa" w:w="120"/>
              <w:left w:type="dxa" w:w="160"/>
              <w:bottom w:type="dxa" w:w="120"/>
              <w:right w:type="dxa" w:w="160"/>
            </w:tcMar>
          </w:tcPr>
          <w:p>
            <w:pPr>
              <w:spacing w:after="80" w:before="0"/>
            </w:pPr>
            <w:r>
              <w:rPr>
                <w:rFonts w:ascii="Arial" w:cs="Arial" w:eastAsia="Arial" w:hAnsi="Arial"/>
                <w:color w:val="1A1A2E"/>
                <w:sz w:val="18"/>
                <w:szCs w:val="18"/>
              </w:rPr>
              <w:t xml:space="preserve">BlueNanofluid™ is a proprietary graphene nanoplatelet-enhanced heat transfer fluid developed exclusively by New Blue Solution. Full technical information is available at bluenanofluid.com.</w:t>
            </w:r>
          </w:p>
          <w:p>
            <w:pPr>
              <w:spacing w:after="80" w:before="0"/>
            </w:pPr>
            <w:r>
              <w:rPr>
                <w:rFonts w:ascii="Arial" w:cs="Arial" w:eastAsia="Arial" w:hAnsi="Arial"/>
                <w:color w:val="1A1A2E"/>
                <w:sz w:val="18"/>
                <w:szCs w:val="18"/>
              </w:rPr>
              <w:t xml:space="preserve">Conventional thermal fluids — including synthetic oils and glycols — degrade irreversibly at or below 200°C. Operating a solar circuit at 220–260°C with a conventional fluid is not a design preference; it is a chemistry impossibility. BlueNanofluid™ maintains complete thermal stability through the full operating range, with thermal conductivity substantially exceeding any conventional fluid in the same temperature class.</w:t>
            </w:r>
          </w:p>
          <w:p>
            <w:pPr>
              <w:spacing w:after="0" w:before="0"/>
            </w:pPr>
            <w:r>
              <w:rPr>
                <w:rFonts w:ascii="Arial" w:cs="Arial" w:eastAsia="Arial" w:hAnsi="Arial"/>
                <w:b/>
                <w:bCs/>
                <w:color w:val="003366"/>
                <w:sz w:val="18"/>
                <w:szCs w:val="18"/>
              </w:rPr>
              <w:t xml:space="preserve">Without BlueNanofluid™ the MacTherm™ cannot reach rated temperature. Without MacTherm™ there is no solar vehicle to drive it there. They are designed as an inseparable system.</w:t>
            </w:r>
          </w:p>
        </w:tc>
        <w:tc>
          <w:tcPr>
            <w:tcW w:type="dxa" w:w="4740"/>
            <w:tcBorders>
              <w:top w:val="single" w:color="A8D8DB" w:sz="4"/>
              <w:left w:val="single" w:color="A8D8DB" w:sz="4"/>
              <w:bottom w:val="single" w:color="A8D8DB" w:sz="4"/>
              <w:right w:val="single" w:color="A8D8DB" w:sz="4"/>
            </w:tcBorders>
            <w:shd w:fill="D6F0E4" w:val="clear"/>
            <w:tcMar>
              <w:top w:type="dxa" w:w="120"/>
              <w:left w:type="dxa" w:w="160"/>
              <w:bottom w:type="dxa" w:w="120"/>
              <w:right w:type="dxa" w:w="160"/>
            </w:tcMar>
          </w:tcPr>
          <w:p>
            <w:pPr>
              <w:spacing w:after="80" w:before="0"/>
            </w:pPr>
            <w:r>
              <w:rPr>
                <w:rFonts w:ascii="Arial" w:cs="Arial" w:eastAsia="Arial" w:hAnsi="Arial"/>
                <w:color w:val="1A1A2E"/>
                <w:sz w:val="18"/>
                <w:szCs w:val="18"/>
              </w:rPr>
              <w:t xml:space="preserve">Evacuated tube collectors achieve higher temperatures by creating a vacuum around the absorber to suppress convective losses. Vacuum manufacturing is complex, fragile in storm conditions, and expensive at scale. Even ETCs top out at 150–200°C under real operating conditions.</w:t>
            </w:r>
          </w:p>
          <w:p>
            <w:pPr>
              <w:spacing w:after="80" w:before="0"/>
            </w:pPr>
            <w:r>
              <w:rPr>
                <w:rFonts w:ascii="Arial" w:cs="Arial" w:eastAsia="Arial" w:hAnsi="Arial"/>
                <w:color w:val="1A1A2E"/>
                <w:sz w:val="18"/>
                <w:szCs w:val="18"/>
              </w:rPr>
              <w:t xml:space="preserve">MacTherm™ V4.1 reaches 220–260°C without any vacuum. Its proprietary two-stage heating architecture — currently in the patent process and described at newbluesolution.com — eliminates the thermal losses that prevent other non-vacuum collectors from reaching these temperatures. No fragile glass elements means no storm-damage vulnerability.</w:t>
            </w:r>
          </w:p>
          <w:p>
            <w:pPr>
              <w:spacing w:after="0" w:before="0"/>
            </w:pPr>
            <w:r>
              <w:rPr>
                <w:rFonts w:ascii="Arial" w:cs="Arial" w:eastAsia="Arial" w:hAnsi="Arial"/>
                <w:b/>
                <w:bCs/>
                <w:color w:val="003366"/>
                <w:sz w:val="18"/>
                <w:szCs w:val="18"/>
              </w:rPr>
              <w:t xml:space="preserve">This is not an incremental improvement on existing technology. It is a different approach to the physics of solar heat collection.</w:t>
            </w:r>
          </w:p>
        </w:tc>
      </w:tr>
    </w:tbl>
    <w:p>
      <w:pPr>
        <w:spacing w:after="0" w:before="80"/>
      </w:pPr>
      <w:r>
        <w:t xml:space="preserve"/>
      </w:r>
    </w:p>
    <w:p>
      <w:r>
        <w:br w:type="page"/>
      </w:r>
    </w:p>
    <w:p>
      <w:pPr>
        <w:pBdr>
          <w:bottom w:val="single" w:color="007B83" w:sz="12" w:space="4"/>
        </w:pBdr>
        <w:spacing w:after="60" w:before="0"/>
      </w:pPr>
      <w:r>
        <w:rPr>
          <w:rFonts w:ascii="Segoe UI Emoji" w:cs="Segoe UI Emoji" w:eastAsia="Segoe UI Emoji" w:hAnsi="Segoe UI Emoji"/>
          <w:sz w:val="32"/>
          <w:szCs w:val="32"/>
        </w:rPr>
        <w:t xml:space="preserve">💧 </w:t>
      </w:r>
      <w:r>
        <w:rPr>
          <w:rFonts w:ascii="Arial" w:cs="Arial" w:eastAsia="Arial" w:hAnsi="Arial"/>
          <w:b/>
          <w:bCs/>
          <w:color w:val="003366"/>
          <w:sz w:val="28"/>
          <w:szCs w:val="28"/>
        </w:rPr>
        <w:t xml:space="preserve">NEW BLUE SOLUTION LLC</w:t>
      </w:r>
      <w:r>
        <w:rPr>
          <w:rFonts w:ascii="Arial" w:cs="Arial" w:eastAsia="Arial" w:hAnsi="Arial"/>
          <w:color w:val="0070C0"/>
          <w:sz w:val="20"/>
          <w:szCs w:val="20"/>
        </w:rPr>
        <w:t xml:space="preserve">   |   newbluesolution.com   |   bluenanofluid.com</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4.  Thermal Desalination — The Free Upgrade</w:t>
      </w:r>
    </w:p>
    <w:p>
      <w:pPr>
        <w:spacing w:after="60" w:before="40"/>
      </w:pPr>
      <w:r>
        <w:rPr>
          <w:rFonts w:ascii="Arial" w:cs="Arial" w:eastAsia="Arial" w:hAnsi="Arial"/>
          <w:color w:val="1A1A2E"/>
          <w:sz w:val="19"/>
          <w:szCs w:val="19"/>
        </w:rPr>
        <w:t xml:space="preserve">Every ORC power block rejects heat through its condenser. In a conventional installation, a cooling tower fan evaporates this heat into the atmosphere — at zero productive value. By replacing the cooling tower with a 6-effect low-temperature MED unit, that rejected heat drives seawater desalination. The ORC is unchanged. Its electrical output is unchanged. Its efficiency is unchanged. The only difference is that the condenser now feeds a productive desalination plant.</w:t>
      </w:r>
    </w:p>
    <w:p>
      <w:pPr>
        <w:spacing w:after="60" w:before="40"/>
      </w:pPr>
      <w:r>
        <w:rPr>
          <w:rFonts w:ascii="Arial" w:cs="Arial" w:eastAsia="Arial" w:hAnsi="Arial"/>
          <w:color w:val="1A1A2E"/>
          <w:sz w:val="19"/>
          <w:szCs w:val="19"/>
        </w:rPr>
        <w:t xml:space="preserve">At the temperature range produced by the ORC condenser (85–110°C), a 6-effect MED unit operates at approximately 17 kWh of thermal energy per cubic metre of distillate — the commercially realistic figure for a resort-scale skid. After allocating ORC exhaust to pool heating and DHW pre-heat, 423 kWh/day remains for the MED unit, producing approximately 25 m³/day (25,000 litres) of distilled water. This figure is calculated conservatively; a larger or more efficient MED unit could increase output with the same heat input.</w:t>
      </w:r>
    </w:p>
    <w:p>
      <w:pPr>
        <w:spacing w:after="60" w:before="40"/>
      </w:pPr>
      <w:r>
        <w:rPr>
          <w:rFonts w:ascii="Arial" w:cs="Arial" w:eastAsia="Arial" w:hAnsi="Arial"/>
          <w:color w:val="1A1A2E"/>
          <w:sz w:val="19"/>
          <w:szCs w:val="19"/>
        </w:rPr>
        <w:t xml:space="preserve">It is important to be precise about what 25 m³/day covers. Total resort water demand for a 120-room property is approximately 199 m³/day. The MED covers roughly 14% of this total — but it covers 100% of the most valuable uses: all drinking and bottled water, all pool make-up, and all back-of-house non-potable needs. Bulk potable water (showers, toilets, general) is supplied by a supplementary ORC-powered RO unit or municipal connection. Together, MED and RO deliver complete water independence from trucked supply.</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60"/>
        <w:gridCol w:w="1400"/>
        <w:gridCol w:w="3600"/>
      </w:tblGrid>
      <w:tr>
        <w:trPr>
          <w:tblHeader/>
        </w:trPr>
        <w:tc>
          <w:tcPr>
            <w:tcW w:type="dxa" w:w="28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Water Use</w:t>
            </w:r>
          </w:p>
        </w:tc>
        <w:tc>
          <w:tcPr>
            <w:tcW w:type="dxa" w:w="1560"/>
            <w:tcBorders>
              <w:top w:val="single" w:color="A8D8DB" w:sz="4"/>
              <w:left w:val="single" w:color="A8D8DB" w:sz="4"/>
              <w:bottom w:val="single" w:color="A8D8DB" w:sz="4"/>
              <w:right w:val="single" w:color="A8D8DB" w:sz="4"/>
            </w:tcBorders>
            <w:shd w:fill="007B83"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Daily Volume</w:t>
            </w:r>
          </w:p>
        </w:tc>
        <w:tc>
          <w:tcPr>
            <w:tcW w:type="dxa" w:w="14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 of MED</w:t>
            </w:r>
          </w:p>
        </w:tc>
        <w:tc>
          <w:tcPr>
            <w:tcW w:type="dxa" w:w="36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Notes</w:t>
            </w:r>
          </w:p>
        </w:tc>
      </w:tr>
      <w:tr>
        <w:tc>
          <w:tcPr>
            <w:tcW w:type="dxa" w:w="2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Bottled / drinking water (guests + kitchen)</w:t>
            </w:r>
          </w:p>
        </w:tc>
        <w:tc>
          <w:tcPr>
            <w:tcW w:type="dxa" w:w="15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1,350 L/day</w:t>
            </w:r>
          </w:p>
        </w:tc>
        <w:tc>
          <w:tcPr>
            <w:tcW w:type="dxa" w:w="14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5%</w:t>
            </w:r>
          </w:p>
        </w:tc>
        <w:tc>
          <w:tcPr>
            <w:tcW w:type="dxa" w:w="3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MED distillate + inline remineralisation (Ca, Mg, HCO₃) — premium still water quality; brandable under resort name; zero procurement cost</w:t>
            </w:r>
          </w:p>
        </w:tc>
      </w:tr>
      <w:tr>
        <w:tc>
          <w:tcPr>
            <w:tcW w:type="dxa" w:w="2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Swimming pool make-up (evaporation + splash)</w:t>
            </w:r>
          </w:p>
        </w:tc>
        <w:tc>
          <w:tcPr>
            <w:tcW w:type="dxa" w:w="15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3,200 L/day</w:t>
            </w:r>
          </w:p>
        </w:tc>
        <w:tc>
          <w:tcPr>
            <w:tcW w:type="dxa" w:w="14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13%</w:t>
            </w:r>
          </w:p>
        </w:tc>
        <w:tc>
          <w:tcPr>
            <w:tcW w:type="dxa" w:w="3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Ultra-pure distillate reduces chlorine demand; topped up daily; zero water bill for pools</w:t>
            </w:r>
          </w:p>
        </w:tc>
      </w:tr>
      <w:tr>
        <w:tc>
          <w:tcPr>
            <w:tcW w:type="dxa" w:w="2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Laundry, kitchen prep, irrigation, WC flush</w:t>
            </w:r>
          </w:p>
        </w:tc>
        <w:tc>
          <w:tcPr>
            <w:tcW w:type="dxa" w:w="15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~20,450 L/day</w:t>
            </w:r>
          </w:p>
        </w:tc>
        <w:tc>
          <w:tcPr>
            <w:tcW w:type="dxa" w:w="14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82%</w:t>
            </w:r>
          </w:p>
        </w:tc>
        <w:tc>
          <w:tcPr>
            <w:tcW w:type="dxa" w:w="3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Replaces trucked or metered supply for back-of-house and non-potable uses</w:t>
            </w:r>
          </w:p>
        </w:tc>
      </w:tr>
      <w:tr>
        <w:tc>
          <w:tcPr>
            <w:tcW w:type="dxa" w:w="2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TOTAL MED OUTPUT</w:t>
            </w:r>
          </w:p>
        </w:tc>
        <w:tc>
          <w:tcPr>
            <w:tcW w:type="dxa" w:w="156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~25,000 L/day</w:t>
            </w:r>
          </w:p>
        </w:tc>
        <w:tc>
          <w:tcPr>
            <w:tcW w:type="dxa" w:w="14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100%</w:t>
            </w:r>
          </w:p>
        </w:tc>
        <w:tc>
          <w:tcPr>
            <w:tcW w:type="dxa" w:w="36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25 m³/day from 423 kWh/day ORC exhaust heat at 17 kWh thermal/m³ (6-effect resort skid, literature-verified)</w:t>
            </w:r>
          </w:p>
        </w:tc>
      </w:tr>
      <w:tr>
        <w:tc>
          <w:tcPr>
            <w:tcW w:type="dxa" w:w="2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Remaining bulk potable (showers, general)</w:t>
            </w:r>
          </w:p>
        </w:tc>
        <w:tc>
          <w:tcPr>
            <w:tcW w:type="dxa" w:w="15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174,000 L/day</w:t>
            </w:r>
          </w:p>
        </w:tc>
        <w:tc>
          <w:tcPr>
            <w:tcW w:type="dxa" w:w="14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n/a</w:t>
            </w:r>
          </w:p>
        </w:tc>
        <w:tc>
          <w:tcPr>
            <w:tcW w:type="dxa" w:w="3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Supplied by ORC-powered RO (3 kWh/m³ × 174 m³ = 522 kWh/day) or municipal connection</w:t>
            </w:r>
          </w:p>
        </w:tc>
      </w:tr>
    </w:tbl>
    <w:p>
      <w:pPr>
        <w:spacing w:after="0" w:before="60"/>
      </w:pPr>
      <w:r>
        <w:t xml:space="preserve"/>
      </w:r>
    </w:p>
    <w:p>
      <w:pPr>
        <w:spacing w:after="60" w:before="160"/>
      </w:pPr>
      <w:r>
        <w:rPr>
          <w:rFonts w:ascii="Arial" w:cs="Arial" w:eastAsia="Arial" w:hAnsi="Arial"/>
          <w:b/>
          <w:bCs/>
          <w:color w:val="007B83"/>
          <w:sz w:val="22"/>
          <w:szCs w:val="22"/>
        </w:rPr>
        <w:t xml:space="preserve">4A.  On-Site Bottled Water — Branded for the Resort</w:t>
      </w:r>
    </w:p>
    <w:p>
      <w:pPr>
        <w:spacing w:after="60" w:before="40"/>
      </w:pPr>
      <w:r>
        <w:rPr>
          <w:rFonts w:ascii="Arial" w:cs="Arial" w:eastAsia="Arial" w:hAnsi="Arial"/>
          <w:color w:val="1A1A2E"/>
          <w:sz w:val="19"/>
          <w:szCs w:val="19"/>
        </w:rPr>
        <w:t xml:space="preserve">MED distillate leaves the unit at below 10 ppm TDS — essentially pharmaceutical-grade distilled water. Passing it through a compact inline remineralisation cartridge (adding controlled calcium, magnesium, and bicarbonate) brings it to premium still water standard. The resort produces 1,350 litres of branded drinking water per day — sufficient for every guest room amenity bottle, every restaurant table, and every kitchen application.</w:t>
      </w:r>
    </w:p>
    <w:p>
      <w:pPr>
        <w:spacing w:after="60" w:before="40"/>
      </w:pPr>
      <w:r>
        <w:rPr>
          <w:rFonts w:ascii="Arial" w:cs="Arial" w:eastAsia="Arial" w:hAnsi="Arial"/>
          <w:color w:val="1A1A2E"/>
          <w:sz w:val="19"/>
          <w:szCs w:val="19"/>
        </w:rPr>
        <w:t xml:space="preserve">Current bulk bottled water procurement across Caribbean properties runs to $0.50–$0.80 per litre. Eliminating this saves $271,000–$350,000 per year. Beyond cost, the on-site production story is a guest experience asset: a resort that places its own solar-produced, sea-sourced, mineral-balanced still water in every room has a narrative that premium guests notice, photograph, and share.</w:t>
      </w:r>
    </w:p>
    <w:p>
      <w:pPr>
        <w:spacing w:after="60" w:before="160"/>
      </w:pPr>
      <w:r>
        <w:rPr>
          <w:rFonts w:ascii="Arial" w:cs="Arial" w:eastAsia="Arial" w:hAnsi="Arial"/>
          <w:b/>
          <w:bCs/>
          <w:color w:val="007B83"/>
          <w:sz w:val="22"/>
          <w:szCs w:val="22"/>
        </w:rPr>
        <w:t xml:space="preserve">4B.  Swimming Pool Independence</w:t>
      </w:r>
    </w:p>
    <w:p>
      <w:pPr>
        <w:spacing w:after="60" w:before="40"/>
      </w:pPr>
      <w:r>
        <w:rPr>
          <w:rFonts w:ascii="Arial" w:cs="Arial" w:eastAsia="Arial" w:hAnsi="Arial"/>
          <w:color w:val="1A1A2E"/>
          <w:sz w:val="19"/>
          <w:szCs w:val="19"/>
        </w:rPr>
        <w:t xml:space="preserve">Two outdoor pools in the Caribbean lose approximately 3,200 litres per day to evaporation and splash. Currently replaced by trucked or metered water at $8–15 per cubic metre, this is a quiet but persistent cost. MED distillate is ideal for pool top-up: its ultra-low TDS reduces chlorine demand, lowering chemical procurement as a secondary benefit. Pool make-up represents just 13% of daily MED output and is served as a by-product of a system running regardless of pool demand.</w:t>
      </w:r>
    </w:p>
    <w:p>
      <w:pPr>
        <w:pBdr>
          <w:bottom w:val="single" w:color="007B83" w:sz="8" w:space="2"/>
        </w:pBdr>
        <w:spacing w:after="80" w:before="200"/>
      </w:pPr>
      <w:r>
        <w:rPr>
          <w:rFonts w:ascii="Arial" w:cs="Arial" w:eastAsia="Arial" w:hAnsi="Arial"/>
          <w:b/>
          <w:bCs/>
          <w:color w:val="003366"/>
          <w:sz w:val="26"/>
          <w:szCs w:val="26"/>
        </w:rPr>
        <w:t xml:space="preserve">5.  Integrated System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60"/>
        <w:gridCol w:w="2200"/>
        <w:gridCol w:w="1600"/>
        <w:gridCol w:w="1800"/>
        <w:gridCol w:w="1800"/>
      </w:tblGrid>
      <w:tr>
        <w:trPr>
          <w:tblHeader/>
        </w:trPr>
        <w:tc>
          <w:tcPr>
            <w:tcW w:type="dxa" w:w="196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System Layer</w:t>
            </w:r>
          </w:p>
        </w:tc>
        <w:tc>
          <w:tcPr>
            <w:tcW w:type="dxa" w:w="2200"/>
            <w:tcBorders>
              <w:top w:val="single" w:color="A8D8DB" w:sz="4"/>
              <w:left w:val="single" w:color="A8D8DB" w:sz="4"/>
              <w:bottom w:val="single" w:color="A8D8DB" w:sz="4"/>
              <w:right w:val="single" w:color="A8D8DB" w:sz="4"/>
            </w:tcBorders>
            <w:shd w:fill="007B83"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NBS Component</w:t>
            </w:r>
          </w:p>
        </w:tc>
        <w:tc>
          <w:tcPr>
            <w:tcW w:type="dxa" w:w="16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Operating Temp</w:t>
            </w:r>
          </w:p>
        </w:tc>
        <w:tc>
          <w:tcPr>
            <w:tcW w:type="dxa" w:w="18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Daily Output</w:t>
            </w:r>
          </w:p>
        </w:tc>
        <w:tc>
          <w:tcPr>
            <w:tcW w:type="dxa" w:w="18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Resort Loads</w:t>
            </w:r>
          </w:p>
        </w:tc>
      </w:tr>
      <w:tr>
        <w:tc>
          <w:tcPr>
            <w:tcW w:type="dxa" w:w="19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High-Temp Collector Array</w:t>
            </w:r>
          </w:p>
        </w:tc>
        <w:tc>
          <w:tcPr>
            <w:tcW w:type="dxa" w:w="22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MacTherm™ 12’×12’
(40 units, 8×5 strings)</w:t>
            </w:r>
          </w:p>
        </w:tc>
        <w:tc>
          <w:tcPr>
            <w:tcW w:type="dxa" w:w="1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220–260°C</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1,672 kWh thermal</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primary heat source</w:t>
            </w:r>
          </w:p>
        </w:tc>
      </w:tr>
      <w:tr>
        <w:tc>
          <w:tcPr>
            <w:tcW w:type="dxa" w:w="19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ORC Power Block</w:t>
            </w:r>
          </w:p>
        </w:tc>
        <w:tc>
          <w:tcPr>
            <w:tcW w:type="dxa" w:w="22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Regenerative ORC</w:t>
            </w:r>
          </w:p>
        </w:tc>
        <w:tc>
          <w:tcPr>
            <w:tcW w:type="dxa" w:w="1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In: 220–260°C
Exhaust: 85–110°C</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351 kWh electrical
1,057 kWh exhaust</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Electrical loads; MED; pool; DHW</w:t>
            </w:r>
          </w:p>
        </w:tc>
      </w:tr>
      <w:tr>
        <w:tc>
          <w:tcPr>
            <w:tcW w:type="dxa" w:w="196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MED Desalination</w:t>
            </w:r>
          </w:p>
        </w:tc>
        <w:tc>
          <w:tcPr>
            <w:tcW w:type="dxa" w:w="22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6-Effect Low-Temp
MED Skid</w:t>
            </w:r>
          </w:p>
        </w:tc>
        <w:tc>
          <w:tcPr>
            <w:tcW w:type="dxa" w:w="16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ORC exhaust
85–110°C input</w:t>
            </w:r>
          </w:p>
        </w:tc>
        <w:tc>
          <w:tcPr>
            <w:tcW w:type="dxa" w:w="1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25 m³/day
(25,000 L distillate)</w:t>
            </w:r>
          </w:p>
        </w:tc>
        <w:tc>
          <w:tcPr>
            <w:tcW w:type="dxa" w:w="1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Drinking water; pool top-up; back-of-house</w:t>
            </w:r>
          </w:p>
        </w:tc>
      </w:tr>
      <w:tr>
        <w:tc>
          <w:tcPr>
            <w:tcW w:type="dxa" w:w="196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Bottled Water Station</w:t>
            </w:r>
          </w:p>
        </w:tc>
        <w:tc>
          <w:tcPr>
            <w:tcW w:type="dxa" w:w="22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Remineralisation +
bottling unit</w:t>
            </w:r>
          </w:p>
        </w:tc>
        <w:tc>
          <w:tcPr>
            <w:tcW w:type="dxa" w:w="16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Ambient</w:t>
            </w:r>
          </w:p>
        </w:tc>
        <w:tc>
          <w:tcPr>
            <w:tcW w:type="dxa" w:w="1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1,350 L/day
premium still water</w:t>
            </w:r>
          </w:p>
        </w:tc>
        <w:tc>
          <w:tcPr>
            <w:tcW w:type="dxa" w:w="1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Guest rooms, restaurant, bar, spa</w:t>
            </w:r>
          </w:p>
        </w:tc>
      </w:tr>
      <w:tr>
        <w:tc>
          <w:tcPr>
            <w:tcW w:type="dxa" w:w="19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Supplementary RO</w:t>
            </w:r>
          </w:p>
        </w:tc>
        <w:tc>
          <w:tcPr>
            <w:tcW w:type="dxa" w:w="22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ORC-powered reverse
osmosis (bulk potable)</w:t>
            </w:r>
          </w:p>
        </w:tc>
        <w:tc>
          <w:tcPr>
            <w:tcW w:type="dxa" w:w="1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Ambient</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174 m³/day
(bulk potable)</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Showers, toilets, general potable</w:t>
            </w:r>
          </w:p>
        </w:tc>
      </w:tr>
      <w:tr>
        <w:tc>
          <w:tcPr>
            <w:tcW w:type="dxa" w:w="19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Mid-Temp Collector Array</w:t>
            </w:r>
          </w:p>
        </w:tc>
        <w:tc>
          <w:tcPr>
            <w:tcW w:type="dxa" w:w="22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MacTherm™ 12’×12’
(20 units, 4×5 strings)</w:t>
            </w:r>
          </w:p>
        </w:tc>
        <w:tc>
          <w:tcPr>
            <w:tcW w:type="dxa" w:w="1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80–120°C</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926 kWh thermal</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DHW, kitchens, laundry, pool heating</w:t>
            </w:r>
          </w:p>
        </w:tc>
      </w:tr>
      <w:tr>
        <w:tc>
          <w:tcPr>
            <w:tcW w:type="dxa" w:w="19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Thermal Storage</w:t>
            </w:r>
          </w:p>
        </w:tc>
        <w:tc>
          <w:tcPr>
            <w:tcW w:type="dxa" w:w="22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Hitec XL Molten Salt TES</w:t>
            </w:r>
          </w:p>
        </w:tc>
        <w:tc>
          <w:tcPr>
            <w:tcW w:type="dxa" w:w="1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120–260°C</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660 kWh stored</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8–10 hr overnight bridge</w:t>
            </w:r>
          </w:p>
        </w:tc>
      </w:tr>
      <w:tr>
        <w:tc>
          <w:tcPr>
            <w:tcW w:type="dxa" w:w="19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MacHeat™ HX Network</w:t>
            </w:r>
          </w:p>
        </w:tc>
        <w:tc>
          <w:tcPr>
            <w:tcW w:type="dxa" w:w="22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Zoned heat exchanger
distribution</w:t>
            </w:r>
          </w:p>
        </w:tc>
        <w:tc>
          <w:tcPr>
            <w:tcW w:type="dxa" w:w="1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As required</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Zoned delivery</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All thermal end-uses</w:t>
            </w:r>
          </w:p>
        </w:tc>
      </w:tr>
      <w:tr>
        <w:tc>
          <w:tcPr>
            <w:tcW w:type="dxa" w:w="19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H₂ Reserve</w:t>
            </w:r>
          </w:p>
        </w:tc>
        <w:tc>
          <w:tcPr>
            <w:tcW w:type="dxa" w:w="22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HTSE Electrolyzer
+ compressed storage</w:t>
            </w:r>
          </w:p>
        </w:tc>
        <w:tc>
          <w:tcPr>
            <w:tcW w:type="dxa" w:w="16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200–260°C steam</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~0.9 kg H₂/day</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Storm / grid-down fuel cell backup</w:t>
            </w:r>
          </w:p>
        </w:tc>
      </w:tr>
      <w:tr>
        <w:tc>
          <w:tcPr>
            <w:tcW w:type="dxa" w:w="19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AI Control System</w:t>
            </w:r>
          </w:p>
        </w:tc>
        <w:tc>
          <w:tcPr>
            <w:tcW w:type="dxa" w:w="22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NBS Thermal Switching
Controller</w:t>
            </w:r>
          </w:p>
        </w:tc>
        <w:tc>
          <w:tcPr>
            <w:tcW w:type="dxa" w:w="16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All modes</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5-mode dispatch</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System-wide optimisation ±2°C</w:t>
            </w:r>
          </w:p>
        </w:tc>
      </w:tr>
    </w:tbl>
    <w:p>
      <w:pPr>
        <w:spacing w:after="0" w:before="80"/>
      </w:pPr>
      <w:r>
        <w:t xml:space="preserve"/>
      </w:r>
    </w:p>
    <w:p>
      <w:pPr>
        <w:spacing w:after="0" w:before="0"/>
      </w:pPr>
      <w:r>
        <w:rPr>
          <w:rFonts w:ascii="Courier New" w:cs="Courier New" w:eastAsia="Courier New" w:hAnsi="Courier New"/>
          <w:color w:val="003366"/>
          <w:sz w:val="15"/>
          <w:szCs w:val="15"/>
        </w:rPr>
        <w:t xml:space="preserve">  HIGH-TEMP ARRAY (40 units)         ORC POWER BLOCK            MID-TEMP ARRAY (20 units)</w:t>
      </w:r>
    </w:p>
    <w:p>
      <w:pPr>
        <w:spacing w:after="0" w:before="0"/>
      </w:pPr>
      <w:r>
        <w:rPr>
          <w:rFonts w:ascii="Courier New" w:cs="Courier New" w:eastAsia="Courier New" w:hAnsi="Courier New"/>
          <w:color w:val="003366"/>
          <w:sz w:val="15"/>
          <w:szCs w:val="15"/>
        </w:rPr>
        <w:t xml:space="preserve">  MacTherm™ 220–260°C            Regenerative ORC           MacTherm™ 80–120°C</w:t>
      </w:r>
    </w:p>
    <w:p>
      <w:pPr>
        <w:spacing w:after="0" w:before="0"/>
      </w:pPr>
      <w:r>
        <w:rPr>
          <w:rFonts w:ascii="Courier New" w:cs="Courier New" w:eastAsia="Courier New" w:hAnsi="Courier New"/>
          <w:color w:val="003366"/>
          <w:sz w:val="15"/>
          <w:szCs w:val="15"/>
        </w:rPr>
        <w:t xml:space="preserve">  ┌────────────────┐    ┌─────────────┐    ┌────────────────┐</w:t>
      </w:r>
    </w:p>
    <w:p>
      <w:pPr>
        <w:spacing w:after="0" w:before="0"/>
      </w:pPr>
      <w:r>
        <w:rPr>
          <w:rFonts w:ascii="Courier New" w:cs="Courier New" w:eastAsia="Courier New" w:hAnsi="Courier New"/>
          <w:color w:val="003366"/>
          <w:sz w:val="15"/>
          <w:szCs w:val="15"/>
        </w:rPr>
        <w:t xml:space="preserve">  │ 2-Stage Interior  │─BNF-SO2─►│ Elec: 21%   │    │ 2-Stage Interior  │</w:t>
      </w:r>
    </w:p>
    <w:p>
      <w:pPr>
        <w:spacing w:after="0" w:before="0"/>
      </w:pPr>
      <w:r>
        <w:rPr>
          <w:rFonts w:ascii="Courier New" w:cs="Courier New" w:eastAsia="Courier New" w:hAnsi="Courier New"/>
          <w:color w:val="003366"/>
          <w:sz w:val="15"/>
          <w:szCs w:val="15"/>
        </w:rPr>
        <w:t xml:space="preserve">  │ Array             │◄─return──│ Exhaust:79% │    │ Array             │</w:t>
      </w:r>
    </w:p>
    <w:p>
      <w:pPr>
        <w:spacing w:after="0" w:before="0"/>
      </w:pPr>
      <w:r>
        <w:rPr>
          <w:rFonts w:ascii="Courier New" w:cs="Courier New" w:eastAsia="Courier New" w:hAnsi="Courier New"/>
          <w:color w:val="003366"/>
          <w:sz w:val="15"/>
          <w:szCs w:val="15"/>
        </w:rPr>
        <w:t xml:space="preserve">  └────────────────┘    └──┬────┬───┘    └──────┬──────────┘</w:t>
      </w:r>
    </w:p>
    <w:p>
      <w:pPr>
        <w:spacing w:after="0" w:before="0"/>
      </w:pPr>
      <w:r>
        <w:rPr>
          <w:rFonts w:ascii="Courier New" w:cs="Courier New" w:eastAsia="Courier New" w:hAnsi="Courier New"/>
          <w:color w:val="003366"/>
          <w:sz w:val="15"/>
          <w:szCs w:val="15"/>
        </w:rPr>
        <w:t xml:space="preserve">  Hitec XL TES (660 kWh)              │        │               │ Direct thermal</w:t>
      </w:r>
    </w:p>
    <w:p>
      <w:pPr>
        <w:spacing w:after="0" w:before="0"/>
      </w:pPr>
      <w:r>
        <w:rPr>
          <w:rFonts w:ascii="Courier New" w:cs="Courier New" w:eastAsia="Courier New" w:hAnsi="Courier New"/>
          <w:color w:val="003366"/>
          <w:sz w:val="15"/>
          <w:szCs w:val="15"/>
        </w:rPr>
        <w:t xml:space="preserve">  overnight bridge                    │ Elec   │ Exhaust       ▼</w:t>
      </w:r>
    </w:p>
    <w:p>
      <w:pPr>
        <w:spacing w:after="0" w:before="0"/>
      </w:pPr>
      <w:r>
        <w:rPr>
          <w:rFonts w:ascii="Courier New" w:cs="Courier New" w:eastAsia="Courier New" w:hAnsi="Courier New"/>
          <w:color w:val="003366"/>
          <w:sz w:val="15"/>
          <w:szCs w:val="15"/>
        </w:rPr>
        <w:t xml:space="preserve">                                      ▼        ▼          DHW + Laundry + Kitchens</w:t>
      </w:r>
    </w:p>
    <w:p>
      <w:pPr>
        <w:spacing w:after="0" w:before="0"/>
      </w:pPr>
      <w:r>
        <w:rPr>
          <w:rFonts w:ascii="Courier New" w:cs="Courier New" w:eastAsia="Courier New" w:hAnsi="Courier New"/>
          <w:color w:val="003366"/>
          <w:sz w:val="15"/>
          <w:szCs w:val="15"/>
        </w:rPr>
        <w:t xml:space="preserve">                           A/C + lights + RO    6-Effect MED Unit</w:t>
      </w:r>
    </w:p>
    <w:p>
      <w:pPr>
        <w:spacing w:after="0" w:before="0"/>
      </w:pPr>
      <w:r>
        <w:rPr>
          <w:rFonts w:ascii="Courier New" w:cs="Courier New" w:eastAsia="Courier New" w:hAnsi="Courier New"/>
          <w:color w:val="003366"/>
          <w:sz w:val="15"/>
          <w:szCs w:val="15"/>
        </w:rPr>
        <w:t xml:space="preserve">                           H₂ HTSE reserve   25 m³/day (25,000 L)</w:t>
      </w:r>
    </w:p>
    <w:p>
      <w:pPr>
        <w:spacing w:after="0" w:before="0"/>
      </w:pPr>
      <w:r>
        <w:rPr>
          <w:rFonts w:ascii="Courier New" w:cs="Courier New" w:eastAsia="Courier New" w:hAnsi="Courier New"/>
          <w:color w:val="003366"/>
          <w:sz w:val="15"/>
          <w:szCs w:val="15"/>
        </w:rPr>
        <w:t xml:space="preserve">                                                     │</w:t>
      </w:r>
    </w:p>
    <w:p>
      <w:pPr>
        <w:spacing w:after="0" w:before="0"/>
      </w:pPr>
      <w:r>
        <w:rPr>
          <w:rFonts w:ascii="Courier New" w:cs="Courier New" w:eastAsia="Courier New" w:hAnsi="Courier New"/>
          <w:color w:val="003366"/>
          <w:sz w:val="15"/>
          <w:szCs w:val="15"/>
        </w:rPr>
        <w:t xml:space="preserve">                               ┌────────────────┘</w:t>
      </w:r>
    </w:p>
    <w:p>
      <w:pPr>
        <w:spacing w:after="0" w:before="0"/>
      </w:pPr>
      <w:r>
        <w:rPr>
          <w:rFonts w:ascii="Courier New" w:cs="Courier New" w:eastAsia="Courier New" w:hAnsi="Courier New"/>
          <w:color w:val="003366"/>
          <w:sz w:val="15"/>
          <w:szCs w:val="15"/>
        </w:rPr>
        <w:t xml:space="preserve">                               ├─ Bottled still water   1,350 L/day → Guest rooms + restaurant</w:t>
      </w:r>
    </w:p>
    <w:p>
      <w:pPr>
        <w:spacing w:after="0" w:before="0"/>
      </w:pPr>
      <w:r>
        <w:rPr>
          <w:rFonts w:ascii="Courier New" w:cs="Courier New" w:eastAsia="Courier New" w:hAnsi="Courier New"/>
          <w:color w:val="003366"/>
          <w:sz w:val="15"/>
          <w:szCs w:val="15"/>
        </w:rPr>
        <w:t xml:space="preserve">                               ├─ Pool make-up top-up   3,200 L/day → Both pools; zero water cost</w:t>
      </w:r>
    </w:p>
    <w:p>
      <w:pPr>
        <w:spacing w:after="0" w:before="0"/>
      </w:pPr>
      <w:r>
        <w:rPr>
          <w:rFonts w:ascii="Courier New" w:cs="Courier New" w:eastAsia="Courier New" w:hAnsi="Courier New"/>
          <w:color w:val="003366"/>
          <w:sz w:val="15"/>
          <w:szCs w:val="15"/>
        </w:rPr>
        <w:t xml:space="preserve">                               └─ Back-of-house water  20,450 L/day → Laundry, kitchen, irrigation</w:t>
      </w:r>
    </w:p>
    <w:p>
      <w:pPr>
        <w:spacing w:after="0" w:before="0"/>
      </w:pPr>
      <w:r>
        <w:rPr>
          <w:rFonts w:ascii="Courier New" w:cs="Courier New" w:eastAsia="Courier New" w:hAnsi="Courier New"/>
          <w:color w:val="003366"/>
          <w:sz w:val="15"/>
          <w:szCs w:val="15"/>
        </w:rPr>
        <w:t xml:space="preserve">                           ORC-powered RO → 174 m³/day bulk potable (showers, WCs)</w:t>
      </w:r>
    </w:p>
    <w:p>
      <w:pPr>
        <w:spacing w:after="0" w:before="80"/>
      </w:pPr>
      <w:r>
        <w:t xml:space="preserve"/>
      </w:r>
    </w:p>
    <w:p>
      <w:pPr>
        <w:pBdr>
          <w:bottom w:val="single" w:color="007B83" w:sz="8" w:space="2"/>
        </w:pBdr>
        <w:spacing w:after="80" w:before="200"/>
      </w:pPr>
      <w:r>
        <w:rPr>
          <w:rFonts w:ascii="Arial" w:cs="Arial" w:eastAsia="Arial" w:hAnsi="Arial"/>
          <w:b/>
          <w:bCs/>
          <w:color w:val="003366"/>
          <w:sz w:val="26"/>
          <w:szCs w:val="26"/>
        </w:rPr>
        <w:t xml:space="preserve">6.  The Full Output Stack — Power, Water &amp; Hydrogen from One Array</w:t>
      </w:r>
    </w:p>
    <w:p>
      <w:pPr>
        <w:spacing w:after="60" w:before="40"/>
      </w:pPr>
      <w:r>
        <w:rPr>
          <w:rFonts w:ascii="Arial" w:cs="Arial" w:eastAsia="Arial" w:hAnsi="Arial"/>
          <w:b/>
          <w:bCs/>
          <w:color w:val="003366"/>
          <w:sz w:val="19"/>
          <w:szCs w:val="19"/>
        </w:rPr>
        <w:t xml:space="preserve">ORC Power Generation:  </w:t>
      </w:r>
      <w:r>
        <w:rPr>
          <w:rFonts w:ascii="Arial" w:cs="Arial" w:eastAsia="Arial" w:hAnsi="Arial"/>
          <w:color w:val="1A1A2E"/>
          <w:sz w:val="19"/>
          <w:szCs w:val="19"/>
        </w:rPr>
        <w:t xml:space="preserve">The 40-unit high-temperature MacTherm™ array delivers BlueNanofluid™ at 220–260°C to the Regenerative ORC, producing ~351 kWh/day of clean electricity at 21% net efficiency, offsetting approximately 35% of total resort electrical demand. ORC exhaust heat at 85–110°C is then fully cascaded: 700 kWh/day to pool heating and DHW pre-heat; 423 kWh/day to the MED unit. Nothing is wasted.</w:t>
      </w:r>
    </w:p>
    <w:p>
      <w:pPr>
        <w:spacing w:after="60" w:before="40"/>
      </w:pPr>
      <w:r>
        <w:rPr>
          <w:rFonts w:ascii="Arial" w:cs="Arial" w:eastAsia="Arial" w:hAnsi="Arial"/>
          <w:b/>
          <w:bCs/>
          <w:color w:val="003366"/>
          <w:sz w:val="19"/>
          <w:szCs w:val="19"/>
        </w:rPr>
        <w:t xml:space="preserve">MED Desalination (ORC Exhaust):  </w:t>
      </w:r>
      <w:r>
        <w:rPr>
          <w:rFonts w:ascii="Arial" w:cs="Arial" w:eastAsia="Arial" w:hAnsi="Arial"/>
          <w:color w:val="1A1A2E"/>
          <w:sz w:val="19"/>
          <w:szCs w:val="19"/>
        </w:rPr>
        <w:t xml:space="preserve">423 kWh/day of ORC condenser heat drives the 6-effect MED skid at 17 kWh thermal per m³, producing 25 m³/day of distillate. Electrical pumping requires only 37 kWh/day — 83% less than an equivalent RO system. The distillate serves bottled water, pool top-up, and all back-of-house non-potable demand. A supplementary ORC-powered RO unit covers bulk potable at 3 kWh/m³ for the remaining 174 m³/day. Combined, MED and RO deliver complete independence from water trucking.</w:t>
      </w:r>
    </w:p>
    <w:p>
      <w:pPr>
        <w:spacing w:after="60" w:before="40"/>
      </w:pPr>
      <w:r>
        <w:rPr>
          <w:rFonts w:ascii="Arial" w:cs="Arial" w:eastAsia="Arial" w:hAnsi="Arial"/>
          <w:b/>
          <w:bCs/>
          <w:color w:val="003366"/>
          <w:sz w:val="19"/>
          <w:szCs w:val="19"/>
        </w:rPr>
        <w:t xml:space="preserve">Hydrogen Reserve (HTSE):  </w:t>
      </w:r>
      <w:r>
        <w:rPr>
          <w:rFonts w:ascii="Arial" w:cs="Arial" w:eastAsia="Arial" w:hAnsi="Arial"/>
          <w:color w:val="1A1A2E"/>
          <w:sz w:val="19"/>
          <w:szCs w:val="19"/>
        </w:rPr>
        <w:t xml:space="preserve">10% of ORC electrical output powers a High-Temperature Steam Electrolysis unit producing ~0.9 kg of green hydrogen per day at 37–40 kWh/kg — 25–35% more efficient than ambient-temperature electrolysis. A 7-day pre-storm build-up accumulates ~6.4 kg H₂ (213 kWh stored). When the grid fails and fuel trucks cannot reach the island, this reserve powers a fuel cell for refrigeration, communications, medical equipment, and lighting through the duration of the event. Combined with 24–48 hours of pre-produced MED water in the storage tank, the resort sustains guest-safe operations through a Category 4 hurricane without any diesel dependency.</w:t>
      </w:r>
    </w:p>
    <w:p>
      <w:pPr>
        <w:spacing w:after="60" w:before="40"/>
      </w:pPr>
      <w:r>
        <w:rPr>
          <w:rFonts w:ascii="Arial" w:cs="Arial" w:eastAsia="Arial" w:hAnsi="Arial"/>
          <w:color w:val="1A1A2E"/>
          <w:sz w:val="19"/>
          <w:szCs w:val="19"/>
        </w:rPr>
        <w:t xml:space="preserve">Every joule captured by the MacTherm™ array either becomes electricity, process heat, desalinated water, or stored hydrogen energy. The cascade is complete. Nothing leaves the system unproductively.</w:t>
      </w:r>
    </w:p>
    <w:p>
      <w:r>
        <w:br w:type="page"/>
      </w:r>
    </w:p>
    <w:p>
      <w:pPr>
        <w:pBdr>
          <w:bottom w:val="single" w:color="007B83" w:sz="12" w:space="4"/>
        </w:pBdr>
        <w:spacing w:after="60" w:before="0"/>
      </w:pPr>
      <w:r>
        <w:rPr>
          <w:rFonts w:ascii="Segoe UI Emoji" w:cs="Segoe UI Emoji" w:eastAsia="Segoe UI Emoji" w:hAnsi="Segoe UI Emoji"/>
          <w:sz w:val="32"/>
          <w:szCs w:val="32"/>
        </w:rPr>
        <w:t xml:space="preserve">💧 </w:t>
      </w:r>
      <w:r>
        <w:rPr>
          <w:rFonts w:ascii="Arial" w:cs="Arial" w:eastAsia="Arial" w:hAnsi="Arial"/>
          <w:b/>
          <w:bCs/>
          <w:color w:val="003366"/>
          <w:sz w:val="28"/>
          <w:szCs w:val="28"/>
        </w:rPr>
        <w:t xml:space="preserve">NEW BLUE SOLUTION LLC</w:t>
      </w:r>
      <w:r>
        <w:rPr>
          <w:rFonts w:ascii="Arial" w:cs="Arial" w:eastAsia="Arial" w:hAnsi="Arial"/>
          <w:color w:val="0070C0"/>
          <w:sz w:val="20"/>
          <w:szCs w:val="20"/>
        </w:rPr>
        <w:t xml:space="preserve">   |   newbluesolution.com   |   bluenanofluid.com</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7.  Five-Mode Operating Logic — Intelligent Thermal, Power &amp; Water Switching</w:t>
      </w:r>
    </w:p>
    <w:p>
      <w:pPr>
        <w:spacing w:after="60" w:before="40"/>
      </w:pPr>
      <w:r>
        <w:rPr>
          <w:rFonts w:ascii="Arial" w:cs="Arial" w:eastAsia="Arial" w:hAnsi="Arial"/>
          <w:color w:val="1A1A2E"/>
          <w:sz w:val="19"/>
          <w:szCs w:val="19"/>
        </w:rPr>
        <w:t xml:space="preserve">The NBS AI thermal switching controller manages all energy and water flows across five operating modes, maintaining guest-facing service quality regardless of solar conditions. MED output, RO output, and stored water integrate naturally into the storm resilience logic.</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700"/>
        <w:gridCol w:w="1800"/>
        <w:gridCol w:w="2500"/>
        <w:gridCol w:w="1920"/>
      </w:tblGrid>
      <w:tr>
        <w:trPr>
          <w:tblHeader/>
        </w:trPr>
        <w:tc>
          <w:tcPr>
            <w:tcW w:type="dxa" w:w="144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Mode</w:t>
            </w:r>
          </w:p>
        </w:tc>
        <w:tc>
          <w:tcPr>
            <w:tcW w:type="dxa" w:w="17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Condition</w:t>
            </w:r>
          </w:p>
        </w:tc>
        <w:tc>
          <w:tcPr>
            <w:tcW w:type="dxa" w:w="18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Array Status</w:t>
            </w:r>
          </w:p>
        </w:tc>
        <w:tc>
          <w:tcPr>
            <w:tcW w:type="dxa" w:w="25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Energy &amp; Water Source</w:t>
            </w:r>
          </w:p>
        </w:tc>
        <w:tc>
          <w:tcPr>
            <w:tcW w:type="dxa" w:w="192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Guest Impact</w:t>
            </w:r>
          </w:p>
        </w:tc>
      </w:tr>
      <w:tr>
        <w:tc>
          <w:tcPr>
            <w:tcW w:type="dxa" w:w="14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1 — Peak Solar</w:t>
            </w:r>
          </w:p>
        </w:tc>
        <w:tc>
          <w:tcPr>
            <w:tcW w:type="dxa" w:w="1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High DNI, clear sky</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Full array on-line</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Full ORC output; MED at rated 25 m³/day; RO running; TES charging; H₂ production</w:t>
            </w:r>
          </w:p>
        </w:tc>
        <w:tc>
          <w:tcPr>
            <w:tcW w:type="dxa" w:w="19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Maximum water + power output</w:t>
            </w:r>
          </w:p>
        </w:tc>
      </w:tr>
      <w:tr>
        <w:tc>
          <w:tcPr>
            <w:tcW w:type="dxa" w:w="14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2 — Partial Solar</w:t>
            </w:r>
          </w:p>
        </w:tc>
        <w:tc>
          <w:tcPr>
            <w:tcW w:type="dxa" w:w="1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Cloud / morning ramp</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Partial array active</w:t>
            </w:r>
          </w:p>
        </w:tc>
        <w:tc>
          <w:tcPr>
            <w:tcW w:type="dxa" w:w="25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Solar + TES blended; MED throttled proportionally; RO on reduced output</w:t>
            </w:r>
          </w:p>
        </w:tc>
        <w:tc>
          <w:tcPr>
            <w:tcW w:type="dxa" w:w="19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All guest loads maintained</w:t>
            </w:r>
          </w:p>
        </w:tc>
      </w:tr>
      <w:tr>
        <w:tc>
          <w:tcPr>
            <w:tcW w:type="dxa" w:w="14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3 — Stored Energy</w:t>
            </w:r>
          </w:p>
        </w:tc>
        <w:tc>
          <w:tcPr>
            <w:tcW w:type="dxa" w:w="1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Night / overcast</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Array idle</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TES thermal 8–10 hr; MED paused; pre-produced MED water in storage tank; RO on battery/grid</w:t>
            </w:r>
          </w:p>
        </w:tc>
        <w:tc>
          <w:tcPr>
            <w:tcW w:type="dxa" w:w="19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Full service continuity</w:t>
            </w:r>
          </w:p>
        </w:tc>
      </w:tr>
      <w:tr>
        <w:tc>
          <w:tcPr>
            <w:tcW w:type="dxa" w:w="144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4 — Storm / Grid</w:t>
            </w:r>
          </w:p>
        </w:tc>
        <w:tc>
          <w:tcPr>
            <w:tcW w:type="dxa" w:w="1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Hurricane / grid failure</w:t>
            </w:r>
          </w:p>
        </w:tc>
        <w:tc>
          <w:tcPr>
            <w:tcW w:type="dxa" w:w="1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Array secured or isolated</w:t>
            </w:r>
          </w:p>
        </w:tc>
        <w:tc>
          <w:tcPr>
            <w:tcW w:type="dxa" w:w="25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H₂ fuel cell powers essentials; MED offline; stored water reserve sustains resort 24–48 hr</w:t>
            </w:r>
          </w:p>
        </w:tc>
        <w:tc>
          <w:tcPr>
            <w:tcW w:type="dxa" w:w="192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Essential loads; water reserve</w:t>
            </w:r>
          </w:p>
        </w:tc>
      </w:tr>
      <w:tr>
        <w:tc>
          <w:tcPr>
            <w:tcW w:type="dxa" w:w="144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5 — Maintenance</w:t>
            </w:r>
          </w:p>
        </w:tc>
        <w:tc>
          <w:tcPr>
            <w:tcW w:type="dxa" w:w="1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Any</w:t>
            </w:r>
          </w:p>
        </w:tc>
        <w:tc>
          <w:tcPr>
            <w:tcW w:type="dxa" w:w="1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Section isolated (hot-swap)</w:t>
            </w:r>
          </w:p>
        </w:tc>
        <w:tc>
          <w:tcPr>
            <w:tcW w:type="dxa" w:w="25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Remaining sections + TES; MED on reduced input; RO covers water gap</w:t>
            </w:r>
          </w:p>
        </w:tc>
        <w:tc>
          <w:tcPr>
            <w:tcW w:type="dxa" w:w="192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Uninterrupted guest service</w:t>
            </w:r>
          </w:p>
        </w:tc>
      </w:tr>
    </w:tbl>
    <w:p>
      <w:pPr>
        <w:spacing w:after="0" w:before="80"/>
      </w:pPr>
      <w:r>
        <w:t xml:space="preserve"/>
      </w:r>
    </w:p>
    <w:p>
      <w:pPr>
        <w:pBdr>
          <w:bottom w:val="single" w:color="007B83" w:sz="8" w:space="2"/>
        </w:pBdr>
        <w:spacing w:after="80" w:before="200"/>
      </w:pPr>
      <w:r>
        <w:rPr>
          <w:rFonts w:ascii="Arial" w:cs="Arial" w:eastAsia="Arial" w:hAnsi="Arial"/>
          <w:b/>
          <w:bCs/>
          <w:color w:val="003366"/>
          <w:sz w:val="26"/>
          <w:szCs w:val="26"/>
        </w:rPr>
        <w:t xml:space="preserve">8.  Key Performance Parameters — 120-Room All-Inclusive Reference Resort</w:t>
      </w:r>
    </w:p>
    <w:p>
      <w:pPr>
        <w:spacing w:after="60" w:before="40"/>
      </w:pPr>
      <w:r>
        <w:rPr>
          <w:rFonts w:ascii="Arial" w:cs="Arial" w:eastAsia="Arial" w:hAnsi="Arial"/>
          <w:color w:val="1A1A2E"/>
          <w:sz w:val="19"/>
          <w:szCs w:val="19"/>
        </w:rPr>
        <w:t xml:space="preserve">Basis: 60-unit MacTherm™ 12’×12’ array (13.4 m² per unit), Caribbean DNI 6.0 kWh/m²/day, ambient 30°C. High-temp efficiency: 65% at 220–260°C. Mid-temp efficiency: 72% at 80–120°C. MED: 6-effect resort skid at 17 kWh thermal/m³, ORC exhaust at 85–110°C.</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780"/>
        <w:gridCol w:w="2780"/>
      </w:tblGrid>
      <w:tr>
        <w:trPr>
          <w:tblHeader/>
        </w:trPr>
        <w:tc>
          <w:tcPr>
            <w:tcW w:type="dxa" w:w="38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Parameter</w:t>
            </w:r>
          </w:p>
        </w:tc>
        <w:tc>
          <w:tcPr>
            <w:tcW w:type="dxa" w:w="2780"/>
            <w:tcBorders>
              <w:top w:val="single" w:color="A8D8DB" w:sz="4"/>
              <w:left w:val="single" w:color="A8D8DB" w:sz="4"/>
              <w:bottom w:val="single" w:color="A8D8DB" w:sz="4"/>
              <w:right w:val="single" w:color="A8D8DB" w:sz="4"/>
            </w:tcBorders>
            <w:shd w:fill="007B83"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Value</w:t>
            </w:r>
          </w:p>
        </w:tc>
        <w:tc>
          <w:tcPr>
            <w:tcW w:type="dxa" w:w="278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Notes</w:t>
            </w:r>
          </w:p>
        </w:tc>
      </w:tr>
      <w:tr>
        <w:tc>
          <w:tcPr>
            <w:tcW w:type="dxa" w:w="3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MacTherm™ array</w:t>
            </w:r>
          </w:p>
        </w:tc>
        <w:tc>
          <w:tcPr>
            <w:tcW w:type="dxa" w:w="27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40 high-temp + 20 mid-temp (60 total)</w:t>
            </w:r>
          </w:p>
        </w:tc>
        <w:tc>
          <w:tcPr>
            <w:tcW w:type="dxa" w:w="27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8×5 + 4×5 string configuration; 13.4 m² per unit</w:t>
            </w:r>
          </w:p>
        </w:tc>
      </w:tr>
      <w:tr>
        <w:tc>
          <w:tcPr>
            <w:tcW w:type="dxa" w:w="3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Total daily thermal output</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2,598 kWh/day (solar hours)</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1,672 kWh high-temp + 926 kWh mid-temp</w:t>
            </w:r>
          </w:p>
        </w:tc>
      </w:tr>
      <w:tr>
        <w:tc>
          <w:tcPr>
            <w:tcW w:type="dxa" w:w="3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electrical output</w:t>
            </w:r>
          </w:p>
        </w:tc>
        <w:tc>
          <w:tcPr>
            <w:tcW w:type="dxa" w:w="27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~351 kWh/day</w:t>
            </w:r>
          </w:p>
        </w:tc>
        <w:tc>
          <w:tcPr>
            <w:tcW w:type="dxa" w:w="27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21% net efficiency at 220–260°C</w:t>
            </w:r>
          </w:p>
        </w:tc>
      </w:tr>
      <w:tr>
        <w:tc>
          <w:tcPr>
            <w:tcW w:type="dxa" w:w="3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 exhaust heat usable (85–110°C)</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~1,057 kWh/day</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Pool+DHW (700 kWh) + MED (423 kWh) — 85% recovery factor</w:t>
            </w:r>
          </w:p>
        </w:tc>
      </w:tr>
      <w:tr>
        <w:tc>
          <w:tcPr>
            <w:tcW w:type="dxa" w:w="3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MED desalination output</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25 m³/day (25,000 L/day)</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6-effect resort skid; 17 kWh thermal/m³; driven by ORC exhaust only</w:t>
            </w:r>
          </w:p>
        </w:tc>
      </w:tr>
      <w:tr>
        <w:tc>
          <w:tcPr>
            <w:tcW w:type="dxa" w:w="3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MED pumping electricity</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37 kWh/day</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1.5 kWh/m³ — 83% less electrical than equivalent standalone RO</w:t>
            </w:r>
          </w:p>
        </w:tc>
      </w:tr>
      <w:tr>
        <w:tc>
          <w:tcPr>
            <w:tcW w:type="dxa" w:w="3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Bottled / drinking water</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1,350 L/day on-site</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MED distillate + remineralisation; resort-branded still water quality</w:t>
            </w:r>
          </w:p>
        </w:tc>
      </w:tr>
      <w:tr>
        <w:tc>
          <w:tcPr>
            <w:tcW w:type="dxa" w:w="3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Swimming pool top-up</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3,200 L/day (2 pools)</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MED distillate covers 100% of evaporation + splash losses</w:t>
            </w:r>
          </w:p>
        </w:tc>
      </w:tr>
      <w:tr>
        <w:tc>
          <w:tcPr>
            <w:tcW w:type="dxa" w:w="38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Back-of-house water (MED)</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C8962A"/>
                <w:sz w:val="17"/>
                <w:szCs w:val="17"/>
              </w:rPr>
              <w:t xml:space="preserve">~20,450 L/day</w:t>
            </w:r>
          </w:p>
        </w:tc>
        <w:tc>
          <w:tcPr>
            <w:tcW w:type="dxa" w:w="27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Laundry, kitchen prep, irrigation, WC — from MED distillate</w:t>
            </w:r>
          </w:p>
        </w:tc>
      </w:tr>
      <w:tr>
        <w:tc>
          <w:tcPr>
            <w:tcW w:type="dxa" w:w="3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Bulk potable (showers, general)</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174 m³/day</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ORC-powered RO; supplements or replaces municipal connection</w:t>
            </w:r>
          </w:p>
        </w:tc>
      </w:tr>
      <w:tr>
        <w:tc>
          <w:tcPr>
            <w:tcW w:type="dxa" w:w="3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Total resort water independence</w:t>
            </w:r>
          </w:p>
        </w:tc>
        <w:tc>
          <w:tcPr>
            <w:tcW w:type="dxa" w:w="27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~14% from MED; ~100% combined</w:t>
            </w:r>
          </w:p>
        </w:tc>
        <w:tc>
          <w:tcPr>
            <w:tcW w:type="dxa" w:w="27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MED handles premium uses; RO covers bulk; full water independence achievable</w:t>
            </w:r>
          </w:p>
        </w:tc>
      </w:tr>
      <w:tr>
        <w:tc>
          <w:tcPr>
            <w:tcW w:type="dxa" w:w="3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Thermal loads covered (DHW, pools, kitchens)</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100%</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Complete solar offset of all diesel boilers</w:t>
            </w:r>
          </w:p>
        </w:tc>
      </w:tr>
      <w:tr>
        <w:tc>
          <w:tcPr>
            <w:tcW w:type="dxa" w:w="3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Electrical loads covered by ORC</w:t>
            </w:r>
          </w:p>
        </w:tc>
        <w:tc>
          <w:tcPr>
            <w:tcW w:type="dxa" w:w="27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~35%</w:t>
            </w:r>
          </w:p>
        </w:tc>
        <w:tc>
          <w:tcPr>
            <w:tcW w:type="dxa" w:w="27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Scalable toward full independence with larger array</w:t>
            </w:r>
          </w:p>
        </w:tc>
      </w:tr>
      <w:tr>
        <w:tc>
          <w:tcPr>
            <w:tcW w:type="dxa" w:w="3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Thermal storage (Hitec XL)</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660 kWh stored</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8–10 hr overnight thermal bridge</w:t>
            </w:r>
          </w:p>
        </w:tc>
      </w:tr>
      <w:tr>
        <w:tc>
          <w:tcPr>
            <w:tcW w:type="dxa" w:w="38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H₂ reserve (7-day build-up)</w:t>
            </w:r>
          </w:p>
        </w:tc>
        <w:tc>
          <w:tcPr>
            <w:tcW w:type="dxa" w:w="27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~6.4 kg H₂ = 213 kWh</w:t>
            </w:r>
          </w:p>
        </w:tc>
        <w:tc>
          <w:tcPr>
            <w:tcW w:type="dxa" w:w="27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Fuel cell backup for essential systems through storm events</w:t>
            </w:r>
          </w:p>
        </w:tc>
      </w:tr>
      <w:tr>
        <w:tc>
          <w:tcPr>
            <w:tcW w:type="dxa" w:w="38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CO₂ avoided</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007B83"/>
                <w:sz w:val="17"/>
                <w:szCs w:val="17"/>
              </w:rPr>
              <w:t xml:space="preserve">~207 tonnes/year</w:t>
            </w:r>
          </w:p>
        </w:tc>
        <w:tc>
          <w:tcPr>
            <w:tcW w:type="dxa" w:w="27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Verified diesel generator + diesel boiler displacement</w:t>
            </w:r>
          </w:p>
        </w:tc>
      </w:tr>
    </w:tbl>
    <w:p>
      <w:pPr>
        <w:spacing w:after="0" w:before="80"/>
      </w:pPr>
      <w:r>
        <w:t xml:space="preserve"/>
      </w:r>
    </w:p>
    <w:p>
      <w:pPr>
        <w:pBdr>
          <w:bottom w:val="single" w:color="007B83" w:sz="8" w:space="2"/>
        </w:pBdr>
        <w:spacing w:after="80" w:before="200"/>
      </w:pPr>
      <w:r>
        <w:rPr>
          <w:rFonts w:ascii="Arial" w:cs="Arial" w:eastAsia="Arial" w:hAnsi="Arial"/>
          <w:b/>
          <w:bCs/>
          <w:color w:val="003366"/>
          <w:sz w:val="26"/>
          <w:szCs w:val="26"/>
        </w:rPr>
        <w:t xml:space="preserve">9.  Financial Case — Savings &amp; Return on Investment</w:t>
      </w:r>
    </w:p>
    <w:p>
      <w:pPr>
        <w:spacing w:after="60" w:before="40"/>
      </w:pPr>
      <w:r>
        <w:rPr>
          <w:rFonts w:ascii="Arial" w:cs="Arial" w:eastAsia="Arial" w:hAnsi="Arial"/>
          <w:color w:val="1A1A2E"/>
          <w:sz w:val="19"/>
          <w:szCs w:val="19"/>
        </w:rPr>
        <w:t xml:space="preserve">The financial case is built on four distinct saving streams: electricity offset via ORC, complete elimination of diesel boiler and propane costs, elimination of all water procurement costs (bottled, trucked, and metered), and reduction in generator and boiler maintenance. The MED unit adds three of these streams at a marginal capital cost of $100,000–$145,000 on top of the $920,000 base system.</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1900"/>
        <w:gridCol w:w="2060"/>
        <w:gridCol w:w="2700"/>
      </w:tblGrid>
      <w:tr>
        <w:trPr>
          <w:tblHeader/>
        </w:trPr>
        <w:tc>
          <w:tcPr>
            <w:tcW w:type="dxa" w:w="27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Cost Category</w:t>
            </w:r>
          </w:p>
        </w:tc>
        <w:tc>
          <w:tcPr>
            <w:tcW w:type="dxa" w:w="1900"/>
            <w:tcBorders>
              <w:top w:val="single" w:color="A8D8DB" w:sz="4"/>
              <w:left w:val="single" w:color="A8D8DB" w:sz="4"/>
              <w:bottom w:val="single" w:color="A8D8DB" w:sz="4"/>
              <w:right w:val="single" w:color="A8D8DB" w:sz="4"/>
            </w:tcBorders>
            <w:shd w:fill="C8962A"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Current Annual Cost</w:t>
            </w:r>
          </w:p>
        </w:tc>
        <w:tc>
          <w:tcPr>
            <w:tcW w:type="dxa" w:w="2060"/>
            <w:tcBorders>
              <w:top w:val="single" w:color="A8D8DB" w:sz="4"/>
              <w:left w:val="single" w:color="A8D8DB" w:sz="4"/>
              <w:bottom w:val="single" w:color="A8D8DB" w:sz="4"/>
              <w:right w:val="single" w:color="A8D8DB" w:sz="4"/>
            </w:tcBorders>
            <w:shd w:fill="1A7A4A"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With NBS + MED System</w:t>
            </w:r>
          </w:p>
        </w:tc>
        <w:tc>
          <w:tcPr>
            <w:tcW w:type="dxa" w:w="27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Annual Saving / Outcome</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Diesel / grid electricity (A/C, lighting, etc.)</w:t>
            </w:r>
          </w:p>
        </w:tc>
        <w:tc>
          <w:tcPr>
            <w:tcW w:type="dxa" w:w="19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$1,460K–$1,825K</w:t>
            </w:r>
          </w:p>
        </w:tc>
        <w:tc>
          <w:tcPr>
            <w:tcW w:type="dxa" w:w="20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~$1,095K–$1,461K (ORC ~35% offset)</w:t>
            </w:r>
          </w:p>
        </w:tc>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$365K–$584K / yr</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Diesel / propane for DHW, pools &amp; kitchen heat</w:t>
            </w:r>
          </w:p>
        </w:tc>
        <w:tc>
          <w:tcPr>
            <w:tcW w:type="dxa" w:w="19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$70K–$130K</w:t>
            </w:r>
          </w:p>
        </w:tc>
        <w:tc>
          <w:tcPr>
            <w:tcW w:type="dxa" w:w="206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~$0 (100% solar thermal)</w:t>
            </w:r>
          </w:p>
        </w:tc>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$70K–$130K / yr</w:t>
            </w:r>
          </w:p>
        </w:tc>
      </w:tr>
      <w:tr>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Bottled water procurement (guests + kitchen)</w:t>
            </w:r>
          </w:p>
        </w:tc>
        <w:tc>
          <w:tcPr>
            <w:tcW w:type="dxa" w:w="19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$290K–$360K</w:t>
            </w:r>
          </w:p>
        </w:tc>
        <w:tc>
          <w:tcPr>
            <w:tcW w:type="dxa" w:w="206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~$0 (on-site MED distillate + remineralise)</w:t>
            </w:r>
          </w:p>
        </w:tc>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$290K–$360K / yr</w:t>
            </w:r>
          </w:p>
        </w:tc>
      </w:tr>
      <w:tr>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Pool make-up water (trucked / metered)</w:t>
            </w:r>
          </w:p>
        </w:tc>
        <w:tc>
          <w:tcPr>
            <w:tcW w:type="dxa" w:w="19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$9K–$15K</w:t>
            </w:r>
          </w:p>
        </w:tc>
        <w:tc>
          <w:tcPr>
            <w:tcW w:type="dxa" w:w="206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~$0 (MED distillate covers 100%)</w:t>
            </w:r>
          </w:p>
        </w:tc>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$9K–$15K / yr</w:t>
            </w:r>
          </w:p>
        </w:tc>
      </w:tr>
      <w:tr>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Back-of-house water (laundry, kitchen, irrigation)</w:t>
            </w:r>
          </w:p>
        </w:tc>
        <w:tc>
          <w:tcPr>
            <w:tcW w:type="dxa" w:w="19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$55K–$80K</w:t>
            </w:r>
          </w:p>
        </w:tc>
        <w:tc>
          <w:tcPr>
            <w:tcW w:type="dxa" w:w="206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~$0 (MED distillate 20 m³/day)</w:t>
            </w:r>
          </w:p>
        </w:tc>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$55K–$80K / yr</w:t>
            </w:r>
          </w:p>
        </w:tc>
      </w:tr>
      <w:tr>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Bulk potable (showers, WCs) — trucked or metered</w:t>
            </w:r>
          </w:p>
        </w:tc>
        <w:tc>
          <w:tcPr>
            <w:tcW w:type="dxa" w:w="19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$120K–$250K</w:t>
            </w:r>
          </w:p>
        </w:tc>
        <w:tc>
          <w:tcPr>
            <w:tcW w:type="dxa" w:w="206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~$0 (ORC-powered RO on-site)</w:t>
            </w:r>
          </w:p>
        </w:tc>
        <w:tc>
          <w:tcPr>
            <w:tcW w:type="dxa" w:w="270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$120K–$250K / yr</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Generator + boiler maintenance &amp; logistics</w:t>
            </w:r>
          </w:p>
        </w:tc>
        <w:tc>
          <w:tcPr>
            <w:tcW w:type="dxa" w:w="19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$55K–$95K</w:t>
            </w:r>
          </w:p>
        </w:tc>
        <w:tc>
          <w:tcPr>
            <w:tcW w:type="dxa" w:w="20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Significantly reduced</w:t>
            </w:r>
          </w:p>
        </w:tc>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$30K–$50K / yr</w:t>
            </w:r>
          </w:p>
        </w:tc>
      </w:tr>
      <w:tr>
        <w:tc>
          <w:tcPr>
            <w:tcW w:type="dxa" w:w="27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TOTAL ANNUAL OPERATING SAVINGS</w:t>
            </w:r>
          </w:p>
        </w:tc>
        <w:tc>
          <w:tcPr>
            <w:tcW w:type="dxa" w:w="19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w:t>
            </w:r>
          </w:p>
        </w:tc>
        <w:tc>
          <w:tcPr>
            <w:tcW w:type="dxa" w:w="206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w:t>
            </w:r>
          </w:p>
        </w:tc>
        <w:tc>
          <w:tcPr>
            <w:tcW w:type="dxa" w:w="27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$939K–$1,469K / yr</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Total capital cost (60-unit array + MED + full stack)</w:t>
            </w:r>
          </w:p>
        </w:tc>
        <w:tc>
          <w:tcPr>
            <w:tcW w:type="dxa" w:w="19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w:t>
            </w:r>
          </w:p>
        </w:tc>
        <w:tc>
          <w:tcPr>
            <w:tcW w:type="dxa" w:w="206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$1,020K–$1,065K installed</w:t>
            </w:r>
          </w:p>
        </w:tc>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center"/>
            </w:pPr>
            <w:r>
              <w:rPr>
                <w:rFonts w:ascii="Arial" w:cs="Arial" w:eastAsia="Arial" w:hAnsi="Arial"/>
                <w:b w:val="false"/>
                <w:bCs w:val="false"/>
                <w:color w:val="1A1A2E"/>
                <w:sz w:val="17"/>
                <w:szCs w:val="17"/>
              </w:rPr>
              <w:t xml:space="preserve">One-time</w:t>
            </w:r>
          </w:p>
        </w:tc>
      </w:tr>
      <w:tr>
        <w:tc>
          <w:tcPr>
            <w:tcW w:type="dxa" w:w="27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Simple payback period</w:t>
            </w:r>
          </w:p>
        </w:tc>
        <w:tc>
          <w:tcPr>
            <w:tcW w:type="dxa" w:w="19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w:t>
            </w:r>
          </w:p>
        </w:tc>
        <w:tc>
          <w:tcPr>
            <w:tcW w:type="dxa" w:w="206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0.7–1.1 years</w:t>
            </w:r>
          </w:p>
        </w:tc>
        <w:tc>
          <w:tcPr>
            <w:tcW w:type="dxa" w:w="27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Caribbean diesel + water pricing</w:t>
            </w:r>
          </w:p>
        </w:tc>
      </w:tr>
      <w:tr>
        <w:tc>
          <w:tcPr>
            <w:tcW w:type="dxa" w:w="27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bCs/>
                <w:color w:val="C8962A"/>
                <w:sz w:val="17"/>
                <w:szCs w:val="17"/>
              </w:rPr>
              <w:t xml:space="preserve">20-year gross NPV savings</w:t>
            </w:r>
          </w:p>
        </w:tc>
        <w:tc>
          <w:tcPr>
            <w:tcW w:type="dxa" w:w="19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w:t>
            </w:r>
          </w:p>
        </w:tc>
        <w:tc>
          <w:tcPr>
            <w:tcW w:type="dxa" w:w="206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$17.7M–$28.4M per property</w:t>
            </w:r>
          </w:p>
        </w:tc>
        <w:tc>
          <w:tcPr>
            <w:tcW w:type="dxa" w:w="270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center"/>
            </w:pPr>
            <w:r>
              <w:rPr>
                <w:rFonts w:ascii="Arial" w:cs="Arial" w:eastAsia="Arial" w:hAnsi="Arial"/>
                <w:b/>
                <w:bCs/>
                <w:color w:val="1A1A2E"/>
                <w:sz w:val="17"/>
                <w:szCs w:val="17"/>
              </w:rPr>
              <w:t xml:space="preserve">After full capital recovery</w:t>
            </w:r>
          </w:p>
        </w:tc>
      </w:tr>
    </w:tbl>
    <w:p>
      <w:pPr>
        <w:spacing w:after="0" w:before="50"/>
      </w:pPr>
      <w:r>
        <w:t xml:space="preserve"/>
      </w:r>
    </w:p>
    <w:p>
      <w:pPr>
        <w:spacing w:after="50" w:before="30"/>
      </w:pPr>
      <w:r>
        <w:rPr>
          <w:rFonts w:ascii="Arial" w:cs="Arial" w:eastAsia="Arial" w:hAnsi="Arial"/>
          <w:i/>
          <w:iCs/>
          <w:color w:val="555555"/>
          <w:sz w:val="17"/>
          <w:szCs w:val="17"/>
        </w:rPr>
        <w:t xml:space="preserve">¹ Electricity savings reflect ~35% ORC offset of total resort electrical spend at $0.40/kWh Caribbean average. Full electrical independence is achievable by scaling the high-temperature array.</w:t>
      </w:r>
    </w:p>
    <w:p>
      <w:pPr>
        <w:spacing w:after="50" w:before="30"/>
      </w:pPr>
      <w:r>
        <w:rPr>
          <w:rFonts w:ascii="Arial" w:cs="Arial" w:eastAsia="Arial" w:hAnsi="Arial"/>
          <w:i/>
          <w:iCs/>
          <w:color w:val="555555"/>
          <w:sz w:val="17"/>
          <w:szCs w:val="17"/>
        </w:rPr>
        <w:t xml:space="preserve">² Water savings: bottled water at $0.55/L bulk procurement; back-of-house at $8/m³; bulk potable at $8/m³ trucked rate. MED produces 25 m³/day; ORC-powered RO covers remaining 174 m³/day bulk potable, eliminating all trucked water costs.</w:t>
      </w:r>
    </w:p>
    <w:p>
      <w:pPr>
        <w:spacing w:after="50" w:before="30"/>
      </w:pPr>
      <w:r>
        <w:rPr>
          <w:rFonts w:ascii="Arial" w:cs="Arial" w:eastAsia="Arial" w:hAnsi="Arial"/>
          <w:i/>
          <w:iCs/>
          <w:color w:val="555555"/>
          <w:sz w:val="17"/>
          <w:szCs w:val="17"/>
        </w:rPr>
        <w:t xml:space="preserve">³ Total capital of $1,020K–$1,065K includes base system ($920K) plus 6-effect MED skid ($80K–$120K) and remineralisation/bottling station ($15K–$25K). Payback under 1.1 years at Caribbean pricing.</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10.  NBS Resort System vs. Conventional Caribbean Resort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3080"/>
        <w:gridCol w:w="3580"/>
      </w:tblGrid>
      <w:tr>
        <w:trPr>
          <w:tblHeader/>
        </w:trPr>
        <w:tc>
          <w:tcPr>
            <w:tcW w:type="dxa" w:w="2700"/>
            <w:tcBorders>
              <w:top w:val="single" w:color="A8D8DB" w:sz="4"/>
              <w:left w:val="single" w:color="A8D8DB" w:sz="4"/>
              <w:bottom w:val="single" w:color="A8D8DB" w:sz="4"/>
              <w:right w:val="single" w:color="A8D8DB" w:sz="4"/>
            </w:tcBorders>
            <w:shd w:fill="003366"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Factor</w:t>
            </w:r>
          </w:p>
        </w:tc>
        <w:tc>
          <w:tcPr>
            <w:tcW w:type="dxa" w:w="3080"/>
            <w:tcBorders>
              <w:top w:val="single" w:color="A8D8DB" w:sz="4"/>
              <w:left w:val="single" w:color="A8D8DB" w:sz="4"/>
              <w:bottom w:val="single" w:color="A8D8DB" w:sz="4"/>
              <w:right w:val="single" w:color="A8D8DB" w:sz="4"/>
            </w:tcBorders>
            <w:shd w:fill="C8962A"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Conventional Caribbean Resort</w:t>
            </w:r>
          </w:p>
        </w:tc>
        <w:tc>
          <w:tcPr>
            <w:tcW w:type="dxa" w:w="3580"/>
            <w:tcBorders>
              <w:top w:val="single" w:color="A8D8DB" w:sz="4"/>
              <w:left w:val="single" w:color="A8D8DB" w:sz="4"/>
              <w:bottom w:val="single" w:color="A8D8DB" w:sz="4"/>
              <w:right w:val="single" w:color="A8D8DB" w:sz="4"/>
            </w:tcBorders>
            <w:shd w:fill="1A7A4A" w:val="clear"/>
            <w:tcMar>
              <w:top w:type="dxa" w:w="80"/>
              <w:left w:type="dxa" w:w="120"/>
              <w:bottom w:type="dxa" w:w="80"/>
              <w:right w:type="dxa" w:w="120"/>
            </w:tcMar>
            <w:vAlign w:val="center"/>
          </w:tcPr>
          <w:p>
            <w:pPr>
              <w:jc w:val="center"/>
            </w:pPr>
            <w:r>
              <w:rPr>
                <w:rFonts w:ascii="Arial" w:cs="Arial" w:eastAsia="Arial" w:hAnsi="Arial"/>
                <w:b/>
                <w:bCs/>
                <w:color w:val="FFFFFF"/>
                <w:sz w:val="17"/>
                <w:szCs w:val="17"/>
              </w:rPr>
              <w:t xml:space="preserve">NBS-Powered Resort (with MED)</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Primary energy source</w:t>
            </w:r>
          </w:p>
        </w:tc>
        <w:tc>
          <w:tcPr>
            <w:tcW w:type="dxa" w:w="30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Diesel generators + fuel oil boilers</w:t>
            </w:r>
          </w:p>
        </w:tc>
        <w:tc>
          <w:tcPr>
            <w:tcW w:type="dxa" w:w="35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MacTherm™ solar thermal array + ORC</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Electricity cost</w:t>
            </w:r>
          </w:p>
        </w:tc>
        <w:tc>
          <w:tcPr>
            <w:tcW w:type="dxa" w:w="30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$0.35–$0.45/kWh (Caribbean diesel rate)</w:t>
            </w:r>
          </w:p>
        </w:tc>
        <w:tc>
          <w:tcPr>
            <w:tcW w:type="dxa" w:w="35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~$0 from ORC; diesel supplement only for ~65% balance</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Hot water for guests</w:t>
            </w:r>
          </w:p>
        </w:tc>
        <w:tc>
          <w:tcPr>
            <w:tcW w:type="dxa" w:w="30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Diesel/propane boiler, 24/7 fuel cost</w:t>
            </w:r>
          </w:p>
        </w:tc>
        <w:tc>
          <w:tcPr>
            <w:tcW w:type="dxa" w:w="35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MacTherm™ mid-temp array — 100% solar, zero fuel</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Pool heating + make-up water</w:t>
            </w:r>
          </w:p>
        </w:tc>
        <w:tc>
          <w:tcPr>
            <w:tcW w:type="dxa" w:w="30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Electric heat pump + trucked water</w:t>
            </w:r>
          </w:p>
        </w:tc>
        <w:tc>
          <w:tcPr>
            <w:tcW w:type="dxa" w:w="35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ORC exhaust heat + MED distillate — zero marginal cost for both</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Kitchen process heat</w:t>
            </w:r>
          </w:p>
        </w:tc>
        <w:tc>
          <w:tcPr>
            <w:tcW w:type="dxa" w:w="30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Gas or diesel, ongoing fuel cost</w:t>
            </w:r>
          </w:p>
        </w:tc>
        <w:tc>
          <w:tcPr>
            <w:tcW w:type="dxa" w:w="35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MacTherm™ mid-temp array — 100% solar</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Bottled drinking water</w:t>
            </w:r>
          </w:p>
        </w:tc>
        <w:tc>
          <w:tcPr>
            <w:tcW w:type="dxa" w:w="30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$0.50–$0.80/L bulk procurement</w:t>
            </w:r>
          </w:p>
        </w:tc>
        <w:tc>
          <w:tcPr>
            <w:tcW w:type="dxa" w:w="35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On-site MED distillate + remineralisation — zero cost; resort-branded</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Back-of-house water supply</w:t>
            </w:r>
          </w:p>
        </w:tc>
        <w:tc>
          <w:tcPr>
            <w:tcW w:type="dxa" w:w="30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Trucked / metered ($5–15/m³)</w:t>
            </w:r>
          </w:p>
        </w:tc>
        <w:tc>
          <w:tcPr>
            <w:tcW w:type="dxa" w:w="35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MED distillate (25 m³/day) covers laundry, kitchen, irrigation</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Bulk potable (showers, WCs)</w:t>
            </w:r>
          </w:p>
        </w:tc>
        <w:tc>
          <w:tcPr>
            <w:tcW w:type="dxa" w:w="30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Municipal or trucked, disrupted in storms</w:t>
            </w:r>
          </w:p>
        </w:tc>
        <w:tc>
          <w:tcPr>
            <w:tcW w:type="dxa" w:w="35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ORC-powered RO on-site — full independence from municipal supply</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Hurricane / grid-down resilience</w:t>
            </w:r>
          </w:p>
        </w:tc>
        <w:tc>
          <w:tcPr>
            <w:tcW w:type="dxa" w:w="30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Diesel genset; fuel + water truck dependency</w:t>
            </w:r>
          </w:p>
        </w:tc>
        <w:tc>
          <w:tcPr>
            <w:tcW w:type="dxa" w:w="35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H₂ fuel cell + TES + 24–48 hr stored water reserve</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CO₂ emissions</w:t>
            </w:r>
          </w:p>
        </w:tc>
        <w:tc>
          <w:tcPr>
            <w:tcW w:type="dxa" w:w="30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~200+ tonnes/yr (diesel + boiler)</w:t>
            </w:r>
          </w:p>
        </w:tc>
        <w:tc>
          <w:tcPr>
            <w:tcW w:type="dxa" w:w="35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~207 tonnes/yr avoided — verified displacement basis</w:t>
            </w:r>
          </w:p>
        </w:tc>
      </w:tr>
      <w:tr>
        <w:tc>
          <w:tcPr>
            <w:tcW w:type="dxa" w:w="270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Sustainability credentials</w:t>
            </w:r>
          </w:p>
        </w:tc>
        <w:tc>
          <w:tcPr>
            <w:tcW w:type="dxa" w:w="3080"/>
            <w:tcBorders>
              <w:top w:val="single" w:color="A8D8DB" w:sz="4"/>
              <w:left w:val="single" w:color="A8D8DB" w:sz="4"/>
              <w:bottom w:val="single" w:color="A8D8DB" w:sz="4"/>
              <w:right w:val="single" w:color="A8D8DB" w:sz="4"/>
            </w:tcBorders>
            <w:shd w:fill="F2F7FC"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Liability; growing guest + lender pressure</w:t>
            </w:r>
          </w:p>
        </w:tc>
        <w:tc>
          <w:tcPr>
            <w:tcW w:type="dxa" w:w="3580"/>
            <w:tcBorders>
              <w:top w:val="single" w:color="A8D8DB" w:sz="4"/>
              <w:left w:val="single" w:color="A8D8DB" w:sz="4"/>
              <w:bottom w:val="single" w:color="A8D8DB" w:sz="4"/>
              <w:right w:val="single" w:color="A8D8DB" w:sz="4"/>
            </w:tcBorders>
            <w:shd w:fill="D6F0F2" w:val="clear"/>
            <w:tcMar>
              <w:top w:type="dxa" w:w="60"/>
              <w:left w:type="dxa" w:w="120"/>
              <w:bottom w:type="dxa" w:w="60"/>
              <w:right w:type="dxa" w:w="120"/>
            </w:tcMar>
            <w:vAlign w:val="center"/>
          </w:tcPr>
          <w:p>
            <w:pPr>
              <w:jc w:val="left"/>
            </w:pPr>
            <w:r>
              <w:rPr>
                <w:rFonts w:ascii="Arial" w:cs="Arial" w:eastAsia="Arial" w:hAnsi="Arial"/>
                <w:b w:val="false"/>
                <w:bCs w:val="false"/>
                <w:color w:val="007B83"/>
                <w:sz w:val="17"/>
                <w:szCs w:val="17"/>
              </w:rPr>
              <w:t xml:space="preserve">Verified zero-combustion thermal + full water independence; brandable</w:t>
            </w:r>
          </w:p>
        </w:tc>
      </w:tr>
      <w:tr>
        <w:tc>
          <w:tcPr>
            <w:tcW w:type="dxa" w:w="270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bCs/>
                <w:color w:val="1A1A2E"/>
                <w:sz w:val="17"/>
                <w:szCs w:val="17"/>
              </w:rPr>
              <w:t xml:space="preserve">Energy + water cost as % of opex</w:t>
            </w:r>
          </w:p>
        </w:tc>
        <w:tc>
          <w:tcPr>
            <w:tcW w:type="dxa" w:w="3080"/>
            <w:tcBorders>
              <w:top w:val="single" w:color="A8D8DB" w:sz="4"/>
              <w:left w:val="single" w:color="A8D8DB" w:sz="4"/>
              <w:bottom w:val="single" w:color="A8D8DB" w:sz="4"/>
              <w:right w:val="single" w:color="A8D8DB" w:sz="4"/>
            </w:tcBorders>
            <w:shd w:fill="FFFFFF" w:val="clear"/>
            <w:tcMar>
              <w:top w:type="dxa" w:w="60"/>
              <w:left w:type="dxa" w:w="120"/>
              <w:bottom w:type="dxa" w:w="60"/>
              <w:right w:type="dxa" w:w="120"/>
            </w:tcMar>
            <w:vAlign w:val="center"/>
          </w:tcPr>
          <w:p>
            <w:pPr>
              <w:jc w:val="left"/>
            </w:pPr>
            <w:r>
              <w:rPr>
                <w:rFonts w:ascii="Arial" w:cs="Arial" w:eastAsia="Arial" w:hAnsi="Arial"/>
                <w:b w:val="false"/>
                <w:bCs w:val="false"/>
                <w:color w:val="1A1A2E"/>
                <w:sz w:val="17"/>
                <w:szCs w:val="17"/>
              </w:rPr>
              <w:t xml:space="preserve">~10–15% (Caribbean diesel + water penalty)</w:t>
            </w:r>
          </w:p>
        </w:tc>
        <w:tc>
          <w:tcPr>
            <w:tcW w:type="dxa" w:w="3580"/>
            <w:tcBorders>
              <w:top w:val="single" w:color="A8D8DB" w:sz="4"/>
              <w:left w:val="single" w:color="A8D8DB" w:sz="4"/>
              <w:bottom w:val="single" w:color="A8D8DB" w:sz="4"/>
              <w:right w:val="single" w:color="A8D8DB" w:sz="4"/>
            </w:tcBorders>
            <w:shd w:fill="FDF3DC" w:val="clear"/>
            <w:tcMar>
              <w:top w:type="dxa" w:w="60"/>
              <w:left w:type="dxa" w:w="120"/>
              <w:bottom w:type="dxa" w:w="60"/>
              <w:right w:type="dxa" w:w="120"/>
            </w:tcMar>
            <w:vAlign w:val="center"/>
          </w:tcPr>
          <w:p>
            <w:pPr>
              <w:jc w:val="left"/>
            </w:pPr>
            <w:r>
              <w:rPr>
                <w:rFonts w:ascii="Arial" w:cs="Arial" w:eastAsia="Arial" w:hAnsi="Arial"/>
                <w:b w:val="false"/>
                <w:bCs w:val="false"/>
                <w:color w:val="C8962A"/>
                <w:sz w:val="17"/>
                <w:szCs w:val="17"/>
              </w:rPr>
              <w:t xml:space="preserve">Reduced by 55–70% year 1 across energy and water combined</w:t>
            </w:r>
          </w:p>
        </w:tc>
      </w:tr>
    </w:tbl>
    <w:p>
      <w:r>
        <w:br w:type="page"/>
      </w:r>
    </w:p>
    <w:p>
      <w:pPr>
        <w:pBdr>
          <w:bottom w:val="single" w:color="007B83" w:sz="12" w:space="4"/>
        </w:pBdr>
        <w:spacing w:after="60" w:before="0"/>
      </w:pPr>
      <w:r>
        <w:rPr>
          <w:rFonts w:ascii="Segoe UI Emoji" w:cs="Segoe UI Emoji" w:eastAsia="Segoe UI Emoji" w:hAnsi="Segoe UI Emoji"/>
          <w:sz w:val="32"/>
          <w:szCs w:val="32"/>
        </w:rPr>
        <w:t xml:space="preserve">💧 </w:t>
      </w:r>
      <w:r>
        <w:rPr>
          <w:rFonts w:ascii="Arial" w:cs="Arial" w:eastAsia="Arial" w:hAnsi="Arial"/>
          <w:b/>
          <w:bCs/>
          <w:color w:val="003366"/>
          <w:sz w:val="28"/>
          <w:szCs w:val="28"/>
        </w:rPr>
        <w:t xml:space="preserve">NEW BLUE SOLUTION LLC</w:t>
      </w:r>
      <w:r>
        <w:rPr>
          <w:rFonts w:ascii="Arial" w:cs="Arial" w:eastAsia="Arial" w:hAnsi="Arial"/>
          <w:color w:val="0070C0"/>
          <w:sz w:val="20"/>
          <w:szCs w:val="20"/>
        </w:rPr>
        <w:t xml:space="preserve">   |   newbluesolution.com   |   bluenanofluid.com</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11.  The Sustainability Story — A Genuine Commercial Differentiator</w:t>
      </w:r>
    </w:p>
    <w:p>
      <w:pPr>
        <w:spacing w:after="60" w:before="40"/>
      </w:pPr>
      <w:r>
        <w:rPr>
          <w:rFonts w:ascii="Arial" w:cs="Arial" w:eastAsia="Arial" w:hAnsi="Arial"/>
          <w:color w:val="1A1A2E"/>
          <w:sz w:val="19"/>
          <w:szCs w:val="19"/>
        </w:rPr>
        <w:t xml:space="preserve">Energy and water sustainability is no longer a CSR footnote for Caribbean resorts. It is a commercial differentiator that measurably affects booking rates, room premiums, lender terms, and operator relationships. TripAdvisor and Google surface sustainability credentials in hotel listings. Luxury travel platforms increasingly gate property access by verified environmental performance. LEED, EDGE, and Green Globe certifications are becoming prerequisites for certain financing structures and operator partnerships.</w:t>
      </w:r>
    </w:p>
    <w:p>
      <w:pPr>
        <w:spacing w:after="60" w:before="40"/>
      </w:pPr>
      <w:r>
        <w:rPr>
          <w:rFonts w:ascii="Arial" w:cs="Arial" w:eastAsia="Arial" w:hAnsi="Arial"/>
          <w:color w:val="1A1A2E"/>
          <w:sz w:val="19"/>
          <w:szCs w:val="19"/>
        </w:rPr>
        <w:t xml:space="preserve">The NBS Resort System delivers verified, quantifiable credentials that go well beyond anything achievable with conventional solar PV:</w:t>
      </w:r>
    </w:p>
    <w:p>
      <w:pPr>
        <w:pStyle w:val="ListParagraph"/>
        <w:numPr>
          <w:ilvl w:val="0"/>
          <w:numId w:val="2"/>
        </w:numPr>
        <w:spacing w:after="30" w:before="30"/>
      </w:pPr>
      <w:r>
        <w:rPr>
          <w:rFonts w:ascii="Arial" w:cs="Arial" w:eastAsia="Arial" w:hAnsi="Arial"/>
          <w:color w:val="1A1A2E"/>
          <w:sz w:val="19"/>
          <w:szCs w:val="19"/>
        </w:rPr>
        <w:t xml:space="preserve">207 tonnes of CO₂ avoided per year — verified diesel generator and boiler displacement basis.</w:t>
      </w:r>
    </w:p>
    <w:p>
      <w:pPr>
        <w:pStyle w:val="ListParagraph"/>
        <w:numPr>
          <w:ilvl w:val="0"/>
          <w:numId w:val="2"/>
        </w:numPr>
        <w:spacing w:after="30" w:before="30"/>
      </w:pPr>
      <w:r>
        <w:rPr>
          <w:rFonts w:ascii="Arial" w:cs="Arial" w:eastAsia="Arial" w:hAnsi="Arial"/>
          <w:color w:val="1A1A2E"/>
          <w:sz w:val="19"/>
          <w:szCs w:val="19"/>
        </w:rPr>
        <w:t xml:space="preserve">Zero combustion emissions for all thermal loads: hot water, pools, kitchens, laundry, and desalination.</w:t>
      </w:r>
    </w:p>
    <w:p>
      <w:pPr>
        <w:pStyle w:val="ListParagraph"/>
        <w:numPr>
          <w:ilvl w:val="0"/>
          <w:numId w:val="2"/>
        </w:numPr>
        <w:spacing w:after="30" w:before="30"/>
      </w:pPr>
      <w:r>
        <w:rPr>
          <w:rFonts w:ascii="Arial" w:cs="Arial" w:eastAsia="Arial" w:hAnsi="Arial"/>
          <w:color w:val="1A1A2E"/>
          <w:sz w:val="19"/>
          <w:szCs w:val="19"/>
        </w:rPr>
        <w:t xml:space="preserve">Complete water independence — MED for premium uses; ORC-powered RO for bulk; zero trucking or municipal dependency.</w:t>
      </w:r>
    </w:p>
    <w:p>
      <w:pPr>
        <w:pStyle w:val="ListParagraph"/>
        <w:numPr>
          <w:ilvl w:val="0"/>
          <w:numId w:val="2"/>
        </w:numPr>
        <w:spacing w:after="30" w:before="30"/>
      </w:pPr>
      <w:r>
        <w:rPr>
          <w:rFonts w:ascii="Arial" w:cs="Arial" w:eastAsia="Arial" w:hAnsi="Arial"/>
          <w:color w:val="1A1A2E"/>
          <w:sz w:val="19"/>
          <w:szCs w:val="19"/>
        </w:rPr>
        <w:t xml:space="preserve">On-site resort-branded still water in every guest room — produced by the sun, from the sea, with zero plastic import logistics.</w:t>
      </w:r>
    </w:p>
    <w:p>
      <w:pPr>
        <w:pStyle w:val="ListParagraph"/>
        <w:numPr>
          <w:ilvl w:val="0"/>
          <w:numId w:val="2"/>
        </w:numPr>
        <w:spacing w:after="30" w:before="30"/>
      </w:pPr>
      <w:r>
        <w:rPr>
          <w:rFonts w:ascii="Arial" w:cs="Arial" w:eastAsia="Arial" w:hAnsi="Arial"/>
          <w:color w:val="1A1A2E"/>
          <w:sz w:val="19"/>
          <w:szCs w:val="19"/>
        </w:rPr>
        <w:t xml:space="preserve">Swimming pools topped up by solar desalination — verifiable in every guest communication and sustainability report.</w:t>
      </w:r>
    </w:p>
    <w:p>
      <w:pPr>
        <w:pStyle w:val="ListParagraph"/>
        <w:numPr>
          <w:ilvl w:val="0"/>
          <w:numId w:val="2"/>
        </w:numPr>
        <w:spacing w:after="30" w:before="30"/>
      </w:pPr>
      <w:r>
        <w:rPr>
          <w:rFonts w:ascii="Arial" w:cs="Arial" w:eastAsia="Arial" w:hAnsi="Arial"/>
          <w:color w:val="1A1A2E"/>
          <w:sz w:val="19"/>
          <w:szCs w:val="19"/>
        </w:rPr>
        <w:t xml:space="preserve">Green hydrogen production — alignment with global decarbonisation goals; bankable as carbon credit in many jurisdictions.</w:t>
      </w:r>
    </w:p>
    <w:p>
      <w:pPr>
        <w:pStyle w:val="ListParagraph"/>
        <w:numPr>
          <w:ilvl w:val="0"/>
          <w:numId w:val="2"/>
        </w:numPr>
        <w:spacing w:after="30" w:before="30"/>
      </w:pPr>
      <w:r>
        <w:rPr>
          <w:rFonts w:ascii="Arial" w:cs="Arial" w:eastAsia="Arial" w:hAnsi="Arial"/>
          <w:color w:val="1A1A2E"/>
          <w:sz w:val="19"/>
          <w:szCs w:val="19"/>
        </w:rPr>
        <w:t xml:space="preserve">Hurricane resilience — a resort that operates through a Category 4 storm without diesel or water trucks is a story that sells itself to every risk officer, lender, and travel insurer in the region.</w:t>
      </w:r>
    </w:p>
    <w:p>
      <w:pPr>
        <w:spacing w:after="60" w:before="40"/>
      </w:pPr>
      <w:r>
        <w:rPr>
          <w:rFonts w:ascii="Arial" w:cs="Arial" w:eastAsia="Arial" w:hAnsi="Arial"/>
          <w:color w:val="1A1A2E"/>
          <w:sz w:val="19"/>
          <w:szCs w:val="19"/>
        </w:rPr>
        <w:t xml:space="preserve">In a Caribbean competitive landscape where all properties are uniformly diesel-dependent and water-logistics-dependent, any one of these credentials is a differentiator. The NBS system delivers all of them simultaneously, at a capital cost that pays back in under 14 months at regional pricing.</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12.  Installation &amp; Scalability</w:t>
      </w:r>
    </w:p>
    <w:p>
      <w:pPr>
        <w:spacing w:after="60" w:before="40"/>
      </w:pPr>
      <w:r>
        <w:rPr>
          <w:rFonts w:ascii="Arial" w:cs="Arial" w:eastAsia="Arial" w:hAnsi="Arial"/>
          <w:color w:val="1A1A2E"/>
          <w:sz w:val="19"/>
          <w:szCs w:val="19"/>
        </w:rPr>
        <w:t xml:space="preserve">The NBS Resort System is fully modular. The 60-unit baseline with MED is the recommended configuration for a 120-room all-inclusive property, but the system scales in both directions without architectural changes:</w:t>
      </w:r>
    </w:p>
    <w:p>
      <w:pPr>
        <w:pStyle w:val="ListParagraph"/>
        <w:numPr>
          <w:ilvl w:val="0"/>
          <w:numId w:val="2"/>
        </w:numPr>
        <w:spacing w:after="30" w:before="30"/>
      </w:pPr>
      <w:r>
        <w:rPr>
          <w:rFonts w:ascii="Arial" w:cs="Arial" w:eastAsia="Arial" w:hAnsi="Arial"/>
          <w:color w:val="1A1A2E"/>
          <w:sz w:val="19"/>
          <w:szCs w:val="19"/>
        </w:rPr>
        <w:t xml:space="preserve">Boutique resorts (30–50 rooms): 20–30 units; MED sized proportionally. Full thermal and water independence at smaller scale, with particularly compelling economics where water trucking costs are highest — smaller or more remote islands.</w:t>
      </w:r>
    </w:p>
    <w:p>
      <w:pPr>
        <w:pStyle w:val="ListParagraph"/>
        <w:numPr>
          <w:ilvl w:val="0"/>
          <w:numId w:val="2"/>
        </w:numPr>
        <w:spacing w:after="30" w:before="30"/>
      </w:pPr>
      <w:r>
        <w:rPr>
          <w:rFonts w:ascii="Arial" w:cs="Arial" w:eastAsia="Arial" w:hAnsi="Arial"/>
          <w:color w:val="1A1A2E"/>
          <w:sz w:val="19"/>
          <w:szCs w:val="19"/>
        </w:rPr>
        <w:t xml:space="preserve">Mid-size all-inclusive (80–150 rooms): 50–80 units as described in this document. Full thermal independence; ~35% electrical offset; complete water independence including on-site bottled water production.</w:t>
      </w:r>
    </w:p>
    <w:p>
      <w:pPr>
        <w:pStyle w:val="ListParagraph"/>
        <w:numPr>
          <w:ilvl w:val="0"/>
          <w:numId w:val="2"/>
        </w:numPr>
        <w:spacing w:after="30" w:before="30"/>
      </w:pPr>
      <w:r>
        <w:rPr>
          <w:rFonts w:ascii="Arial" w:cs="Arial" w:eastAsia="Arial" w:hAnsi="Arial"/>
          <w:color w:val="1A1A2E"/>
          <w:sz w:val="19"/>
          <w:szCs w:val="19"/>
        </w:rPr>
        <w:t xml:space="preserve">Large resort or multi-property campus (200+ rooms): 150–400 units in hybrid arrays; approaching full electrical independence. MED and RO output scales to serve adjacent communities or produce branded water as a commercial product. H₂ production scales to meaningful off-take volumes.</w:t>
      </w:r>
    </w:p>
    <w:p>
      <w:pPr>
        <w:spacing w:after="60" w:before="40"/>
      </w:pPr>
      <w:r>
        <w:rPr>
          <w:rFonts w:ascii="Arial" w:cs="Arial" w:eastAsia="Arial" w:hAnsi="Arial"/>
          <w:color w:val="1A1A2E"/>
          <w:sz w:val="19"/>
          <w:szCs w:val="19"/>
        </w:rPr>
        <w:t xml:space="preserve">Installation requires no property shutdown. MacTherm™ arrays mount on rooftops, ground frames, or covered carpark canopies. The MED unit is skid-mounted and connects to existing seawater intake and brine discharge infrastructure. MacHeat™ exchangers hot-tap into existing boiler circuits. The AI controller integrates with existing BMS via BACnet or Modbus. Full commissioning for a 60-unit installation with MED is typically achievable within 10–14 weeks from contract award.</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13.  Engagement Pathway</w:t>
      </w:r>
    </w:p>
    <w:p>
      <w:pPr>
        <w:pStyle w:val="ListParagraph"/>
        <w:numPr>
          <w:ilvl w:val="0"/>
          <w:numId w:val="2"/>
        </w:numPr>
        <w:spacing w:after="30" w:before="30"/>
      </w:pPr>
      <w:r>
        <w:rPr>
          <w:rFonts w:ascii="Arial" w:cs="Arial" w:eastAsia="Arial" w:hAnsi="Arial"/>
          <w:color w:val="1A1A2E"/>
          <w:sz w:val="19"/>
          <w:szCs w:val="19"/>
        </w:rPr>
        <w:t xml:space="preserve">Property assessment: NBS conducts a full energy, water, and logistics audit mapping current fuel consumption, thermal loads, available roof or ground space, DNI profile, seawater access, and existing water procurement costs. This produces an exact system sizing and financial model for the specific property, with MED water production scaled to demand and local water pricing.</w:t>
      </w:r>
    </w:p>
    <w:p>
      <w:pPr>
        <w:pStyle w:val="ListParagraph"/>
        <w:numPr>
          <w:ilvl w:val="0"/>
          <w:numId w:val="2"/>
        </w:numPr>
        <w:spacing w:after="30" w:before="30"/>
      </w:pPr>
      <w:r>
        <w:rPr>
          <w:rFonts w:ascii="Arial" w:cs="Arial" w:eastAsia="Arial" w:hAnsi="Arial"/>
          <w:color w:val="1A1A2E"/>
          <w:sz w:val="19"/>
          <w:szCs w:val="19"/>
        </w:rPr>
        <w:t xml:space="preserve">Pilot installation: A commercially available pilot skid — comprising a 10-unit MacTherm™ array, MacHeat™ exchanger, and control system — can be deployed at cost to validate thermal performance against the property’s own baseline before full commitment. MED integration can be demonstrated in the pilot phase using ORC exhaust from even a small array.</w:t>
      </w:r>
    </w:p>
    <w:p>
      <w:pPr>
        <w:pStyle w:val="ListParagraph"/>
        <w:numPr>
          <w:ilvl w:val="0"/>
          <w:numId w:val="2"/>
        </w:numPr>
        <w:spacing w:after="30" w:before="30"/>
      </w:pPr>
      <w:r>
        <w:rPr>
          <w:rFonts w:ascii="Arial" w:cs="Arial" w:eastAsia="Arial" w:hAnsi="Arial"/>
          <w:color w:val="1A1A2E"/>
          <w:sz w:val="19"/>
          <w:szCs w:val="19"/>
        </w:rPr>
        <w:t xml:space="preserve">Full system deployment: Phased, with each phase fully operational before the next is commissioned. The MED unit is typically integrated in Phase 2 once the ORC is generating stable exhaust heat at rated temperature.</w:t>
      </w:r>
    </w:p>
    <w:p>
      <w:pPr>
        <w:pStyle w:val="ListParagraph"/>
        <w:numPr>
          <w:ilvl w:val="0"/>
          <w:numId w:val="2"/>
        </w:numPr>
        <w:spacing w:after="30" w:before="30"/>
      </w:pPr>
      <w:r>
        <w:rPr>
          <w:rFonts w:ascii="Arial" w:cs="Arial" w:eastAsia="Arial" w:hAnsi="Arial"/>
          <w:color w:val="1A1A2E"/>
          <w:sz w:val="19"/>
          <w:szCs w:val="19"/>
        </w:rPr>
        <w:t xml:space="preserve">Ongoing O&amp;M: Remote monitoring and AI controller updates via secure connection. MacTherm™ collectors have no moving parts, no vacuum elements, and no consumables other than BlueNanofluid™ top-up on a 3–5 year cycle. The MED unit requires periodic anti-scale dosing and membrane inspection — standard, low-cost routine maintenance.</w:t>
      </w:r>
    </w:p>
    <w:p>
      <w:pPr>
        <w:spacing w:after="0" w:before="60"/>
      </w:pPr>
      <w:r>
        <w:t xml:space="preserve"/>
      </w:r>
    </w:p>
    <w:p>
      <w:pPr>
        <w:pBdr>
          <w:bottom w:val="single" w:color="007B83" w:sz="8" w:space="2"/>
        </w:pBdr>
        <w:spacing w:after="80" w:before="200"/>
      </w:pPr>
      <w:r>
        <w:rPr>
          <w:rFonts w:ascii="Arial" w:cs="Arial" w:eastAsia="Arial" w:hAnsi="Arial"/>
          <w:b/>
          <w:bCs/>
          <w:color w:val="003366"/>
          <w:sz w:val="26"/>
          <w:szCs w:val="26"/>
        </w:rPr>
        <w:t xml:space="preserve">14.  A Note on Regional Partnership</w:t>
      </w:r>
    </w:p>
    <w:p>
      <w:pPr>
        <w:spacing w:after="60" w:before="40"/>
      </w:pPr>
      <w:r>
        <w:rPr>
          <w:rFonts w:ascii="Arial" w:cs="Arial" w:eastAsia="Arial" w:hAnsi="Arial"/>
          <w:color w:val="1A1A2E"/>
          <w:sz w:val="19"/>
          <w:szCs w:val="19"/>
        </w:rPr>
        <w:t xml:space="preserve">New Blue Solution brings a technology stack that does not exist elsewhere in the market. What the most successful deployments in any region require alongside the technology is genuine local partnership — parties who bring hospitality sector relationships, island-specific operational knowledge, seawater intake and civil experience, and on-the-ground project management capability.</w:t>
      </w:r>
    </w:p>
    <w:p>
      <w:pPr>
        <w:spacing w:after="60" w:before="40"/>
      </w:pPr>
      <w:r>
        <w:rPr>
          <w:rFonts w:ascii="Arial" w:cs="Arial" w:eastAsia="Arial" w:hAnsi="Arial"/>
          <w:color w:val="1A1A2E"/>
          <w:sz w:val="19"/>
          <w:szCs w:val="19"/>
        </w:rPr>
        <w:t xml:space="preserve">For the Caribbean specifically, we are open to exploring what a deeper relationship with the right regional partner might look like. Whether that is a hospitality group deploying the system across a portfolio of properties, a regional engineering services company integrating the NBS stack into its offerings, or an investor seeking exposure to a proprietary clean technology with demonstrably strong Caribbean-specific financial returns — we believe there is a conversation worth having.</w:t>
      </w:r>
    </w:p>
    <w:p>
      <w:pPr>
        <w:spacing w:after="60" w:before="40"/>
      </w:pPr>
      <w:r>
        <w:rPr>
          <w:rFonts w:ascii="Arial" w:cs="Arial" w:eastAsia="Arial" w:hAnsi="Arial"/>
          <w:color w:val="1A1A2E"/>
          <w:sz w:val="19"/>
          <w:szCs w:val="19"/>
        </w:rPr>
        <w:t xml:space="preserve">That conversation would naturally begin with a demonstration. The pilot skid, and the pilot MED integration, exist for exactly that purpose.</w:t>
      </w:r>
    </w:p>
    <w:p>
      <w:pPr>
        <w:spacing w:after="0" w:before="80"/>
      </w:pPr>
      <w:r>
        <w:t xml:space="preserve"/>
      </w:r>
    </w:p>
    <w:p>
      <w:pPr>
        <w:spacing w:after="60" w:before="40"/>
      </w:pPr>
      <w:r>
        <w:rPr>
          <w:rFonts w:ascii="Arial" w:cs="Arial" w:eastAsia="Arial" w:hAnsi="Arial"/>
          <w:b/>
          <w:bCs/>
          <w:color w:val="003366"/>
          <w:sz w:val="19"/>
          <w:szCs w:val="19"/>
        </w:rPr>
        <w:t xml:space="preserve">Don MacLean  |  Founder &amp; CEO  |  New Blue Solution LLC</w:t>
      </w:r>
    </w:p>
    <w:p>
      <w:pPr>
        <w:spacing w:after="60" w:before="40"/>
      </w:pPr>
      <w:r>
        <w:rPr>
          <w:rFonts w:ascii="Arial" w:cs="Arial" w:eastAsia="Arial" w:hAnsi="Arial"/>
          <w:color w:val="007B83"/>
          <w:sz w:val="19"/>
          <w:szCs w:val="19"/>
        </w:rPr>
        <w:t xml:space="preserve">530 Gold Rush Court, Ball Ground, Georgia 30107</w:t>
      </w:r>
      <w:r>
        <w:rPr>
          <w:rFonts w:ascii="Arial" w:cs="Arial" w:eastAsia="Arial" w:hAnsi="Arial"/>
          <w:color w:val="0070C0"/>
          <w:sz w:val="19"/>
          <w:szCs w:val="19"/>
        </w:rPr>
        <w:t xml:space="preserve">   |   newbluesolution.com   |   bluenanofluid.com</w:t>
      </w:r>
    </w:p>
    <w:p>
      <w:pPr>
        <w:spacing w:after="0" w:before="100"/>
      </w:pPr>
      <w:r>
        <w:t xml:space="preserve"/>
      </w:r>
    </w:p>
    <w:p>
      <w:pPr>
        <w:pBdr>
          <w:top w:val="single" w:color="007B83" w:sz="6" w:space="4"/>
        </w:pBdr>
        <w:spacing w:before="80"/>
        <w:jc w:val="center"/>
      </w:pPr>
      <w:r>
        <w:rPr>
          <w:rFonts w:ascii="Arial" w:cs="Arial" w:eastAsia="Arial" w:hAnsi="Arial"/>
          <w:color w:val="007B83"/>
          <w:sz w:val="15"/>
          <w:szCs w:val="15"/>
        </w:rPr>
        <w:t xml:space="preserve">New Blue Solution LLC  |  530 Gold Rush Court, Ball Ground, GA 30107  |  newbluesolution.com  |  bluenanofluid.com  |  Proprietary &amp; Confidential</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2026-04-28T04:47:30.451Z</dcterms:created>
  <dcterms:modified xsi:type="dcterms:W3CDTF">2026-04-28T04:47:30.451Z</dcterms:modified>
</cp:coreProperties>
</file>

<file path=docProps/custom.xml><?xml version="1.0" encoding="utf-8"?>
<Properties xmlns="http://schemas.openxmlformats.org/officeDocument/2006/custom-properties" xmlns:vt="http://schemas.openxmlformats.org/officeDocument/2006/docPropsVTypes"/>
</file>