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tabs>
          <w:tab w:val="left" w:pos="360" w:leader="none"/>
          <w:tab w:val="left" w:pos="720" w:leader="none"/>
          <w:tab w:val="left" w:pos="1080" w:leader="none"/>
          <w:tab w:val="left" w:pos="1440" w:leader="none"/>
          <w:tab w:val="left" w:pos="1800" w:leader="none"/>
          <w:tab w:val="left" w:pos="2160" w:leader="none"/>
          <w:tab w:val="left" w:pos="2520" w:leader="none"/>
        </w:tabs>
        <w:snapToGrid w:val="false"/>
        <w:spacing w:lineRule="auto" w:line="240" w:before="29" w:after="115"/>
        <w:rPr>
          <w:sz w:val="28"/>
          <w:szCs w:val="28"/>
        </w:rPr>
      </w:pPr>
      <w:r>
        <w:rPr>
          <w:b/>
          <w:bCs/>
          <w:sz w:val="28"/>
          <w:szCs w:val="28"/>
        </w:rPr>
        <w:t>Mid Valley Air Park Property Owners Association Covenants, Conditions, &amp; Restrictions</w:t>
      </w:r>
    </w:p>
    <w:p>
      <w:pPr>
        <w:pStyle w:val="normal1"/>
        <w:tabs>
          <w:tab w:val="left" w:pos="360" w:leader="none"/>
          <w:tab w:val="left" w:pos="720" w:leader="none"/>
          <w:tab w:val="left" w:pos="1080" w:leader="none"/>
          <w:tab w:val="left" w:pos="1440" w:leader="none"/>
          <w:tab w:val="left" w:pos="1800" w:leader="none"/>
          <w:tab w:val="left" w:pos="2160" w:leader="none"/>
          <w:tab w:val="left" w:pos="2520" w:leader="none"/>
        </w:tabs>
        <w:snapToGrid w:val="false"/>
        <w:spacing w:lineRule="auto" w:line="240" w:before="29" w:after="115"/>
        <w:rPr>
          <w:sz w:val="28"/>
          <w:szCs w:val="28"/>
        </w:rPr>
      </w:pPr>
      <w:r>
        <w:rPr>
          <w:b/>
          <w:bCs/>
          <w:sz w:val="28"/>
          <w:szCs w:val="28"/>
        </w:rPr>
        <w:t>Addendum B – Poultry Permission and Scope</w:t>
      </w:r>
    </w:p>
    <w:p>
      <w:pPr>
        <w:pStyle w:val="normal1"/>
        <w:tabs>
          <w:tab w:val="left" w:pos="360" w:leader="none"/>
          <w:tab w:val="left" w:pos="720" w:leader="none"/>
          <w:tab w:val="left" w:pos="1080" w:leader="none"/>
          <w:tab w:val="left" w:pos="1440" w:leader="none"/>
          <w:tab w:val="left" w:pos="1800" w:leader="none"/>
          <w:tab w:val="left" w:pos="2160" w:leader="none"/>
          <w:tab w:val="left" w:pos="2520" w:leader="none"/>
        </w:tabs>
        <w:snapToGrid w:val="false"/>
        <w:spacing w:lineRule="auto" w:line="240" w:before="29" w:after="115"/>
        <w:rPr/>
      </w:pPr>
      <w:r>
        <w:rPr/>
        <w:t xml:space="preserve">The current prohibition of poultry in the </w:t>
      </w:r>
      <w:r>
        <w:rPr>
          <w:b/>
          <w:bCs/>
        </w:rPr>
        <w:t>Mid Valley and Commercial Covenants</w:t>
      </w:r>
      <w:r>
        <w:rPr/>
        <w:t xml:space="preserve"> is </w:t>
      </w:r>
      <w:r>
        <w:rPr>
          <w:b/>
          <w:bCs/>
        </w:rPr>
        <w:t>rescinded</w:t>
      </w:r>
      <w:r>
        <w:rPr/>
        <w:t>. Poultry ownership will now be permitted across all tracts (Mid Valley, Commercial, and La Sombra) subject to the conditions listed below.</w:t>
      </w:r>
    </w:p>
    <w:p>
      <w:pPr>
        <w:pStyle w:val="normal1"/>
        <w:tabs>
          <w:tab w:val="left" w:pos="360" w:leader="none"/>
          <w:tab w:val="left" w:pos="720" w:leader="none"/>
          <w:tab w:val="left" w:pos="1080" w:leader="none"/>
          <w:tab w:val="left" w:pos="1440" w:leader="none"/>
          <w:tab w:val="left" w:pos="1800" w:leader="none"/>
          <w:tab w:val="left" w:pos="2160" w:leader="none"/>
          <w:tab w:val="left" w:pos="2520" w:leader="none"/>
        </w:tabs>
        <w:snapToGrid w:val="false"/>
        <w:spacing w:lineRule="auto" w:line="240" w:before="29" w:after="115"/>
        <w:rPr/>
      </w:pPr>
      <w:r>
        <w:rPr>
          <w:b/>
          <w:bCs/>
        </w:rPr>
        <w:t>Standard Poultry Conditions</w:t>
      </w:r>
    </w:p>
    <w:p>
      <w:pPr>
        <w:pStyle w:val="normal1"/>
        <w:numPr>
          <w:ilvl w:val="0"/>
          <w:numId w:val="1"/>
        </w:numPr>
        <w:tabs>
          <w:tab w:val="left" w:pos="360" w:leader="none"/>
          <w:tab w:val="left" w:pos="720" w:leader="none"/>
          <w:tab w:val="left" w:pos="1080" w:leader="none"/>
          <w:tab w:val="left" w:pos="1440" w:leader="none"/>
          <w:tab w:val="left" w:pos="1800" w:leader="none"/>
          <w:tab w:val="left" w:pos="2160" w:leader="none"/>
          <w:tab w:val="left" w:pos="2520" w:leader="none"/>
        </w:tabs>
        <w:snapToGrid w:val="false"/>
        <w:spacing w:lineRule="auto" w:line="240" w:before="29" w:after="115"/>
        <w:ind w:hanging="360" w:start="720"/>
        <w:rPr/>
      </w:pPr>
      <w:r>
        <w:rPr>
          <w:b/>
          <w:bCs/>
        </w:rPr>
        <w:t>Type and Limit:</w:t>
      </w:r>
    </w:p>
    <w:p>
      <w:pPr>
        <w:pStyle w:val="normal1"/>
        <w:widowControl/>
        <w:numPr>
          <w:ilvl w:val="1"/>
          <w:numId w:val="1"/>
        </w:numPr>
        <w:tabs>
          <w:tab w:val="left" w:pos="360" w:leader="none"/>
          <w:tab w:val="left" w:pos="720" w:leader="none"/>
          <w:tab w:val="left" w:pos="1080" w:leader="none"/>
          <w:tab w:val="left" w:pos="1440" w:leader="none"/>
          <w:tab w:val="left" w:pos="1800" w:leader="none"/>
          <w:tab w:val="left" w:pos="2160" w:leader="none"/>
          <w:tab w:val="left" w:pos="2520" w:leader="none"/>
        </w:tabs>
        <w:suppressAutoHyphens w:val="true"/>
        <w:bidi w:val="0"/>
        <w:snapToGrid w:val="false"/>
        <w:spacing w:lineRule="auto" w:line="240" w:before="29" w:after="115"/>
        <w:ind w:hanging="360" w:start="1080" w:end="0"/>
        <w:jc w:val="start"/>
        <w:rPr/>
      </w:pPr>
      <w:r>
        <w:rPr/>
        <w:t xml:space="preserve">Only </w:t>
      </w:r>
      <w:r>
        <w:rPr>
          <w:b/>
          <w:bCs/>
        </w:rPr>
        <w:t>hens or ducks</w:t>
      </w:r>
      <w:r>
        <w:rPr/>
        <w:t xml:space="preserve"> are permitted. </w:t>
      </w:r>
      <w:r>
        <w:rPr>
          <w:b/>
          <w:bCs/>
        </w:rPr>
        <w:t>Roosters</w:t>
      </w:r>
      <w:r>
        <w:rPr/>
        <w:t xml:space="preserve"> are strictly prohibited.</w:t>
      </w:r>
    </w:p>
    <w:p>
      <w:pPr>
        <w:pStyle w:val="normal1"/>
        <w:widowControl/>
        <w:numPr>
          <w:ilvl w:val="1"/>
          <w:numId w:val="1"/>
        </w:numPr>
        <w:tabs>
          <w:tab w:val="left" w:pos="360" w:leader="none"/>
          <w:tab w:val="left" w:pos="720" w:leader="none"/>
          <w:tab w:val="left" w:pos="1080" w:leader="none"/>
          <w:tab w:val="left" w:pos="1440" w:leader="none"/>
          <w:tab w:val="left" w:pos="1800" w:leader="none"/>
          <w:tab w:val="left" w:pos="2160" w:leader="none"/>
          <w:tab w:val="left" w:pos="2520" w:leader="none"/>
        </w:tabs>
        <w:suppressAutoHyphens w:val="true"/>
        <w:bidi w:val="0"/>
        <w:snapToGrid w:val="false"/>
        <w:spacing w:lineRule="auto" w:line="240" w:before="29" w:after="115"/>
        <w:ind w:hanging="360" w:start="1080" w:end="0"/>
        <w:jc w:val="start"/>
        <w:rPr/>
      </w:pPr>
      <w:r>
        <w:rPr/>
        <w:t xml:space="preserve">A maximum of </w:t>
      </w:r>
      <w:r>
        <w:rPr>
          <w:b/>
          <w:bCs/>
        </w:rPr>
        <w:t>six (6) birds</w:t>
      </w:r>
      <w:r>
        <w:rPr/>
        <w:t xml:space="preserve"> (hens or ducks) are allowed per lot.</w:t>
      </w:r>
    </w:p>
    <w:p>
      <w:pPr>
        <w:pStyle w:val="normal1"/>
        <w:numPr>
          <w:ilvl w:val="0"/>
          <w:numId w:val="1"/>
        </w:numPr>
        <w:tabs>
          <w:tab w:val="left" w:pos="360" w:leader="none"/>
          <w:tab w:val="left" w:pos="720" w:leader="none"/>
          <w:tab w:val="left" w:pos="1080" w:leader="none"/>
          <w:tab w:val="left" w:pos="1440" w:leader="none"/>
          <w:tab w:val="left" w:pos="1800" w:leader="none"/>
          <w:tab w:val="left" w:pos="2160" w:leader="none"/>
          <w:tab w:val="left" w:pos="2520" w:leader="none"/>
        </w:tabs>
        <w:snapToGrid w:val="false"/>
        <w:spacing w:lineRule="auto" w:line="240" w:before="29" w:after="115"/>
        <w:ind w:hanging="360" w:start="720"/>
        <w:rPr/>
      </w:pPr>
      <w:r>
        <w:rPr>
          <w:b/>
          <w:bCs/>
        </w:rPr>
        <w:t>Siting and Confinement:</w:t>
      </w:r>
    </w:p>
    <w:p>
      <w:pPr>
        <w:pStyle w:val="normal1"/>
        <w:widowControl/>
        <w:numPr>
          <w:ilvl w:val="1"/>
          <w:numId w:val="1"/>
        </w:numPr>
        <w:tabs>
          <w:tab w:val="left" w:pos="360" w:leader="none"/>
          <w:tab w:val="left" w:pos="720" w:leader="none"/>
          <w:tab w:val="left" w:pos="1080" w:leader="none"/>
          <w:tab w:val="left" w:pos="1440" w:leader="none"/>
          <w:tab w:val="left" w:pos="1800" w:leader="none"/>
          <w:tab w:val="left" w:pos="2160" w:leader="none"/>
          <w:tab w:val="left" w:pos="2520" w:leader="none"/>
        </w:tabs>
        <w:suppressAutoHyphens w:val="true"/>
        <w:bidi w:val="0"/>
        <w:snapToGrid w:val="false"/>
        <w:spacing w:lineRule="auto" w:line="240" w:before="29" w:after="115"/>
        <w:ind w:hanging="360" w:start="1080" w:end="0"/>
        <w:jc w:val="start"/>
        <w:rPr/>
      </w:pPr>
      <w:r>
        <w:rPr/>
        <w:t xml:space="preserve">Poultry must be kept in a </w:t>
      </w:r>
      <w:r>
        <w:rPr>
          <w:b/>
          <w:bCs/>
        </w:rPr>
        <w:t>dwelling or yard</w:t>
      </w:r>
      <w:r>
        <w:rPr/>
        <w:t xml:space="preserve"> owned or occupied by the bird owner.</w:t>
      </w:r>
    </w:p>
    <w:p>
      <w:pPr>
        <w:pStyle w:val="normal1"/>
        <w:widowControl/>
        <w:numPr>
          <w:ilvl w:val="1"/>
          <w:numId w:val="1"/>
        </w:numPr>
        <w:tabs>
          <w:tab w:val="left" w:pos="360" w:leader="none"/>
          <w:tab w:val="left" w:pos="720" w:leader="none"/>
          <w:tab w:val="left" w:pos="1080" w:leader="none"/>
          <w:tab w:val="left" w:pos="1440" w:leader="none"/>
          <w:tab w:val="left" w:pos="1800" w:leader="none"/>
          <w:tab w:val="left" w:pos="2160" w:leader="none"/>
          <w:tab w:val="left" w:pos="2520" w:leader="none"/>
        </w:tabs>
        <w:suppressAutoHyphens w:val="true"/>
        <w:bidi w:val="0"/>
        <w:snapToGrid w:val="false"/>
        <w:spacing w:lineRule="auto" w:line="240" w:before="29" w:after="115"/>
        <w:ind w:hanging="360" w:start="1080" w:end="0"/>
        <w:jc w:val="start"/>
        <w:rPr/>
      </w:pPr>
      <w:r>
        <w:rPr/>
        <w:t xml:space="preserve">Poultry must be restricted to </w:t>
      </w:r>
      <w:r>
        <w:rPr>
          <w:b/>
          <w:bCs/>
        </w:rPr>
        <w:t>backyards</w:t>
      </w:r>
      <w:r>
        <w:rPr/>
        <w:t xml:space="preserve"> with adequate fencing. If not securely fenced in the backyard, birds </w:t>
      </w:r>
      <w:r>
        <w:rPr>
          <w:b/>
          <w:bCs/>
        </w:rPr>
        <w:t>shall be caged at all times</w:t>
      </w:r>
      <w:r>
        <w:rPr/>
        <w:t>.</w:t>
      </w:r>
    </w:p>
    <w:p>
      <w:pPr>
        <w:pStyle w:val="normal1"/>
        <w:widowControl/>
        <w:numPr>
          <w:ilvl w:val="1"/>
          <w:numId w:val="1"/>
        </w:numPr>
        <w:tabs>
          <w:tab w:val="left" w:pos="360" w:leader="none"/>
          <w:tab w:val="left" w:pos="720" w:leader="none"/>
          <w:tab w:val="left" w:pos="1080" w:leader="none"/>
          <w:tab w:val="left" w:pos="1440" w:leader="none"/>
          <w:tab w:val="left" w:pos="1800" w:leader="none"/>
          <w:tab w:val="left" w:pos="2160" w:leader="none"/>
          <w:tab w:val="left" w:pos="2520" w:leader="none"/>
        </w:tabs>
        <w:suppressAutoHyphens w:val="true"/>
        <w:bidi w:val="0"/>
        <w:snapToGrid w:val="false"/>
        <w:spacing w:lineRule="auto" w:line="240" w:before="29" w:after="115"/>
        <w:ind w:hanging="360" w:start="1080" w:end="0"/>
        <w:jc w:val="start"/>
        <w:rPr/>
      </w:pPr>
      <w:r>
        <w:rPr>
          <w:b/>
          <w:bCs/>
        </w:rPr>
        <w:t>Cages and coops must be maintained and kept up</w:t>
      </w:r>
      <w:r>
        <w:rPr/>
        <w:t>.</w:t>
      </w:r>
    </w:p>
    <w:p>
      <w:pPr>
        <w:pStyle w:val="normal1"/>
        <w:widowControl/>
        <w:numPr>
          <w:ilvl w:val="1"/>
          <w:numId w:val="1"/>
        </w:numPr>
        <w:tabs>
          <w:tab w:val="left" w:pos="360" w:leader="none"/>
          <w:tab w:val="left" w:pos="720" w:leader="none"/>
          <w:tab w:val="left" w:pos="1080" w:leader="none"/>
          <w:tab w:val="left" w:pos="1440" w:leader="none"/>
          <w:tab w:val="left" w:pos="1800" w:leader="none"/>
          <w:tab w:val="left" w:pos="2160" w:leader="none"/>
          <w:tab w:val="left" w:pos="2520" w:leader="none"/>
        </w:tabs>
        <w:suppressAutoHyphens w:val="true"/>
        <w:bidi w:val="0"/>
        <w:snapToGrid w:val="false"/>
        <w:spacing w:lineRule="auto" w:line="240" w:before="29" w:after="115"/>
        <w:ind w:hanging="360" w:start="1080" w:end="0"/>
        <w:jc w:val="start"/>
        <w:rPr/>
      </w:pPr>
      <w:r>
        <w:rPr/>
        <w:t xml:space="preserve">The structure and enclosure area must meet a minimum space requirement of </w:t>
      </w:r>
      <w:r>
        <w:rPr>
          <w:b/>
          <w:bCs/>
        </w:rPr>
        <w:t>600 square feet of pervious surface area for each bird</w:t>
      </w:r>
      <w:r>
        <w:rPr/>
        <w:t>.</w:t>
      </w:r>
    </w:p>
    <w:p>
      <w:pPr>
        <w:pStyle w:val="normal1"/>
        <w:numPr>
          <w:ilvl w:val="0"/>
          <w:numId w:val="1"/>
        </w:numPr>
        <w:tabs>
          <w:tab w:val="left" w:pos="360" w:leader="none"/>
          <w:tab w:val="left" w:pos="720" w:leader="none"/>
          <w:tab w:val="left" w:pos="1080" w:leader="none"/>
          <w:tab w:val="left" w:pos="1440" w:leader="none"/>
          <w:tab w:val="left" w:pos="1800" w:leader="none"/>
          <w:tab w:val="left" w:pos="2160" w:leader="none"/>
          <w:tab w:val="left" w:pos="2520" w:leader="none"/>
        </w:tabs>
        <w:snapToGrid w:val="false"/>
        <w:spacing w:lineRule="auto" w:line="240" w:before="29" w:after="115"/>
        <w:ind w:hanging="360" w:start="720"/>
        <w:rPr/>
      </w:pPr>
      <w:r>
        <w:rPr>
          <w:b/>
          <w:bCs/>
        </w:rPr>
        <w:t>Setbacks:</w:t>
      </w:r>
    </w:p>
    <w:p>
      <w:pPr>
        <w:pStyle w:val="normal1"/>
        <w:widowControl/>
        <w:numPr>
          <w:ilvl w:val="1"/>
          <w:numId w:val="1"/>
        </w:numPr>
        <w:tabs>
          <w:tab w:val="left" w:pos="360" w:leader="none"/>
          <w:tab w:val="left" w:pos="720" w:leader="none"/>
          <w:tab w:val="left" w:pos="1080" w:leader="none"/>
          <w:tab w:val="left" w:pos="1440" w:leader="none"/>
          <w:tab w:val="left" w:pos="1800" w:leader="none"/>
          <w:tab w:val="left" w:pos="2160" w:leader="none"/>
          <w:tab w:val="left" w:pos="2520" w:leader="none"/>
        </w:tabs>
        <w:suppressAutoHyphens w:val="true"/>
        <w:bidi w:val="0"/>
        <w:snapToGrid w:val="false"/>
        <w:spacing w:lineRule="auto" w:line="240" w:before="29" w:after="115"/>
        <w:ind w:hanging="360" w:start="1080" w:end="0"/>
        <w:jc w:val="start"/>
        <w:rPr/>
      </w:pPr>
      <w:r>
        <w:rPr/>
        <w:t xml:space="preserve">All coops, cages, and enclosures are subject to the </w:t>
      </w:r>
      <w:r>
        <w:rPr>
          <w:b/>
          <w:bCs/>
        </w:rPr>
        <w:t>standard POA setbacks</w:t>
      </w:r>
      <w:r>
        <w:rPr/>
        <w:t xml:space="preserve"> for accessory structures.</w:t>
      </w:r>
    </w:p>
    <w:p>
      <w:pPr>
        <w:pStyle w:val="normal1"/>
        <w:numPr>
          <w:ilvl w:val="0"/>
          <w:numId w:val="1"/>
        </w:numPr>
        <w:tabs>
          <w:tab w:val="left" w:pos="360" w:leader="none"/>
          <w:tab w:val="left" w:pos="720" w:leader="none"/>
          <w:tab w:val="left" w:pos="1080" w:leader="none"/>
          <w:tab w:val="left" w:pos="1440" w:leader="none"/>
          <w:tab w:val="left" w:pos="1800" w:leader="none"/>
          <w:tab w:val="left" w:pos="2160" w:leader="none"/>
          <w:tab w:val="left" w:pos="2520" w:leader="none"/>
        </w:tabs>
        <w:snapToGrid w:val="false"/>
        <w:spacing w:lineRule="auto" w:line="240" w:before="29" w:after="115"/>
        <w:ind w:hanging="360" w:start="720"/>
        <w:rPr/>
      </w:pPr>
      <w:r>
        <w:rPr>
          <w:b/>
          <w:bCs/>
        </w:rPr>
        <w:t>Maintenance, Waste, and Pest Control:</w:t>
      </w:r>
    </w:p>
    <w:p>
      <w:pPr>
        <w:pStyle w:val="normal1"/>
        <w:widowControl/>
        <w:numPr>
          <w:ilvl w:val="1"/>
          <w:numId w:val="1"/>
        </w:numPr>
        <w:tabs>
          <w:tab w:val="left" w:pos="360" w:leader="none"/>
          <w:tab w:val="left" w:pos="720" w:leader="none"/>
          <w:tab w:val="left" w:pos="1080" w:leader="none"/>
          <w:tab w:val="left" w:pos="1440" w:leader="none"/>
          <w:tab w:val="left" w:pos="1800" w:leader="none"/>
          <w:tab w:val="left" w:pos="2160" w:leader="none"/>
          <w:tab w:val="left" w:pos="2520" w:leader="none"/>
        </w:tabs>
        <w:suppressAutoHyphens w:val="true"/>
        <w:bidi w:val="0"/>
        <w:snapToGrid w:val="false"/>
        <w:spacing w:lineRule="auto" w:line="240" w:before="29" w:after="115"/>
        <w:ind w:hanging="360" w:start="1080" w:end="0"/>
        <w:jc w:val="start"/>
        <w:rPr/>
      </w:pPr>
      <w:r>
        <w:rPr>
          <w:b/>
          <w:bCs/>
        </w:rPr>
        <w:t>Odor, waste, and pest control shall be maintained at all times</w:t>
      </w:r>
      <w:r>
        <w:rPr/>
        <w:t xml:space="preserve"> to prevent any nuisance.</w:t>
      </w:r>
    </w:p>
    <w:p>
      <w:pPr>
        <w:pStyle w:val="normal1"/>
        <w:widowControl/>
        <w:numPr>
          <w:ilvl w:val="1"/>
          <w:numId w:val="1"/>
        </w:numPr>
        <w:tabs>
          <w:tab w:val="left" w:pos="360" w:leader="none"/>
          <w:tab w:val="left" w:pos="720" w:leader="none"/>
          <w:tab w:val="left" w:pos="1080" w:leader="none"/>
          <w:tab w:val="left" w:pos="1440" w:leader="none"/>
          <w:tab w:val="left" w:pos="1800" w:leader="none"/>
          <w:tab w:val="left" w:pos="2160" w:leader="none"/>
          <w:tab w:val="left" w:pos="2520" w:leader="none"/>
        </w:tabs>
        <w:suppressAutoHyphens w:val="true"/>
        <w:bidi w:val="0"/>
        <w:snapToGrid w:val="false"/>
        <w:spacing w:lineRule="auto" w:line="240" w:before="29" w:after="115"/>
        <w:ind w:hanging="360" w:start="1080" w:end="0"/>
        <w:jc w:val="start"/>
        <w:rPr/>
      </w:pPr>
      <w:r>
        <w:rPr>
          <w:b/>
          <w:bCs/>
        </w:rPr>
        <w:t>Chicken/Duck manure must be regularly removed</w:t>
      </w:r>
      <w:r>
        <w:rPr/>
        <w:t xml:space="preserve"> from the coop/roosting area. Manure cannot be allowed to accumulate in a way that creates odor, attracts flies or other pests, or in any way diminishes the rights of adjacent property owners.</w:t>
      </w:r>
    </w:p>
    <w:p>
      <w:pPr>
        <w:pStyle w:val="normal1"/>
        <w:numPr>
          <w:ilvl w:val="0"/>
          <w:numId w:val="1"/>
        </w:numPr>
        <w:tabs>
          <w:tab w:val="left" w:pos="360" w:leader="none"/>
          <w:tab w:val="left" w:pos="720" w:leader="none"/>
          <w:tab w:val="left" w:pos="1080" w:leader="none"/>
          <w:tab w:val="left" w:pos="1440" w:leader="none"/>
          <w:tab w:val="left" w:pos="1800" w:leader="none"/>
          <w:tab w:val="left" w:pos="2160" w:leader="none"/>
          <w:tab w:val="left" w:pos="2520" w:leader="none"/>
        </w:tabs>
        <w:snapToGrid w:val="false"/>
        <w:spacing w:lineRule="auto" w:line="240" w:before="29" w:after="115"/>
        <w:ind w:hanging="360" w:start="720"/>
        <w:rPr/>
      </w:pPr>
      <w:r>
        <w:rPr>
          <w:b/>
          <w:bCs/>
        </w:rPr>
        <w:t>Commercial and Slaughter Restrictions:</w:t>
      </w:r>
    </w:p>
    <w:p>
      <w:pPr>
        <w:pStyle w:val="normal1"/>
        <w:widowControl/>
        <w:numPr>
          <w:ilvl w:val="1"/>
          <w:numId w:val="1"/>
        </w:numPr>
        <w:tabs>
          <w:tab w:val="left" w:pos="360" w:leader="none"/>
          <w:tab w:val="left" w:pos="720" w:leader="none"/>
          <w:tab w:val="left" w:pos="1080" w:leader="none"/>
          <w:tab w:val="left" w:pos="1440" w:leader="none"/>
          <w:tab w:val="left" w:pos="1800" w:leader="none"/>
          <w:tab w:val="left" w:pos="2160" w:leader="none"/>
          <w:tab w:val="left" w:pos="2520" w:leader="none"/>
        </w:tabs>
        <w:suppressAutoHyphens w:val="true"/>
        <w:bidi w:val="0"/>
        <w:snapToGrid w:val="false"/>
        <w:spacing w:lineRule="auto" w:line="240" w:before="29" w:after="115"/>
        <w:ind w:hanging="360" w:start="1080" w:end="0"/>
        <w:jc w:val="start"/>
        <w:rPr/>
      </w:pPr>
      <w:r>
        <w:rPr/>
        <w:t xml:space="preserve">Poultry keeping is for personal, domestic use only. </w:t>
      </w:r>
      <w:r>
        <w:rPr>
          <w:b/>
          <w:bCs/>
        </w:rPr>
        <w:t>No commercial enterprise</w:t>
      </w:r>
      <w:r>
        <w:rPr/>
        <w:t xml:space="preserve"> involving the birds or their products is permitted.</w:t>
      </w:r>
    </w:p>
    <w:p>
      <w:pPr>
        <w:pStyle w:val="normal1"/>
        <w:widowControl/>
        <w:numPr>
          <w:ilvl w:val="1"/>
          <w:numId w:val="1"/>
        </w:numPr>
        <w:tabs>
          <w:tab w:val="left" w:pos="360" w:leader="none"/>
          <w:tab w:val="left" w:pos="720" w:leader="none"/>
          <w:tab w:val="left" w:pos="1080" w:leader="none"/>
          <w:tab w:val="left" w:pos="1440" w:leader="none"/>
          <w:tab w:val="left" w:pos="1800" w:leader="none"/>
          <w:tab w:val="left" w:pos="2160" w:leader="none"/>
          <w:tab w:val="left" w:pos="2520" w:leader="none"/>
        </w:tabs>
        <w:suppressAutoHyphens w:val="true"/>
        <w:bidi w:val="0"/>
        <w:snapToGrid w:val="false"/>
        <w:spacing w:lineRule="auto" w:line="240" w:before="29" w:after="115"/>
        <w:ind w:hanging="360" w:start="1080" w:end="0"/>
        <w:jc w:val="start"/>
        <w:rPr/>
      </w:pPr>
      <w:r>
        <w:rPr>
          <w:b/>
          <w:bCs/>
        </w:rPr>
        <w:t>No slaughtering</w:t>
      </w:r>
      <w:r>
        <w:rPr/>
        <w:t xml:space="preserve"> of poultry is permitted on the tract.</w:t>
      </w:r>
    </w:p>
    <w:p>
      <w:pPr>
        <w:pStyle w:val="normal1"/>
        <w:numPr>
          <w:ilvl w:val="0"/>
          <w:numId w:val="1"/>
        </w:numPr>
        <w:tabs>
          <w:tab w:val="left" w:pos="360" w:leader="none"/>
          <w:tab w:val="left" w:pos="720" w:leader="none"/>
          <w:tab w:val="left" w:pos="1080" w:leader="none"/>
          <w:tab w:val="left" w:pos="1440" w:leader="none"/>
          <w:tab w:val="left" w:pos="1800" w:leader="none"/>
          <w:tab w:val="left" w:pos="2160" w:leader="none"/>
          <w:tab w:val="left" w:pos="2520" w:leader="none"/>
        </w:tabs>
        <w:snapToGrid w:val="false"/>
        <w:spacing w:lineRule="auto" w:line="240" w:before="29" w:after="115"/>
        <w:ind w:hanging="360" w:start="720"/>
        <w:rPr/>
      </w:pPr>
      <w:r>
        <w:rPr>
          <w:b/>
          <w:bCs/>
        </w:rPr>
        <w:t>Owner Compliance:</w:t>
      </w:r>
    </w:p>
    <w:p>
      <w:pPr>
        <w:pStyle w:val="normal1"/>
        <w:widowControl/>
        <w:numPr>
          <w:ilvl w:val="1"/>
          <w:numId w:val="1"/>
        </w:numPr>
        <w:tabs>
          <w:tab w:val="left" w:pos="360" w:leader="none"/>
          <w:tab w:val="left" w:pos="720" w:leader="none"/>
          <w:tab w:val="left" w:pos="1080" w:leader="none"/>
          <w:tab w:val="left" w:pos="1440" w:leader="none"/>
          <w:tab w:val="left" w:pos="1800" w:leader="none"/>
          <w:tab w:val="left" w:pos="2160" w:leader="none"/>
          <w:tab w:val="left" w:pos="2520" w:leader="none"/>
        </w:tabs>
        <w:suppressAutoHyphens w:val="true"/>
        <w:bidi w:val="0"/>
        <w:snapToGrid w:val="false"/>
        <w:spacing w:lineRule="auto" w:line="240" w:before="29" w:after="115"/>
        <w:ind w:hanging="360" w:start="1080" w:end="0"/>
        <w:jc w:val="start"/>
        <w:rPr/>
      </w:pPr>
      <w:r>
        <w:rPr/>
        <w:t xml:space="preserve">All poultry owners </w:t>
      </w:r>
      <w:r>
        <w:rPr>
          <w:b/>
          <w:bCs/>
        </w:rPr>
        <w:t>must be in good standing with their annual HOA dues</w:t>
      </w:r>
      <w:r>
        <w:rPr/>
        <w:t>.</w:t>
      </w:r>
    </w:p>
    <w:p>
      <w:pPr>
        <w:pStyle w:val="normal1"/>
        <w:pBdr>
          <w:bottom w:val="single" w:sz="6" w:space="1" w:color="000000"/>
        </w:pBdr>
        <w:tabs>
          <w:tab w:val="left" w:pos="360" w:leader="none"/>
          <w:tab w:val="left" w:pos="720" w:leader="none"/>
          <w:tab w:val="left" w:pos="1080" w:leader="none"/>
          <w:tab w:val="left" w:pos="1440" w:leader="none"/>
          <w:tab w:val="left" w:pos="1800" w:leader="none"/>
          <w:tab w:val="left" w:pos="2160" w:leader="none"/>
          <w:tab w:val="left" w:pos="2520" w:leader="none"/>
        </w:tabs>
        <w:snapToGrid w:val="false"/>
        <w:spacing w:lineRule="auto" w:line="240" w:before="29" w:after="115"/>
        <w:rPr/>
      </w:pPr>
      <w:r>
        <w:rPr/>
      </w:r>
    </w:p>
    <w:p>
      <w:pPr>
        <w:pStyle w:val="normal1"/>
        <w:pBdr>
          <w:bottom w:val="single" w:sz="6" w:space="1" w:color="000000"/>
        </w:pBdr>
        <w:tabs>
          <w:tab w:val="left" w:pos="360" w:leader="none"/>
          <w:tab w:val="left" w:pos="720" w:leader="none"/>
          <w:tab w:val="left" w:pos="1080" w:leader="none"/>
          <w:tab w:val="left" w:pos="1440" w:leader="none"/>
          <w:tab w:val="left" w:pos="1800" w:leader="none"/>
          <w:tab w:val="left" w:pos="2160" w:leader="none"/>
          <w:tab w:val="left" w:pos="2520" w:leader="none"/>
        </w:tabs>
        <w:snapToGrid w:val="false"/>
        <w:spacing w:lineRule="auto" w:line="240" w:before="29" w:after="115"/>
        <w:rPr/>
      </w:pPr>
      <w:r>
        <w:rPr/>
      </w:r>
    </w:p>
    <w:p>
      <w:pPr>
        <w:pStyle w:val="normal1"/>
        <w:pBdr>
          <w:bottom w:val="single" w:sz="6" w:space="1" w:color="000000"/>
        </w:pBdr>
        <w:tabs>
          <w:tab w:val="left" w:pos="360" w:leader="none"/>
          <w:tab w:val="left" w:pos="720" w:leader="none"/>
          <w:tab w:val="left" w:pos="1080" w:leader="none"/>
          <w:tab w:val="left" w:pos="1440" w:leader="none"/>
          <w:tab w:val="left" w:pos="1800" w:leader="none"/>
          <w:tab w:val="left" w:pos="2160" w:leader="none"/>
          <w:tab w:val="left" w:pos="2520" w:leader="none"/>
        </w:tabs>
        <w:snapToGrid w:val="false"/>
        <w:spacing w:lineRule="auto" w:line="240" w:before="29" w:after="115"/>
        <w:rPr/>
      </w:pPr>
      <w:r>
        <w:rPr/>
      </w:r>
    </w:p>
    <w:p>
      <w:pPr>
        <w:pStyle w:val="normal1"/>
        <w:tabs>
          <w:tab w:val="left" w:pos="360" w:leader="none"/>
          <w:tab w:val="left" w:pos="720" w:leader="none"/>
          <w:tab w:val="left" w:pos="1080" w:leader="none"/>
          <w:tab w:val="left" w:pos="1440" w:leader="none"/>
          <w:tab w:val="left" w:pos="1800" w:leader="none"/>
          <w:tab w:val="left" w:pos="2160" w:leader="none"/>
          <w:tab w:val="left" w:pos="2520" w:leader="none"/>
        </w:tabs>
        <w:snapToGrid w:val="false"/>
        <w:spacing w:lineRule="auto" w:line="240" w:before="29" w:after="115"/>
        <w:rPr>
          <w:b/>
          <w:bCs/>
          <w:sz w:val="28"/>
          <w:szCs w:val="28"/>
        </w:rPr>
      </w:pPr>
      <w:r>
        <w:rPr>
          <w:b/>
          <w:bCs/>
          <w:sz w:val="28"/>
          <w:szCs w:val="28"/>
        </w:rPr>
        <w:t xml:space="preserve">Addendum One (Bylaws) is where definitions are located (e.g. ducks, conditions, containers, accessory structures, etc.). Attachment A (Bylaws) shall include the state law/county ordinance citation links. </w:t>
      </w:r>
    </w:p>
    <w:p>
      <w:pPr>
        <w:pStyle w:val="normal1"/>
        <w:tabs>
          <w:tab w:val="left" w:pos="360" w:leader="none"/>
          <w:tab w:val="left" w:pos="720" w:leader="none"/>
          <w:tab w:val="left" w:pos="1080" w:leader="none"/>
          <w:tab w:val="left" w:pos="1440" w:leader="none"/>
          <w:tab w:val="left" w:pos="1800" w:leader="none"/>
          <w:tab w:val="left" w:pos="2160" w:leader="none"/>
          <w:tab w:val="left" w:pos="2520" w:leader="none"/>
        </w:tabs>
        <w:snapToGrid w:val="false"/>
        <w:spacing w:lineRule="auto" w:line="240" w:before="29" w:after="115"/>
        <w:rPr/>
      </w:pPr>
      <w:r>
        <w:rPr>
          <w:b/>
          <w:bCs/>
        </w:rPr>
        <w:t>§ 92.04 DEFINITIONS.</w:t>
      </w:r>
    </w:p>
    <w:p>
      <w:pPr>
        <w:pStyle w:val="normal1"/>
        <w:tabs>
          <w:tab w:val="left" w:pos="360" w:leader="none"/>
          <w:tab w:val="left" w:pos="720" w:leader="none"/>
          <w:tab w:val="left" w:pos="1080" w:leader="none"/>
          <w:tab w:val="left" w:pos="1440" w:leader="none"/>
          <w:tab w:val="left" w:pos="1800" w:leader="none"/>
          <w:tab w:val="left" w:pos="2160" w:leader="none"/>
          <w:tab w:val="left" w:pos="2520" w:leader="none"/>
        </w:tabs>
        <w:snapToGrid w:val="false"/>
        <w:spacing w:lineRule="auto" w:line="240" w:before="29" w:after="115"/>
        <w:ind w:hanging="0" w:start="360"/>
        <w:rPr/>
      </w:pPr>
      <w:r>
        <w:rPr>
          <w:b/>
          <w:bCs/>
          <w:i/>
          <w:iCs/>
        </w:rPr>
        <w:t>AGRICULTURAL ACTIVITIES.</w:t>
      </w:r>
      <w:r>
        <w:rPr/>
        <w:t> Activities which are agricultural in nature and which include:</w:t>
      </w:r>
    </w:p>
    <w:p>
      <w:pPr>
        <w:pStyle w:val="normal1"/>
        <w:tabs>
          <w:tab w:val="left" w:pos="360" w:leader="none"/>
          <w:tab w:val="left" w:pos="720" w:leader="none"/>
          <w:tab w:val="left" w:pos="1080" w:leader="none"/>
          <w:tab w:val="left" w:pos="1440" w:leader="none"/>
          <w:tab w:val="left" w:pos="1800" w:leader="none"/>
          <w:tab w:val="left" w:pos="2160" w:leader="none"/>
          <w:tab w:val="left" w:pos="2520" w:leader="none"/>
        </w:tabs>
        <w:snapToGrid w:val="false"/>
        <w:spacing w:lineRule="auto" w:line="240" w:before="29" w:after="115"/>
        <w:ind w:hanging="0" w:start="720"/>
        <w:rPr/>
      </w:pPr>
      <w:r>
        <w:rPr/>
        <w:t>(2)   The breeding, hatching, raising, producing, slaughtering, processing, feeding, keeping, or boarding of livestock, hogs, aquatic animals, equines (which term shall include a llama, horse, pony, mule, donkey, zonkey, zebra, hinny or other similar animal), </w:t>
      </w:r>
      <w:r>
        <w:rPr>
          <w:highlight w:val="yellow"/>
        </w:rPr>
        <w:t>chickens</w:t>
      </w:r>
      <w:r>
        <w:rPr/>
        <w:t xml:space="preserve">, turkeys, poultry </w:t>
      </w:r>
      <w:r>
        <w:rPr>
          <w:highlight w:val="yellow"/>
        </w:rPr>
        <w:t>or other fowl</w:t>
      </w:r>
      <w:r>
        <w:rPr/>
        <w:t>, cattle, sheep, goats, rabbits or similar farm animals for any lawful purposes;</w:t>
      </w:r>
    </w:p>
    <w:p>
      <w:pPr>
        <w:pStyle w:val="normal1"/>
        <w:tabs>
          <w:tab w:val="left" w:pos="360" w:leader="none"/>
          <w:tab w:val="left" w:pos="720" w:leader="none"/>
          <w:tab w:val="left" w:pos="1080" w:leader="none"/>
          <w:tab w:val="left" w:pos="1440" w:leader="none"/>
          <w:tab w:val="left" w:pos="1800" w:leader="none"/>
          <w:tab w:val="left" w:pos="2160" w:leader="none"/>
          <w:tab w:val="left" w:pos="2520" w:leader="none"/>
        </w:tabs>
        <w:snapToGrid w:val="false"/>
        <w:spacing w:lineRule="auto" w:line="240" w:before="29" w:after="115"/>
        <w:ind w:hanging="0" w:start="360"/>
        <w:rPr/>
      </w:pPr>
      <w:r>
        <w:rPr>
          <w:b/>
          <w:bCs/>
          <w:i/>
          <w:iCs/>
        </w:rPr>
        <w:t>FARM USE.</w:t>
      </w:r>
      <w:r>
        <w:rPr/>
        <w:t> The current employment of land for the primary purpose of obtaining a profit in money by raising, harvesting and selling crops or the feeding, breeding, management and sale of, or the produce of, livestock, </w:t>
      </w:r>
      <w:r>
        <w:rPr>
          <w:highlight w:val="yellow"/>
        </w:rPr>
        <w:t>poultry</w:t>
      </w:r>
      <w:r>
        <w:rPr/>
        <w:t>, fur-bearing animals or honeybees or for dairying and the sale of dairy products or any other agricultural or horticultural use or animal husbandry or any combination thereof. </w:t>
      </w:r>
      <w:r>
        <w:rPr>
          <w:b/>
          <w:bCs/>
          <w:i/>
          <w:iCs/>
        </w:rPr>
        <w:t>FARM USE</w:t>
      </w:r>
      <w:r>
        <w:rPr/>
        <w:t> also includes the current employment of land for the primary purpose of obtaining profit in money by stabling or training equines including but not limited to providing riding lessons, training clinics and schooling shows. </w:t>
      </w:r>
      <w:r>
        <w:rPr>
          <w:b/>
          <w:bCs/>
          <w:i/>
          <w:iCs/>
        </w:rPr>
        <w:t>FARM USE</w:t>
      </w:r>
      <w:r>
        <w:rPr/>
        <w:t> includes the preparation, storage and disposal by marketing or otherwise of the products or by-products raised on the land for human or animal use. </w:t>
      </w:r>
      <w:r>
        <w:rPr>
          <w:b/>
          <w:bCs/>
          <w:i/>
          <w:iCs/>
        </w:rPr>
        <w:t>FARM USE</w:t>
      </w:r>
      <w:r>
        <w:rPr/>
        <w:t> includes the on-site construction and maintenance of equipment and facilities used for the activities described in the chapter.</w:t>
      </w:r>
    </w:p>
    <w:p>
      <w:pPr>
        <w:pStyle w:val="normal1"/>
        <w:tabs>
          <w:tab w:val="left" w:pos="360" w:leader="none"/>
          <w:tab w:val="left" w:pos="720" w:leader="none"/>
          <w:tab w:val="left" w:pos="1080" w:leader="none"/>
          <w:tab w:val="left" w:pos="1440" w:leader="none"/>
          <w:tab w:val="left" w:pos="1800" w:leader="none"/>
          <w:tab w:val="left" w:pos="2160" w:leader="none"/>
          <w:tab w:val="left" w:pos="2520" w:leader="none"/>
        </w:tabs>
        <w:snapToGrid w:val="false"/>
        <w:spacing w:lineRule="auto" w:line="240" w:before="29" w:after="115"/>
        <w:rPr/>
      </w:pPr>
      <w:r>
        <w:rPr>
          <w:b/>
          <w:bCs/>
        </w:rPr>
        <w:t>§ 154.105 RURAL RESIDENTIAL DISTRICTS (RR-1, RR-2).</w:t>
      </w:r>
    </w:p>
    <w:p>
      <w:pPr>
        <w:pStyle w:val="normal1"/>
        <w:tabs>
          <w:tab w:val="left" w:pos="360" w:leader="none"/>
          <w:tab w:val="left" w:pos="720" w:leader="none"/>
          <w:tab w:val="left" w:pos="1080" w:leader="none"/>
          <w:tab w:val="left" w:pos="1440" w:leader="none"/>
          <w:tab w:val="left" w:pos="1800" w:leader="none"/>
          <w:tab w:val="left" w:pos="2160" w:leader="none"/>
          <w:tab w:val="left" w:pos="2520" w:leader="none"/>
        </w:tabs>
        <w:snapToGrid w:val="false"/>
        <w:spacing w:lineRule="auto" w:line="240" w:before="29" w:after="115"/>
        <w:ind w:hanging="0" w:start="360"/>
        <w:rPr/>
      </w:pPr>
      <w:r>
        <w:rPr/>
        <w:t>(F)   </w:t>
      </w:r>
      <w:r>
        <w:rPr>
          <w:i/>
          <w:iCs/>
        </w:rPr>
        <w:t>Standards and limitations.</w:t>
      </w:r>
      <w:r>
        <w:rPr/>
        <w:t> In the RR Districts, the following standards and limitations shall apply:</w:t>
      </w:r>
    </w:p>
    <w:p>
      <w:pPr>
        <w:pStyle w:val="normal1"/>
        <w:tabs>
          <w:tab w:val="left" w:pos="360" w:leader="none"/>
          <w:tab w:val="left" w:pos="720" w:leader="none"/>
          <w:tab w:val="left" w:pos="1080" w:leader="none"/>
          <w:tab w:val="left" w:pos="1440" w:leader="none"/>
          <w:tab w:val="left" w:pos="1800" w:leader="none"/>
          <w:tab w:val="left" w:pos="2160" w:leader="none"/>
          <w:tab w:val="left" w:pos="2520" w:leader="none"/>
        </w:tabs>
        <w:snapToGrid w:val="false"/>
        <w:spacing w:lineRule="auto" w:line="240" w:before="29" w:after="115"/>
        <w:ind w:hanging="0" w:start="720"/>
        <w:rPr/>
      </w:pPr>
      <w:r>
        <w:rPr/>
        <w:t>(10)   </w:t>
      </w:r>
      <w:r>
        <w:rPr>
          <w:i/>
          <w:iCs/>
        </w:rPr>
        <w:t>Livestock.</w:t>
      </w:r>
      <w:r>
        <w:rPr/>
        <w:t> The keeping of livestock shall be allowed in the RR Districts subject to the following restrictions:</w:t>
      </w:r>
    </w:p>
    <w:p>
      <w:pPr>
        <w:pStyle w:val="normal1"/>
        <w:tabs>
          <w:tab w:val="left" w:pos="360" w:leader="none"/>
          <w:tab w:val="left" w:pos="720" w:leader="none"/>
          <w:tab w:val="left" w:pos="1080" w:leader="none"/>
          <w:tab w:val="left" w:pos="1440" w:leader="none"/>
          <w:tab w:val="left" w:pos="1800" w:leader="none"/>
          <w:tab w:val="left" w:pos="2160" w:leader="none"/>
          <w:tab w:val="left" w:pos="2520" w:leader="none"/>
        </w:tabs>
        <w:snapToGrid w:val="false"/>
        <w:spacing w:lineRule="auto" w:line="240" w:before="29" w:after="115"/>
        <w:ind w:hanging="0" w:start="990"/>
        <w:rPr/>
      </w:pPr>
      <w:r>
        <w:rPr/>
        <w:t xml:space="preserve">(a)   All livestock shall be properly fenced and contained so as to minimize adverse impacts to surrounding property; </w:t>
      </w:r>
    </w:p>
    <w:p>
      <w:pPr>
        <w:pStyle w:val="normal1"/>
        <w:tabs>
          <w:tab w:val="left" w:pos="360" w:leader="none"/>
          <w:tab w:val="left" w:pos="720" w:leader="none"/>
          <w:tab w:val="left" w:pos="1080" w:leader="none"/>
          <w:tab w:val="left" w:pos="1440" w:leader="none"/>
          <w:tab w:val="left" w:pos="1800" w:leader="none"/>
          <w:tab w:val="left" w:pos="2160" w:leader="none"/>
          <w:tab w:val="left" w:pos="2520" w:leader="none"/>
        </w:tabs>
        <w:snapToGrid w:val="false"/>
        <w:spacing w:lineRule="auto" w:line="240" w:before="29" w:after="115"/>
        <w:ind w:hanging="0" w:start="990"/>
        <w:rPr/>
      </w:pPr>
      <w:r>
        <w:rPr/>
        <w:t xml:space="preserve">(b)   There shall be at least 10,000 separate square feet of pervious surface area for each cow, horse or similar animal; </w:t>
      </w:r>
    </w:p>
    <w:p>
      <w:pPr>
        <w:pStyle w:val="normal1"/>
        <w:tabs>
          <w:tab w:val="left" w:pos="360" w:leader="none"/>
          <w:tab w:val="left" w:pos="720" w:leader="none"/>
          <w:tab w:val="left" w:pos="1080" w:leader="none"/>
          <w:tab w:val="left" w:pos="1440" w:leader="none"/>
          <w:tab w:val="left" w:pos="1800" w:leader="none"/>
          <w:tab w:val="left" w:pos="2160" w:leader="none"/>
          <w:tab w:val="left" w:pos="2520" w:leader="none"/>
        </w:tabs>
        <w:snapToGrid w:val="false"/>
        <w:spacing w:lineRule="auto" w:line="240" w:before="29" w:after="115"/>
        <w:ind w:hanging="0" w:start="990"/>
        <w:rPr/>
      </w:pPr>
      <w:r>
        <w:rPr/>
        <w:t>(c)   There shall be at least 4,000 separate square feet of pervious surface area for each sheep, goat, pig or similar animal;</w:t>
      </w:r>
    </w:p>
    <w:p>
      <w:pPr>
        <w:pStyle w:val="normal1"/>
        <w:tabs>
          <w:tab w:val="left" w:pos="360" w:leader="none"/>
          <w:tab w:val="left" w:pos="720" w:leader="none"/>
          <w:tab w:val="left" w:pos="1080" w:leader="none"/>
          <w:tab w:val="left" w:pos="1440" w:leader="none"/>
          <w:tab w:val="left" w:pos="1800" w:leader="none"/>
          <w:tab w:val="left" w:pos="2160" w:leader="none"/>
          <w:tab w:val="left" w:pos="2520" w:leader="none"/>
        </w:tabs>
        <w:snapToGrid w:val="false"/>
        <w:spacing w:lineRule="auto" w:line="240" w:before="29" w:after="115"/>
        <w:ind w:hanging="0" w:start="990"/>
        <w:rPr/>
      </w:pPr>
      <w:r>
        <w:rPr/>
        <w:t>(d)   There shall be at least 600 separate square feet of pervious surface area in an enclosed structure for poultry or rabbits or similar animals;</w:t>
      </w:r>
    </w:p>
    <w:p>
      <w:pPr>
        <w:pStyle w:val="normal1"/>
        <w:tabs>
          <w:tab w:val="left" w:pos="360" w:leader="none"/>
          <w:tab w:val="left" w:pos="720" w:leader="none"/>
          <w:tab w:val="left" w:pos="1080" w:leader="none"/>
          <w:tab w:val="left" w:pos="1440" w:leader="none"/>
          <w:tab w:val="left" w:pos="1800" w:leader="none"/>
          <w:tab w:val="left" w:pos="2160" w:leader="none"/>
          <w:tab w:val="left" w:pos="2520" w:leader="none"/>
        </w:tabs>
        <w:snapToGrid w:val="false"/>
        <w:spacing w:lineRule="auto" w:line="240" w:before="29" w:after="115"/>
        <w:rPr>
          <w:b/>
          <w:bCs/>
        </w:rPr>
      </w:pPr>
      <w:r>
        <w:rPr>
          <w:b/>
          <w:bCs/>
        </w:rPr>
      </w:r>
    </w:p>
    <w:p>
      <w:pPr>
        <w:pStyle w:val="normal1"/>
        <w:tabs>
          <w:tab w:val="left" w:pos="360" w:leader="none"/>
          <w:tab w:val="left" w:pos="720" w:leader="none"/>
          <w:tab w:val="left" w:pos="1080" w:leader="none"/>
          <w:tab w:val="left" w:pos="1440" w:leader="none"/>
          <w:tab w:val="left" w:pos="1800" w:leader="none"/>
          <w:tab w:val="left" w:pos="2160" w:leader="none"/>
          <w:tab w:val="left" w:pos="2520" w:leader="none"/>
        </w:tabs>
        <w:snapToGrid w:val="false"/>
        <w:spacing w:lineRule="auto" w:line="240" w:before="29" w:after="115"/>
        <w:rPr>
          <w:b/>
          <w:bCs/>
          <w:sz w:val="28"/>
          <w:szCs w:val="28"/>
        </w:rPr>
      </w:pPr>
      <w:r>
        <w:rPr>
          <w:b/>
          <w:bCs/>
          <w:sz w:val="28"/>
          <w:szCs w:val="28"/>
        </w:rPr>
        <w:t>Mid Valley Air Park Property Owners Association Covenants, Conditions, &amp; Restrictions</w:t>
      </w:r>
    </w:p>
    <w:p>
      <w:pPr>
        <w:pStyle w:val="normal1"/>
        <w:tabs>
          <w:tab w:val="left" w:pos="360" w:leader="none"/>
          <w:tab w:val="left" w:pos="720" w:leader="none"/>
          <w:tab w:val="left" w:pos="1080" w:leader="none"/>
          <w:tab w:val="left" w:pos="1440" w:leader="none"/>
          <w:tab w:val="left" w:pos="1800" w:leader="none"/>
          <w:tab w:val="left" w:pos="2160" w:leader="none"/>
          <w:tab w:val="left" w:pos="2520" w:leader="none"/>
        </w:tabs>
        <w:snapToGrid w:val="false"/>
        <w:spacing w:lineRule="auto" w:line="240" w:before="29" w:after="115"/>
        <w:rPr>
          <w:b/>
          <w:bCs/>
          <w:sz w:val="28"/>
          <w:szCs w:val="28"/>
        </w:rPr>
      </w:pPr>
      <w:r>
        <w:rPr>
          <w:b/>
          <w:bCs/>
          <w:sz w:val="28"/>
          <w:szCs w:val="28"/>
        </w:rPr>
        <w:t>Addendum C</w:t>
      </w:r>
    </w:p>
    <w:p>
      <w:pPr>
        <w:pStyle w:val="normal1"/>
        <w:tabs>
          <w:tab w:val="left" w:pos="360" w:leader="none"/>
          <w:tab w:val="left" w:pos="720" w:leader="none"/>
          <w:tab w:val="left" w:pos="1080" w:leader="none"/>
          <w:tab w:val="left" w:pos="1440" w:leader="none"/>
          <w:tab w:val="left" w:pos="1800" w:leader="none"/>
          <w:tab w:val="left" w:pos="2160" w:leader="none"/>
          <w:tab w:val="left" w:pos="2520" w:leader="none"/>
        </w:tabs>
        <w:snapToGrid w:val="false"/>
        <w:spacing w:lineRule="auto" w:line="240" w:before="29" w:after="115"/>
        <w:rPr/>
      </w:pPr>
      <w:r>
        <w:rPr/>
        <w:t>Livestock: The current La Sombra Covenants predate their joining the MVAPPOA, and contain certain allowances not found in the Mid Valley or Commercial Covenants. La Sombra tracts are allowed to have up to two horses each. This allowance will continue to be honored.</w:t>
      </w:r>
    </w:p>
    <w:p>
      <w:pPr>
        <w:pStyle w:val="normal1"/>
        <w:tabs>
          <w:tab w:val="left" w:pos="360" w:leader="none"/>
          <w:tab w:val="left" w:pos="720" w:leader="none"/>
          <w:tab w:val="left" w:pos="1080" w:leader="none"/>
          <w:tab w:val="left" w:pos="1440" w:leader="none"/>
          <w:tab w:val="left" w:pos="1800" w:leader="none"/>
          <w:tab w:val="left" w:pos="2160" w:leader="none"/>
          <w:tab w:val="left" w:pos="2520" w:leader="none"/>
        </w:tabs>
        <w:snapToGrid w:val="false"/>
        <w:spacing w:lineRule="auto" w:line="240" w:before="29" w:after="115"/>
        <w:rPr/>
      </w:pPr>
      <w:r>
        <w:rPr/>
        <w:t>Despite a La Sombra restriction on livestock other than the permitted horses, a prior Board allowed a La Sombra owner a variance to have two goats (only one remains). Upon demise of the remaining goat (or removal from the air park), said allowance shall expire and no livestock other than horses shall be allowed henceforth.</w:t>
      </w:r>
    </w:p>
    <w:p>
      <w:pPr>
        <w:pStyle w:val="normal1"/>
        <w:tabs>
          <w:tab w:val="left" w:pos="360" w:leader="none"/>
          <w:tab w:val="left" w:pos="720" w:leader="none"/>
          <w:tab w:val="left" w:pos="1080" w:leader="none"/>
          <w:tab w:val="left" w:pos="1440" w:leader="none"/>
          <w:tab w:val="left" w:pos="1800" w:leader="none"/>
          <w:tab w:val="left" w:pos="2160" w:leader="none"/>
          <w:tab w:val="left" w:pos="2520" w:leader="none"/>
        </w:tabs>
        <w:snapToGrid w:val="false"/>
        <w:spacing w:lineRule="auto" w:line="240" w:before="29" w:after="115"/>
        <w:rPr/>
      </w:pPr>
      <w:r>
        <w:rPr/>
        <w:t>Mid Valley and Commercial Covenants prohibit livestock; this restriction will continue.</w:t>
      </w:r>
    </w:p>
    <w:p>
      <w:pPr>
        <w:pStyle w:val="normal1"/>
        <w:tabs>
          <w:tab w:val="left" w:pos="360" w:leader="none"/>
          <w:tab w:val="left" w:pos="720" w:leader="none"/>
          <w:tab w:val="left" w:pos="1080" w:leader="none"/>
          <w:tab w:val="left" w:pos="1440" w:leader="none"/>
          <w:tab w:val="left" w:pos="1800" w:leader="none"/>
          <w:tab w:val="left" w:pos="2160" w:leader="none"/>
          <w:tab w:val="left" w:pos="2520" w:leader="none"/>
        </w:tabs>
        <w:snapToGrid w:val="false"/>
        <w:spacing w:lineRule="auto" w:line="240" w:before="29" w:after="115"/>
        <w:rPr/>
      </w:pPr>
      <w:r>
        <w:rPr/>
      </w:r>
    </w:p>
    <w:p>
      <w:pPr>
        <w:pStyle w:val="normal1"/>
        <w:widowControl/>
        <w:tabs>
          <w:tab w:val="left" w:pos="360" w:leader="none"/>
          <w:tab w:val="left" w:pos="720" w:leader="none"/>
          <w:tab w:val="left" w:pos="1080" w:leader="none"/>
          <w:tab w:val="left" w:pos="1440" w:leader="none"/>
          <w:tab w:val="left" w:pos="1800" w:leader="none"/>
          <w:tab w:val="left" w:pos="2160" w:leader="none"/>
          <w:tab w:val="left" w:pos="2520" w:leader="none"/>
        </w:tabs>
        <w:snapToGrid w:val="false"/>
        <w:spacing w:lineRule="auto" w:line="240" w:before="29" w:after="115"/>
        <w:jc w:val="start"/>
        <w:rPr/>
      </w:pPr>
      <w:r>
        <w:rPr/>
      </w:r>
    </w:p>
    <w:sectPr>
      <w:type w:val="nextPage"/>
      <w:pgSz w:w="12240" w:h="15840"/>
      <w:pgMar w:left="1123" w:right="1123" w:gutter="0" w:header="0" w:top="1123" w:footer="0" w:bottom="1123"/>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libri Light">
    <w:charset w:val="00" w:characterSet="windows-1252"/>
    <w:family w:val="roman"/>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720" w:hanging="360"/>
      </w:pPr>
      <w:rPr/>
    </w:lvl>
    <w:lvl w:ilvl="1">
      <w:start w:val="1"/>
      <w:numFmt w:val="bullet"/>
      <w:lvlText w:val="o"/>
      <w:lvlJc w:val="start"/>
      <w:pPr>
        <w:tabs>
          <w:tab w:val="num" w:pos="0"/>
        </w:tabs>
        <w:ind w:start="1440" w:hanging="360"/>
      </w:pPr>
      <w:rPr>
        <w:rFonts w:ascii="Courier New" w:hAnsi="Courier New" w:cs="Courier New" w:hint="default"/>
        <w:sz w:val="20"/>
        <w:szCs w:val="20"/>
      </w:rPr>
    </w:lvl>
    <w:lvl w:ilvl="2">
      <w:start w:val="1"/>
      <w:numFmt w:val="decimal"/>
      <w:lvlText w:val="%3."/>
      <w:lvlJc w:val="start"/>
      <w:pPr>
        <w:tabs>
          <w:tab w:val="num" w:pos="0"/>
        </w:tabs>
        <w:ind w:start="2160" w:hanging="360"/>
      </w:pPr>
      <w:rPr/>
    </w:lvl>
    <w:lvl w:ilvl="3">
      <w:start w:val="1"/>
      <w:numFmt w:val="decimal"/>
      <w:lvlText w:val="%4."/>
      <w:lvlJc w:val="start"/>
      <w:pPr>
        <w:tabs>
          <w:tab w:val="num" w:pos="0"/>
        </w:tabs>
        <w:ind w:start="2880" w:hanging="360"/>
      </w:pPr>
      <w:rPr/>
    </w:lvl>
    <w:lvl w:ilvl="4">
      <w:start w:val="1"/>
      <w:numFmt w:val="decimal"/>
      <w:lvlText w:val="%5."/>
      <w:lvlJc w:val="start"/>
      <w:pPr>
        <w:tabs>
          <w:tab w:val="num" w:pos="0"/>
        </w:tabs>
        <w:ind w:start="3600" w:hanging="360"/>
      </w:pPr>
      <w:rPr/>
    </w:lvl>
    <w:lvl w:ilvl="5">
      <w:start w:val="1"/>
      <w:numFmt w:val="decimal"/>
      <w:lvlText w:val="%6."/>
      <w:lvlJc w:val="start"/>
      <w:pPr>
        <w:tabs>
          <w:tab w:val="num" w:pos="0"/>
        </w:tabs>
        <w:ind w:start="4320" w:hanging="360"/>
      </w:pPr>
      <w:rPr/>
    </w:lvl>
    <w:lvl w:ilvl="6">
      <w:start w:val="1"/>
      <w:numFmt w:val="decimal"/>
      <w:lvlText w:val="%7."/>
      <w:lvlJc w:val="start"/>
      <w:pPr>
        <w:tabs>
          <w:tab w:val="num" w:pos="0"/>
        </w:tabs>
        <w:ind w:start="5040" w:hanging="360"/>
      </w:pPr>
      <w:rPr/>
    </w:lvl>
    <w:lvl w:ilvl="7">
      <w:start w:val="1"/>
      <w:numFmt w:val="decimal"/>
      <w:lvlText w:val="%8."/>
      <w:lvlJc w:val="start"/>
      <w:pPr>
        <w:tabs>
          <w:tab w:val="num" w:pos="0"/>
        </w:tabs>
        <w:ind w:start="5760" w:hanging="360"/>
      </w:pPr>
      <w:rPr/>
    </w:lvl>
    <w:lvl w:ilvl="8">
      <w:start w:val="1"/>
      <w:numFmt w:val="decimal"/>
      <w:lvlText w:val="%9."/>
      <w:lvlJc w:val="start"/>
      <w:pPr>
        <w:tabs>
          <w:tab w:val="num" w:pos="0"/>
        </w:tabs>
        <w:ind w:start="6480" w:hanging="36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80"/>
  <w:embedTrueTypeFonts/>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8" w:before="0" w:after="160"/>
      <w:jc w:val="start"/>
    </w:pPr>
    <w:rPr>
      <w:rFonts w:ascii="Calibri" w:hAnsi="Calibri" w:eastAsia="Calibri" w:cs="Calibri"/>
      <w:color w:val="auto"/>
      <w:kern w:val="0"/>
      <w:sz w:val="24"/>
      <w:szCs w:val="24"/>
      <w:lang w:val="en-US" w:eastAsia="zh-CN" w:bidi="hi-IN"/>
    </w:rPr>
  </w:style>
  <w:style w:type="paragraph" w:styleId="Heading1">
    <w:name w:val="heading 1"/>
    <w:basedOn w:val="normal1"/>
    <w:next w:val="normal1"/>
    <w:qFormat/>
    <w:pPr>
      <w:keepNext w:val="true"/>
      <w:keepLines/>
      <w:spacing w:lineRule="auto" w:line="240" w:before="360" w:after="80"/>
    </w:pPr>
    <w:rPr>
      <w:rFonts w:ascii="Calibri" w:hAnsi="Calibri" w:eastAsia="Calibri" w:cs="Calibri"/>
      <w:color w:val="2F5496"/>
      <w:sz w:val="40"/>
      <w:szCs w:val="40"/>
    </w:rPr>
  </w:style>
  <w:style w:type="paragraph" w:styleId="Heading2">
    <w:name w:val="heading 2"/>
    <w:basedOn w:val="normal1"/>
    <w:next w:val="normal1"/>
    <w:qFormat/>
    <w:pPr>
      <w:keepNext w:val="true"/>
      <w:keepLines/>
      <w:spacing w:lineRule="auto" w:line="240" w:before="160" w:after="80"/>
    </w:pPr>
    <w:rPr>
      <w:rFonts w:ascii="Calibri" w:hAnsi="Calibri" w:eastAsia="Calibri" w:cs="Calibri"/>
      <w:color w:val="2F5496"/>
      <w:sz w:val="32"/>
      <w:szCs w:val="32"/>
    </w:rPr>
  </w:style>
  <w:style w:type="paragraph" w:styleId="Heading3">
    <w:name w:val="heading 3"/>
    <w:basedOn w:val="normal1"/>
    <w:next w:val="normal1"/>
    <w:qFormat/>
    <w:pPr>
      <w:keepNext w:val="true"/>
      <w:keepLines/>
      <w:spacing w:lineRule="auto" w:line="240" w:before="160" w:after="80"/>
    </w:pPr>
    <w:rPr>
      <w:color w:val="2F5496"/>
      <w:sz w:val="28"/>
      <w:szCs w:val="28"/>
    </w:rPr>
  </w:style>
  <w:style w:type="paragraph" w:styleId="Heading4">
    <w:name w:val="heading 4"/>
    <w:basedOn w:val="normal1"/>
    <w:next w:val="normal1"/>
    <w:qFormat/>
    <w:pPr>
      <w:keepNext w:val="true"/>
      <w:keepLines/>
      <w:spacing w:lineRule="auto" w:line="240" w:before="80" w:after="40"/>
    </w:pPr>
    <w:rPr>
      <w:i/>
      <w:iCs/>
      <w:color w:val="2F5496"/>
    </w:rPr>
  </w:style>
  <w:style w:type="paragraph" w:styleId="Heading5">
    <w:name w:val="heading 5"/>
    <w:basedOn w:val="normal1"/>
    <w:next w:val="normal1"/>
    <w:qFormat/>
    <w:pPr>
      <w:keepNext w:val="true"/>
      <w:keepLines/>
      <w:spacing w:lineRule="auto" w:line="240" w:before="80" w:after="40"/>
    </w:pPr>
    <w:rPr>
      <w:color w:val="2F5496"/>
    </w:rPr>
  </w:style>
  <w:style w:type="paragraph" w:styleId="Heading6">
    <w:name w:val="heading 6"/>
    <w:basedOn w:val="normal1"/>
    <w:next w:val="normal1"/>
    <w:qFormat/>
    <w:pPr>
      <w:keepNext w:val="true"/>
      <w:keepLines/>
      <w:spacing w:lineRule="auto" w:line="240" w:before="40" w:after="0"/>
    </w:pPr>
    <w:rPr>
      <w:i/>
      <w:iCs/>
      <w:color w:val="595959"/>
    </w:rPr>
  </w:style>
  <w:style w:type="paragraph" w:styleId="Heading7">
    <w:name w:val="heading 7"/>
    <w:basedOn w:val="normal1"/>
    <w:next w:val="normal1"/>
    <w:link w:val="Heading7Char"/>
    <w:uiPriority w:val="9"/>
    <w:semiHidden/>
    <w:unhideWhenUsed/>
    <w:qFormat/>
    <w:rsid w:val="00236e89"/>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1"/>
    <w:next w:val="normal1"/>
    <w:link w:val="Heading8Char"/>
    <w:uiPriority w:val="9"/>
    <w:semiHidden/>
    <w:unhideWhenUsed/>
    <w:qFormat/>
    <w:rsid w:val="00236e89"/>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1"/>
    <w:next w:val="normal1"/>
    <w:link w:val="Heading9Char"/>
    <w:uiPriority w:val="9"/>
    <w:semiHidden/>
    <w:unhideWhenUsed/>
    <w:qFormat/>
    <w:rsid w:val="00236e89"/>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unhideWhenUsed/>
    <w:qFormat/>
    <w:rPr/>
  </w:style>
  <w:style w:type="character" w:styleId="Heading1Char" w:customStyle="1">
    <w:name w:val="Heading 1 Char"/>
    <w:basedOn w:val="DefaultParagraphFont"/>
    <w:link w:val="Heading1"/>
    <w:uiPriority w:val="9"/>
    <w:qFormat/>
    <w:rsid w:val="00236e89"/>
    <w:rPr>
      <w:rFonts w:ascii="Calibri Light" w:hAnsi="Calibri Light" w:eastAsia="" w:cs="" w:asciiTheme="majorHAnsi" w:cstheme="majorBidi" w:eastAsiaTheme="majorEastAsia" w:hAnsiTheme="majorHAnsi"/>
      <w:color w:themeColor="accent1" w:themeShade="bf" w:val="2F5496"/>
      <w:sz w:val="40"/>
      <w:szCs w:val="40"/>
    </w:rPr>
  </w:style>
  <w:style w:type="character" w:styleId="Heading2Char" w:customStyle="1">
    <w:name w:val="Heading 2 Char"/>
    <w:basedOn w:val="DefaultParagraphFont"/>
    <w:link w:val="Heading2"/>
    <w:uiPriority w:val="9"/>
    <w:semiHidden/>
    <w:qFormat/>
    <w:rsid w:val="00236e89"/>
    <w:rPr>
      <w:rFonts w:ascii="Calibri Light" w:hAnsi="Calibri Light" w:eastAsia="" w:cs="" w:asciiTheme="majorHAnsi" w:cstheme="majorBidi" w:eastAsiaTheme="majorEastAsia" w:hAnsiTheme="majorHAnsi"/>
      <w:color w:themeColor="accent1" w:themeShade="bf" w:val="2F5496"/>
      <w:sz w:val="32"/>
      <w:szCs w:val="32"/>
    </w:rPr>
  </w:style>
  <w:style w:type="character" w:styleId="Heading3Char" w:customStyle="1">
    <w:name w:val="Heading 3 Char"/>
    <w:basedOn w:val="DefaultParagraphFont"/>
    <w:link w:val="Heading3"/>
    <w:uiPriority w:val="9"/>
    <w:semiHidden/>
    <w:qFormat/>
    <w:rsid w:val="00236e89"/>
    <w:rPr>
      <w:rFonts w:eastAsia="" w:cs="" w:cstheme="majorBidi" w:eastAsiaTheme="majorEastAsia"/>
      <w:color w:themeColor="accent1" w:themeShade="bf" w:val="2F5496"/>
      <w:sz w:val="28"/>
      <w:szCs w:val="28"/>
    </w:rPr>
  </w:style>
  <w:style w:type="character" w:styleId="Heading4Char" w:customStyle="1">
    <w:name w:val="Heading 4 Char"/>
    <w:basedOn w:val="DefaultParagraphFont"/>
    <w:link w:val="Heading4"/>
    <w:uiPriority w:val="9"/>
    <w:semiHidden/>
    <w:qFormat/>
    <w:rsid w:val="00236e89"/>
    <w:rPr>
      <w:rFonts w:eastAsia="" w:cs="" w:cstheme="majorBidi" w:eastAsiaTheme="majorEastAsia"/>
      <w:i/>
      <w:iCs/>
      <w:color w:themeColor="accent1" w:themeShade="bf" w:val="2F5496"/>
    </w:rPr>
  </w:style>
  <w:style w:type="character" w:styleId="Heading5Char" w:customStyle="1">
    <w:name w:val="Heading 5 Char"/>
    <w:basedOn w:val="DefaultParagraphFont"/>
    <w:link w:val="Heading5"/>
    <w:uiPriority w:val="9"/>
    <w:semiHidden/>
    <w:qFormat/>
    <w:rsid w:val="00236e89"/>
    <w:rPr>
      <w:rFonts w:eastAsia="" w:cs="" w:cstheme="majorBidi" w:eastAsiaTheme="majorEastAsia"/>
      <w:color w:themeColor="accent1" w:themeShade="bf" w:val="2F5496"/>
    </w:rPr>
  </w:style>
  <w:style w:type="character" w:styleId="Heading6Char" w:customStyle="1">
    <w:name w:val="Heading 6 Char"/>
    <w:basedOn w:val="DefaultParagraphFont"/>
    <w:link w:val="Heading6"/>
    <w:uiPriority w:val="9"/>
    <w:semiHidden/>
    <w:qFormat/>
    <w:rsid w:val="00236e89"/>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236e89"/>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236e89"/>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236e89"/>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236e89"/>
    <w:rPr>
      <w:rFonts w:ascii="Calibri Light" w:hAnsi="Calibri Light"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236e89"/>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236e89"/>
    <w:rPr>
      <w:i/>
      <w:iCs/>
      <w:color w:themeColor="text1" w:themeTint="bf" w:val="404040"/>
    </w:rPr>
  </w:style>
  <w:style w:type="character" w:styleId="IntenseEmphasis">
    <w:name w:val="Intense Emphasis"/>
    <w:basedOn w:val="DefaultParagraphFont"/>
    <w:uiPriority w:val="21"/>
    <w:qFormat/>
    <w:rsid w:val="00236e89"/>
    <w:rPr>
      <w:i/>
      <w:iCs/>
      <w:color w:themeColor="accent1" w:themeShade="bf" w:val="2F5496"/>
    </w:rPr>
  </w:style>
  <w:style w:type="character" w:styleId="IntenseQuoteChar" w:customStyle="1">
    <w:name w:val="Intense Quote Char"/>
    <w:basedOn w:val="DefaultParagraphFont"/>
    <w:link w:val="IntenseQuote"/>
    <w:uiPriority w:val="30"/>
    <w:qFormat/>
    <w:rsid w:val="00236e89"/>
    <w:rPr>
      <w:i/>
      <w:iCs/>
      <w:color w:themeColor="accent1" w:themeShade="bf" w:val="2F5496"/>
    </w:rPr>
  </w:style>
  <w:style w:type="character" w:styleId="IntenseReference">
    <w:name w:val="Intense Reference"/>
    <w:basedOn w:val="DefaultParagraphFont"/>
    <w:uiPriority w:val="32"/>
    <w:qFormat/>
    <w:rsid w:val="00236e89"/>
    <w:rPr>
      <w:b/>
      <w:bCs/>
      <w:smallCaps/>
      <w:color w:themeColor="accent1" w:themeShade="bf" w:val="2F5496"/>
      <w:spacing w:val="5"/>
    </w:rPr>
  </w:style>
  <w:style w:type="paragraph" w:styleId="Heading">
    <w:name w:val="Heading"/>
    <w:basedOn w:val="normal1"/>
    <w:next w:val="BodyText"/>
    <w:qFormat/>
    <w:pPr>
      <w:keepNext w:val="true"/>
      <w:spacing w:before="240" w:after="120"/>
    </w:pPr>
    <w:rPr>
      <w:rFonts w:ascii="Arial" w:hAnsi="Arial" w:eastAsia="Microsoft YaHei" w:cs="Lucida Sans"/>
      <w:sz w:val="28"/>
      <w:szCs w:val="28"/>
    </w:rPr>
  </w:style>
  <w:style w:type="paragraph" w:styleId="BodyText">
    <w:name w:val="Body Text"/>
    <w:basedOn w:val="normal1"/>
    <w:pPr>
      <w:spacing w:lineRule="auto" w:line="276" w:before="0" w:after="140"/>
    </w:pPr>
    <w:rPr/>
  </w:style>
  <w:style w:type="paragraph" w:styleId="List">
    <w:name w:val="List"/>
    <w:basedOn w:val="BodyText"/>
    <w:pPr/>
    <w:rPr>
      <w:rFonts w:ascii="Arial" w:hAnsi="Arial" w:cs="Lucida Sans"/>
    </w:rPr>
  </w:style>
  <w:style w:type="paragraph" w:styleId="Caption">
    <w:name w:val="caption"/>
    <w:basedOn w:val="normal1"/>
    <w:qFormat/>
    <w:pPr>
      <w:suppressLineNumbers/>
      <w:spacing w:before="120" w:after="120"/>
    </w:pPr>
    <w:rPr>
      <w:rFonts w:ascii="Arial" w:hAnsi="Arial" w:cs="Lucida Sans"/>
      <w:i/>
      <w:iCs/>
      <w:sz w:val="24"/>
      <w:szCs w:val="24"/>
    </w:rPr>
  </w:style>
  <w:style w:type="paragraph" w:styleId="Index">
    <w:name w:val="Index"/>
    <w:basedOn w:val="normal1"/>
    <w:qFormat/>
    <w:pPr>
      <w:suppressLineNumbers/>
    </w:pPr>
    <w:rPr>
      <w:rFonts w:ascii="Arial" w:hAnsi="Arial" w:cs="Lucida Sans"/>
    </w:rPr>
  </w:style>
  <w:style w:type="paragraph" w:styleId="normal1" w:default="1">
    <w:name w:val="normal1"/>
    <w:qFormat/>
    <w:pPr>
      <w:widowControl/>
      <w:suppressAutoHyphens w:val="true"/>
      <w:bidi w:val="0"/>
      <w:spacing w:lineRule="auto" w:line="278" w:before="0" w:after="160"/>
      <w:jc w:val="start"/>
    </w:pPr>
    <w:rPr>
      <w:rFonts w:ascii="Calibri" w:hAnsi="Calibri" w:eastAsia="Calibri" w:cs="Calibri"/>
      <w:color w:val="auto"/>
      <w:kern w:val="0"/>
      <w:sz w:val="24"/>
      <w:szCs w:val="24"/>
      <w:lang w:val="en-US" w:eastAsia="zh-CN" w:bidi="hi-IN"/>
    </w:rPr>
  </w:style>
  <w:style w:type="paragraph" w:styleId="Title">
    <w:name w:val="Title"/>
    <w:basedOn w:val="normal1"/>
    <w:next w:val="normal1"/>
    <w:qFormat/>
    <w:pPr>
      <w:spacing w:lineRule="auto" w:line="240" w:before="0" w:after="80"/>
    </w:pPr>
    <w:rPr>
      <w:rFonts w:ascii="Calibri" w:hAnsi="Calibri" w:eastAsia="Calibri" w:cs="Calibri"/>
      <w:sz w:val="56"/>
      <w:szCs w:val="56"/>
    </w:rPr>
  </w:style>
  <w:style w:type="paragraph" w:styleId="Quote">
    <w:name w:val="Quote"/>
    <w:basedOn w:val="normal1"/>
    <w:next w:val="normal1"/>
    <w:link w:val="QuoteChar"/>
    <w:uiPriority w:val="29"/>
    <w:qFormat/>
    <w:rsid w:val="00236e89"/>
    <w:pPr>
      <w:spacing w:before="160" w:after="160"/>
      <w:jc w:val="center"/>
    </w:pPr>
    <w:rPr>
      <w:i/>
      <w:iCs/>
      <w:color w:themeColor="text1" w:themeTint="bf" w:val="404040"/>
    </w:rPr>
  </w:style>
  <w:style w:type="paragraph" w:styleId="ListParagraph">
    <w:name w:val="List Paragraph"/>
    <w:basedOn w:val="normal1"/>
    <w:uiPriority w:val="34"/>
    <w:qFormat/>
    <w:rsid w:val="00236e89"/>
    <w:pPr>
      <w:spacing w:before="0" w:after="160"/>
      <w:ind w:start="720"/>
      <w:contextualSpacing/>
    </w:pPr>
    <w:rPr/>
  </w:style>
  <w:style w:type="paragraph" w:styleId="IntenseQuote">
    <w:name w:val="Intense Quote"/>
    <w:basedOn w:val="normal1"/>
    <w:next w:val="normal1"/>
    <w:link w:val="IntenseQuoteChar"/>
    <w:uiPriority w:val="30"/>
    <w:qFormat/>
    <w:rsid w:val="00236e89"/>
    <w:pPr>
      <w:pBdr>
        <w:top w:val="single" w:sz="4" w:space="10" w:color="2F5496" w:themeColor="accent1" w:themeShade="bf"/>
        <w:bottom w:val="single" w:sz="4" w:space="10" w:color="2F5496" w:themeColor="accent1" w:themeShade="bf"/>
      </w:pBdr>
      <w:spacing w:before="360" w:after="360"/>
      <w:ind w:start="864" w:end="864"/>
      <w:jc w:val="center"/>
    </w:pPr>
    <w:rPr>
      <w:i/>
      <w:iCs/>
      <w:color w:themeColor="accent1" w:themeShade="bf" w:val="2F5496"/>
    </w:rPr>
  </w:style>
  <w:style w:type="paragraph" w:styleId="Subtitle">
    <w:name w:val="Subtitle"/>
    <w:basedOn w:val="normal1"/>
    <w:next w:val="normal1"/>
    <w:qFormat/>
    <w:pPr/>
    <w:rPr>
      <w:color w:val="595959"/>
      <w:sz w:val="28"/>
      <w:szCs w:val="28"/>
    </w:rPr>
  </w:style>
  <w:style w:type="numbering" w:styleId="NoList" w:default="1">
    <w:name w:val="No List"/>
    <w:uiPriority w:val="99"/>
    <w:semiHidden/>
    <w:unhideWhenUsed/>
    <w:qFormat/>
  </w:style>
  <w:style w:type="table" w:default="1" w:styleId="TableNormal">
    <w:name w:val="TableNormal"/>
    <w:tblPr>
      <w:tblCellMar>
        <w:top w:w="100" w:type="dxa"/>
        <w:left w:w="100" w:type="dxa"/>
        <w:bottom w:w="100" w:type="dxa"/>
        <w:right w:w="100" w:type="dxa"/>
      </w:tblCellMar>
    </w:tblPr>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4G3HvWq+7sfvzhUtxYr44PqoF5w==">CgMxLjA4AHIhMWFvZ2o1NTAwX1ZHMThteUdaVVY0UmVHR3dCVGhfS2g3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17</TotalTime>
  <Application>LibreOffice/26.2.5.2$Windows_X86_64 LibreOffice_project/cd7284b4cbbfeb507e630c1aac019f4157393acb</Application>
  <AppVersion>15.0000</AppVersion>
  <Pages>3</Pages>
  <Words>780</Words>
  <Characters>4177</Characters>
  <CharactersWithSpaces>4918</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2025-10-02T17:37:00Z</dcterms:created>
  <dc:creator>Jay Janssen</dc:creator>
  <dc:description/>
  <dc:language>en-US</dc:language>
  <cp:lastModifiedBy/>
  <dcterms:modified xsi:type="dcterms:W3CDTF">2026-08-13T17:49:20Z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