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center"/>
        <w:rPr/>
      </w:pPr>
      <w:r>
        <w:rPr>
          <w:rStyle w:val="Strong"/>
          <w:sz w:val="28"/>
          <w:szCs w:val="28"/>
        </w:rPr>
        <w:t>Mid Valley Air Park</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center"/>
        <w:rPr/>
      </w:pPr>
      <w:r>
        <w:rPr>
          <w:rStyle w:val="Strong"/>
          <w:sz w:val="28"/>
          <w:szCs w:val="28"/>
        </w:rPr>
        <w:t>Declaration of Covenants, Conditions, and Restrictions (CC&amp;R)</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center"/>
        <w:rPr>
          <w:rStyle w:val="Strong"/>
          <w:rFonts w:ascii="Liberation Serif" w:hAnsi="Liberation Serif"/>
          <w:sz w:val="28"/>
          <w:szCs w:val="28"/>
        </w:rPr>
      </w:pPr>
      <w:r>
        <w:rPr>
          <w:sz w:val="28"/>
          <w:szCs w:val="28"/>
        </w:rPr>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This Declaration</w:t>
      </w:r>
      <w:r>
        <w:rPr>
          <w:sz w:val="24"/>
          <w:szCs w:val="24"/>
        </w:rPr>
        <w:t xml:space="preserve"> is made this </w:t>
      </w:r>
      <w:r>
        <w:rPr>
          <w:sz w:val="24"/>
          <w:szCs w:val="24"/>
          <w:shd w:fill="EEEEEE" w:val="clear"/>
        </w:rPr>
        <w:t>[day]</w:t>
      </w:r>
      <w:r>
        <w:rPr>
          <w:sz w:val="24"/>
          <w:szCs w:val="24"/>
        </w:rPr>
        <w:t xml:space="preserve"> day of </w:t>
      </w:r>
      <w:r>
        <w:rPr>
          <w:sz w:val="24"/>
          <w:szCs w:val="24"/>
          <w:shd w:fill="EEEEEE" w:val="clear"/>
        </w:rPr>
        <w:t>[month, year]</w:t>
      </w:r>
      <w:r>
        <w:rPr>
          <w:sz w:val="24"/>
          <w:szCs w:val="24"/>
        </w:rPr>
        <w:t>, by the Mid Valley Air Park Property Owners Association, a New Mexico corporation (hereinafter referred to as the "declarant").</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Witnesseth:</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Whereas</w:t>
      </w:r>
      <w:r>
        <w:rPr>
          <w:sz w:val="24"/>
          <w:szCs w:val="24"/>
        </w:rPr>
        <w:t xml:space="preserve">, declarants are the owners of certain real property located in the county of Valencia, state of New Mexico, more particularly described on Attachment "1" </w:t>
      </w:r>
      <w:r>
        <w:rPr>
          <w:rFonts w:cs="Liberation Serif;Times New Roman"/>
          <w:color w:val="000000"/>
          <w:sz w:val="24"/>
          <w:szCs w:val="24"/>
        </w:rPr>
        <w:t xml:space="preserve">– Map of Mid Valley Air Park </w:t>
      </w:r>
      <w:r>
        <w:rPr>
          <w:sz w:val="24"/>
          <w:szCs w:val="24"/>
        </w:rPr>
        <w:t xml:space="preserve">attached hereto and incorporated herein by this reference (the "property"); and </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Whereas</w:t>
      </w:r>
      <w:r>
        <w:rPr>
          <w:sz w:val="24"/>
          <w:szCs w:val="24"/>
        </w:rPr>
        <w:t>, declarants desire to and have developed thereon a planned residential community known as Mid Valley Air Park; and</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Whereas</w:t>
      </w:r>
      <w:r>
        <w:rPr>
          <w:sz w:val="24"/>
          <w:szCs w:val="24"/>
        </w:rPr>
        <w:t xml:space="preserve">, declarants desire to provide for the preservation of the property values, amenities, and aesthetic in said community and for the maintenance of common areas (described in </w:t>
      </w:r>
      <w:r>
        <w:rPr>
          <w:sz w:val="24"/>
          <w:szCs w:val="24"/>
          <w:shd w:fill="EEEEEE" w:val="clear"/>
        </w:rPr>
        <w:t>attachment “3”</w:t>
      </w:r>
      <w:r>
        <w:rPr>
          <w:sz w:val="24"/>
          <w:szCs w:val="24"/>
        </w:rPr>
        <w:t>), shared infrastructure, and recreational facilities that meet the stated goals of the association, as a residential air park with a privately owned, public use airport. To that end, declarants desire to subject the property to the covenants, conditions, restrictions, easements, charges, and liens hereinafter set forth, each and all of which is and are for the benefit of the property and each owner thereof; and</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Whereas</w:t>
      </w:r>
      <w:r>
        <w:rPr>
          <w:sz w:val="24"/>
          <w:szCs w:val="24"/>
        </w:rPr>
        <w:t>, declarant deemed it desirable, for the efficient preservation of the values and amenities of the community, to create a non-profit mutual benefit corporation in 1980 under the laws of the state of New Mexico, known as the "Mid Valley Air Park Property Owners Association," to which powers of managing the affairs, administering and enforcing the community rules, collecting and disbursing the assessments, and charges hereinafter created shall be delegated;</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Now, therefore</w:t>
      </w:r>
      <w:r>
        <w:rPr>
          <w:sz w:val="24"/>
          <w:szCs w:val="24"/>
        </w:rPr>
        <w:t>, declarant hereby declares that the property is and shall be held, transferred, sold, conveyed, and occupied subject to the covenants, conditions, restrictions, easements, charges, and liens set forth in this declaration, and subject to all Community Documents,  including the Property Owners Association Bylaws, which shall run with the land and be binding on all parties having any right, title, or interest in the property or any part thereof, their heirs, successors, and assigns, and shall enhance the value and desirability of the property.</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b/>
          <w:bCs/>
          <w:sz w:val="24"/>
          <w:szCs w:val="24"/>
        </w:rPr>
      </w:pPr>
      <w:r>
        <w:rPr>
          <w:b/>
          <w:bCs/>
          <w:sz w:val="24"/>
          <w:szCs w:val="24"/>
        </w:rPr>
        <w:t xml:space="preserve">Article I – </w:t>
      </w:r>
      <w:r>
        <w:rPr>
          <w:rFonts w:cs="Liberation Serif;Times New Roman"/>
          <w:b/>
          <w:bCs/>
          <w:color w:val="000000"/>
          <w:sz w:val="24"/>
          <w:szCs w:val="24"/>
        </w:rPr>
        <w:t>Definitions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Fonts w:cs="Liberation Serif;Times New Roman"/>
          <w:b/>
          <w:bCs/>
          <w:color w:val="000000"/>
          <w:sz w:val="24"/>
          <w:szCs w:val="24"/>
        </w:rPr>
        <w:t>Section 1.1</w:t>
      </w:r>
      <w:r>
        <w:rPr>
          <w:rFonts w:cs="Liberation Serif;Times New Roman"/>
          <w:b w:val="false"/>
          <w:bCs w:val="false"/>
          <w:color w:val="000000"/>
          <w:sz w:val="24"/>
          <w:szCs w:val="24"/>
        </w:rPr>
        <w:t xml:space="preserve"> Words and their derivations applied to the Mid Valley Air Park governing documents shall be defined and used according to the definitions in Addendum One (1) – Definition of Terms</w:t>
      </w:r>
      <w:r>
        <w:rPr>
          <w:sz w:val="24"/>
          <w:szCs w:val="24"/>
        </w:rPr>
        <w:t xml:space="preserve"> and shall be the definitions for all Mid Valley Air Park Property Owners Association community documents.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b/>
          <w:bCs/>
          <w:sz w:val="24"/>
          <w:szCs w:val="24"/>
        </w:rPr>
        <w:t>Article II – Property rights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b/>
          <w:bCs/>
          <w:sz w:val="24"/>
          <w:szCs w:val="24"/>
        </w:rPr>
        <w:t>Section 2.1</w:t>
      </w:r>
      <w:r>
        <w:rPr>
          <w:rStyle w:val="Strong"/>
          <w:sz w:val="24"/>
          <w:szCs w:val="24"/>
        </w:rPr>
        <w:t xml:space="preserve"> Owners' Easements of Enjoyment.</w:t>
      </w:r>
      <w:r>
        <w:rPr>
          <w:sz w:val="24"/>
          <w:szCs w:val="24"/>
        </w:rPr>
        <w:t xml:space="preserve"> Every Owner has a right and easement of enjoyment in and to the Common Area, which is appurtenant to and passes with title to every Lot.</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Section 2.2 Extent of Easements.</w:t>
      </w:r>
      <w:r>
        <w:rPr>
          <w:sz w:val="24"/>
          <w:szCs w:val="24"/>
        </w:rPr>
        <w:t xml:space="preserve"> The Owners' rights of enjoyment are subject to the right of the Association to: </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Style w:val="Strong"/>
          <w:b/>
          <w:bCs/>
          <w:sz w:val="24"/>
          <w:szCs w:val="24"/>
        </w:rPr>
        <w:t xml:space="preserve">Section </w:t>
      </w:r>
      <w:r>
        <w:rPr>
          <w:b/>
          <w:bCs/>
          <w:sz w:val="24"/>
          <w:szCs w:val="24"/>
        </w:rPr>
        <w:t>2.2.1</w:t>
      </w:r>
      <w:r>
        <w:rPr>
          <w:sz w:val="24"/>
          <w:szCs w:val="24"/>
        </w:rPr>
        <w:t xml:space="preserve"> charge reasonable fees for the use of any facility;</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Style w:val="Strong"/>
          <w:b/>
          <w:bCs/>
          <w:sz w:val="24"/>
          <w:szCs w:val="24"/>
        </w:rPr>
        <w:t xml:space="preserve">Section </w:t>
      </w:r>
      <w:r>
        <w:rPr>
          <w:b/>
          <w:bCs/>
          <w:sz w:val="24"/>
          <w:szCs w:val="24"/>
        </w:rPr>
        <w:t xml:space="preserve">2.2.2 </w:t>
      </w:r>
      <w:r>
        <w:rPr>
          <w:sz w:val="24"/>
          <w:szCs w:val="24"/>
        </w:rPr>
        <w:t>suspend an Owner's use rights for nonpayment of assessments or for violations of the governing documents;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Style w:val="Strong"/>
          <w:b/>
          <w:bCs/>
          <w:sz w:val="24"/>
          <w:szCs w:val="24"/>
        </w:rPr>
        <w:t xml:space="preserve">Section </w:t>
      </w:r>
      <w:r>
        <w:rPr>
          <w:b/>
          <w:bCs/>
          <w:sz w:val="24"/>
          <w:szCs w:val="24"/>
        </w:rPr>
        <w:t>2.2.3</w:t>
      </w:r>
      <w:r>
        <w:rPr>
          <w:sz w:val="24"/>
          <w:szCs w:val="24"/>
        </w:rPr>
        <w:t xml:space="preserve"> adopt rules and regulations; </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Style w:val="Strong"/>
          <w:b/>
          <w:bCs/>
          <w:sz w:val="24"/>
          <w:szCs w:val="24"/>
        </w:rPr>
        <w:t xml:space="preserve">Section </w:t>
      </w:r>
      <w:r>
        <w:rPr>
          <w:b/>
          <w:bCs/>
          <w:sz w:val="24"/>
          <w:szCs w:val="24"/>
        </w:rPr>
        <w:t>2.2.4</w:t>
      </w:r>
      <w:r>
        <w:rPr>
          <w:sz w:val="24"/>
          <w:szCs w:val="24"/>
        </w:rPr>
        <w:t xml:space="preserve"> and, with member approval, dedicate or transfer Common Area as permitted by law.</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Section 2.3 Delegation of Use.</w:t>
      </w:r>
      <w:r>
        <w:rPr>
          <w:sz w:val="24"/>
          <w:szCs w:val="24"/>
        </w:rPr>
        <w:t xml:space="preserve"> Any Owner may delegate their right of enjoyment to family members, tenants, and guests, subject to the governing documents and the Association's rules.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 xml:space="preserve">Section </w:t>
      </w:r>
      <w:r>
        <w:rPr>
          <w:sz w:val="24"/>
          <w:szCs w:val="24"/>
        </w:rPr>
        <w:t xml:space="preserve">2.4 </w:t>
      </w:r>
      <w:r>
        <w:rPr>
          <w:rStyle w:val="Strong"/>
          <w:sz w:val="24"/>
          <w:szCs w:val="24"/>
        </w:rPr>
        <w:t>Membership.</w:t>
      </w:r>
      <w:r>
        <w:rPr>
          <w:sz w:val="24"/>
          <w:szCs w:val="24"/>
        </w:rPr>
        <w:t xml:space="preserve"> Every tract/lot Owner is a Member of the Association. Membership is appurtenant to and inseparable from ownership of a Lot and shall be further described in the Bylaws and definitions for Mid Valley Air Park Property Owners Association.</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b/>
          <w:bCs/>
          <w:sz w:val="24"/>
          <w:szCs w:val="24"/>
        </w:rPr>
      </w:pPr>
      <w:r>
        <w:rPr>
          <w:b/>
          <w:bCs/>
          <w:sz w:val="24"/>
          <w:szCs w:val="24"/>
        </w:rPr>
        <w:t>Article III – Property Responsibility (Owners)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sz w:val="24"/>
          <w:szCs w:val="24"/>
        </w:rPr>
        <w:t>Section 3.1 Covenant for Assessments.</w:t>
      </w:r>
      <w:r>
        <w:rPr>
          <w:sz w:val="24"/>
          <w:szCs w:val="24"/>
        </w:rPr>
        <w:t xml:space="preserve"> Each Owner, by accepting a deed to a Lot, covenants to pay the Association: (a) annual assessments, (b) special assessments, (c) fees, and/or (d) fines. Such assessments, together with interest, costs, and reasonable attorneys' fees, are a charge on the Lot and a continuing lien upon it, and are also the personal obligation of the Owner at the time the assessment fell due.</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b/>
          <w:bCs/>
          <w:sz w:val="24"/>
          <w:szCs w:val="24"/>
        </w:rPr>
        <w:t xml:space="preserve">Section 3.1.1 </w:t>
      </w:r>
      <w:r>
        <w:rPr>
          <w:rStyle w:val="Strong"/>
          <w:sz w:val="24"/>
          <w:szCs w:val="24"/>
        </w:rPr>
        <w:t>Special Assessments.</w:t>
      </w:r>
      <w:r>
        <w:rPr>
          <w:sz w:val="24"/>
          <w:szCs w:val="24"/>
        </w:rPr>
        <w:t xml:space="preserve"> In addition to annual assessments, the Association may levy special assessments for capital improvements or unexpected expenses, subject to any member-approval requirements in the Bylaws and applicable law.</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Style w:val="Strong"/>
          <w:b/>
          <w:bCs/>
          <w:sz w:val="24"/>
          <w:szCs w:val="24"/>
        </w:rPr>
        <w:t xml:space="preserve">Section </w:t>
      </w:r>
      <w:r>
        <w:rPr>
          <w:b/>
          <w:bCs/>
          <w:sz w:val="24"/>
          <w:szCs w:val="24"/>
        </w:rPr>
        <w:t>3.2</w:t>
      </w:r>
      <w:r>
        <w:rPr>
          <w:sz w:val="24"/>
          <w:szCs w:val="24"/>
        </w:rPr>
        <w:t xml:space="preserve"> Covenant for Compliance with Bylaws. Each Owner, by accepting a deed to a Lot, covenants that they will be subject to and comply with the Community Documents as provided by the Property Owners Association including these CC&amp;Rs and the Association Bylaws as approved by the membership.</w:t>
      </w:r>
    </w:p>
    <w:p>
      <w:pPr>
        <w:pStyle w:val="Normal"/>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jc w:val="left"/>
        <w:rPr>
          <w:rFonts w:ascii="Liberation Serif;Times New Roman" w:hAnsi="Liberation Serif;Times New Roman" w:cs="Liberation Serif;Times New Roman"/>
          <w:color w:val="000000"/>
          <w:sz w:val="24"/>
          <w:szCs w:val="24"/>
        </w:rPr>
      </w:pPr>
      <w:r>
        <w:rPr>
          <w:rFonts w:cs="Liberation Serif;Times New Roman"/>
          <w:b/>
          <w:bCs/>
          <w:color w:val="000000"/>
          <w:sz w:val="24"/>
          <w:szCs w:val="24"/>
        </w:rPr>
        <w:t xml:space="preserve">Section 3.3 </w:t>
      </w:r>
      <w:r>
        <w:rPr>
          <w:rFonts w:cs="Liberation Serif;Times New Roman"/>
          <w:color w:val="000000"/>
          <w:sz w:val="24"/>
          <w:szCs w:val="24"/>
        </w:rPr>
        <w:t>Any reference to Mid Valley Air Park Property Owners Association in these Covenants, including any and all of the right, title, interest, and estate given to or reserved by the Mid Valley Air Park Property Owners Association and recorded in the Office of The Clerk of Valencia County, New Mexico, shall be deemed to include its successors and assigns.</w:t>
      </w:r>
    </w:p>
    <w:p>
      <w:pPr>
        <w:pStyle w:val="Normal"/>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jc w:val="left"/>
        <w:rPr>
          <w:rFonts w:ascii="Liberation Serif;Times New Roman" w:hAnsi="Liberation Serif;Times New Roman" w:cs="Liberation Serif;Times New Roman"/>
          <w:color w:val="000000"/>
          <w:sz w:val="24"/>
          <w:szCs w:val="24"/>
        </w:rPr>
      </w:pPr>
      <w:r>
        <w:rPr>
          <w:rFonts w:cs="Liberation Serif;Times New Roman"/>
          <w:b/>
          <w:bCs/>
          <w:color w:val="000000"/>
          <w:sz w:val="24"/>
          <w:szCs w:val="24"/>
        </w:rPr>
        <w:t>Section 3.4 Standard Operating Rules for Pilots and Non-pilots</w:t>
      </w:r>
      <w:r>
        <w:rPr>
          <w:rFonts w:cs="Liberation Serif;Times New Roman"/>
          <w:color w:val="000000"/>
          <w:sz w:val="24"/>
          <w:szCs w:val="24"/>
        </w:rPr>
        <w:t xml:space="preserve"> </w:t>
      </w:r>
      <w:r>
        <w:rPr>
          <w:rFonts w:eastAsia="Liberation Serif" w:cs="Liberation Serif"/>
          <w:color w:val="000000"/>
          <w:sz w:val="24"/>
          <w:szCs w:val="24"/>
        </w:rPr>
        <w:t xml:space="preserve">All persons, vehicles, and aircraft shall be governed by Addendum </w:t>
      </w:r>
      <w:r>
        <w:rPr>
          <w:rFonts w:eastAsia="Liberation Serif" w:cs="Liberation Serif;Times New Roman"/>
          <w:color w:val="000000"/>
          <w:sz w:val="24"/>
          <w:szCs w:val="24"/>
        </w:rPr>
        <w:t>“7” SOR</w:t>
      </w:r>
      <w:r>
        <w:rPr>
          <w:rFonts w:eastAsia="Liberation Serif" w:cs="Liberation Serif"/>
          <w:color w:val="000000"/>
          <w:sz w:val="24"/>
          <w:szCs w:val="24"/>
        </w:rPr>
        <w:t>. The responsibility for compliance (including contractors) resides with the property owner.</w:t>
      </w:r>
    </w:p>
    <w:p>
      <w:pPr>
        <w:pStyle w:val="Normal"/>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jc w:val="left"/>
        <w:rPr>
          <w:rFonts w:ascii="Liberation Serif;Times New Roman" w:hAnsi="Liberation Serif;Times New Roman" w:cs="Liberation Serif;Times New Roman"/>
          <w:color w:val="000000"/>
          <w:sz w:val="24"/>
          <w:szCs w:val="24"/>
        </w:rPr>
      </w:pPr>
      <w:r>
        <w:rPr>
          <w:rFonts w:cs="Liberation Serif;Times New Roman"/>
          <w:b/>
          <w:bCs/>
          <w:color w:val="000000"/>
          <w:sz w:val="24"/>
          <w:szCs w:val="24"/>
        </w:rPr>
        <w:t xml:space="preserve">Section 3.4 Standard Operating Procedures for Pilots </w:t>
      </w:r>
      <w:r>
        <w:rPr>
          <w:rFonts w:cs="Liberation Serif"/>
          <w:color w:val="000000"/>
          <w:sz w:val="24"/>
          <w:szCs w:val="24"/>
        </w:rPr>
        <w:t xml:space="preserve">All pilots and aircraft shall be governed by Addendum </w:t>
      </w:r>
      <w:r>
        <w:rPr>
          <w:rFonts w:cs="Liberation Serif;Times New Roman"/>
          <w:color w:val="000000"/>
          <w:sz w:val="24"/>
          <w:szCs w:val="24"/>
        </w:rPr>
        <w:t>“7” SOP</w:t>
      </w:r>
      <w:r>
        <w:rPr>
          <w:rFonts w:cs="Liberation Serif"/>
          <w:color w:val="000000"/>
          <w:sz w:val="24"/>
          <w:szCs w:val="24"/>
        </w:rPr>
        <w:t>. The responsibility for compliance (including contractors) resides with the property owner.</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b/>
          <w:bCs/>
          <w:sz w:val="24"/>
          <w:szCs w:val="24"/>
        </w:rPr>
        <w:t xml:space="preserve">Article IV – </w:t>
      </w: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General provisions</w:t>
      </w:r>
    </w:p>
    <w:p>
      <w:pPr>
        <w:pStyle w:val="Normal"/>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jc w:val="left"/>
        <w:rPr>
          <w:rFonts w:ascii="Liberation Serif;Times New Roman" w:hAnsi="Liberation Serif;Times New Roman" w:cs="Liberation Serif;Times New Roman"/>
          <w:color w:val="000000"/>
          <w:sz w:val="24"/>
          <w:szCs w:val="24"/>
        </w:rPr>
      </w:pPr>
      <w:r>
        <w:rPr>
          <w:rFonts w:cs="Liberation Serif;Times New Roman"/>
          <w:b/>
          <w:bCs/>
          <w:color w:val="000000"/>
          <w:sz w:val="24"/>
          <w:szCs w:val="24"/>
        </w:rPr>
        <w:t xml:space="preserve">Section 4.1 </w:t>
      </w:r>
      <w:r>
        <w:rPr>
          <w:rFonts w:cs="Liberation Serif;Times New Roman"/>
          <w:color w:val="000000"/>
          <w:sz w:val="24"/>
          <w:szCs w:val="24"/>
        </w:rPr>
        <w:t xml:space="preserve">The </w:t>
      </w:r>
      <w:r>
        <w:rPr>
          <w:rFonts w:cs="Liberation Serif;Times New Roman"/>
          <w:b/>
          <w:bCs/>
          <w:color w:val="000000"/>
          <w:sz w:val="24"/>
          <w:szCs w:val="24"/>
        </w:rPr>
        <w:t>Board</w:t>
      </w:r>
      <w:r>
        <w:rPr>
          <w:rFonts w:cs="Liberation Serif;Times New Roman"/>
          <w:color w:val="000000"/>
          <w:sz w:val="24"/>
          <w:szCs w:val="24"/>
        </w:rPr>
        <w:t xml:space="preserve"> shall perform the duties and responsibilities set forth in the Articles of Incorporation, and the Bylaws of the Mid Valley Air Park Property Owners Association.</w:t>
      </w:r>
    </w:p>
    <w:p>
      <w:pPr>
        <w:pStyle w:val="Normal"/>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jc w:val="left"/>
        <w:rPr>
          <w:rFonts w:ascii="Liberation Serif;Times New Roman" w:hAnsi="Liberation Serif;Times New Roman" w:cs="Liberation Serif;Times New Roman"/>
          <w:color w:val="000000"/>
          <w:sz w:val="24"/>
          <w:szCs w:val="24"/>
        </w:rPr>
      </w:pPr>
      <w:r>
        <w:rPr>
          <w:rFonts w:cs="Liberation Serif;Times New Roman"/>
          <w:b/>
          <w:bCs/>
          <w:color w:val="000000"/>
          <w:sz w:val="24"/>
          <w:szCs w:val="24"/>
        </w:rPr>
        <w:t xml:space="preserve">Section 4.2 </w:t>
      </w:r>
      <w:r>
        <w:rPr>
          <w:rFonts w:cs="Liberation Serif;Times New Roman"/>
          <w:color w:val="000000"/>
          <w:sz w:val="24"/>
          <w:szCs w:val="24"/>
        </w:rPr>
        <w:t xml:space="preserve">If there is a </w:t>
      </w:r>
      <w:r>
        <w:rPr>
          <w:rFonts w:cs="Liberation Serif;Times New Roman"/>
          <w:b/>
          <w:bCs/>
          <w:color w:val="000000"/>
          <w:sz w:val="24"/>
          <w:szCs w:val="24"/>
        </w:rPr>
        <w:t>conflict</w:t>
      </w:r>
      <w:r>
        <w:rPr>
          <w:rFonts w:cs="Liberation Serif;Times New Roman"/>
          <w:color w:val="000000"/>
          <w:sz w:val="24"/>
          <w:szCs w:val="24"/>
        </w:rPr>
        <w:t xml:space="preserve"> between these Covenants and the Bylaws, these Covenants shall prevail.</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Style w:val="Strong"/>
          <w:rFonts w:eastAsia="Liberation Serif" w:cs="Liberation Serif"/>
          <w:i w:val="false"/>
          <w:iCs w:val="false"/>
          <w:caps w:val="false"/>
          <w:smallCaps w:val="false"/>
          <w:strike w:val="false"/>
          <w:dstrike w:val="false"/>
          <w:color w:val="000000"/>
          <w:position w:val="0"/>
          <w:sz w:val="24"/>
          <w:szCs w:val="24"/>
          <w:u w:val="none"/>
          <w:shd w:fill="auto" w:val="clear"/>
          <w:vertAlign w:val="baseline"/>
        </w:rPr>
        <w:t>Section 4.3 Severability.</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Invalidation of any provision of this Declaration by judgment or court order shall not affect the remaining provisions, which shall remain in full force and effect. Any portion found to be invalid, if possible, that portion or section shall be modified or replaced by a valid, enforceable provision or section that matches the intent of the original provision or section as closely as possible.</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Style w:val="Strong"/>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4.4 </w:t>
      </w:r>
      <w:r>
        <w:rPr>
          <w:rStyle w:val="Strong"/>
          <w:rFonts w:eastAsia="Liberation Serif" w:cs="Liberation Serif"/>
          <w:i w:val="false"/>
          <w:iCs w:val="false"/>
          <w:caps w:val="false"/>
          <w:smallCaps w:val="false"/>
          <w:strike w:val="false"/>
          <w:dstrike w:val="false"/>
          <w:color w:val="000000"/>
          <w:position w:val="0"/>
          <w:sz w:val="24"/>
          <w:szCs w:val="24"/>
          <w:u w:val="none"/>
          <w:shd w:fill="auto" w:val="clear"/>
          <w:vertAlign w:val="baseline"/>
        </w:rPr>
        <w:t>Enforcement.</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The Association or any Owner may enforce the covenants, conditions, and restrictions of this Declaration by any proceeding at law or in equity. Failure to enforce any provision shall not be deemed a waiver of the right to do so thereafter. The prevailing party may be entitled to recover reasonable attorneys' fees and costs, as permitted by law. </w:t>
      </w:r>
      <w:r>
        <w:rPr>
          <w:rFonts w:eastAsia="Liberation Serif" w:cs="Liberation Serif;Times New Roman"/>
          <w:b w:val="false"/>
          <w:bCs w:val="false"/>
          <w:i w:val="false"/>
          <w:iCs w:val="false"/>
          <w:caps w:val="false"/>
          <w:smallCaps w:val="false"/>
          <w:strike w:val="false"/>
          <w:dstrike w:val="false"/>
          <w:color w:val="000000"/>
          <w:position w:val="0"/>
          <w:sz w:val="24"/>
          <w:szCs w:val="24"/>
          <w:u w:val="none"/>
          <w:shd w:fill="auto" w:val="clear"/>
          <w:vertAlign w:val="baseline"/>
        </w:rPr>
        <w:t>If the Board fails to take decisive action then a petition by 25% of the residential lot owners (one signature per lot) shall require the Board to take prompt action. This does not preclude any other person or persons owning real property within Mid Valley Air Park from having the right to pursue any action to enjoin such party from violating such Covenant and to recover damages for such violations, including legal fees.</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Style w:val="Strong"/>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4.5 </w:t>
      </w:r>
      <w:r>
        <w:rPr>
          <w:rStyle w:val="Strong"/>
          <w:rFonts w:eastAsia="Liberation Serif" w:cs="Liberation Serif"/>
          <w:i w:val="false"/>
          <w:iCs w:val="false"/>
          <w:caps w:val="false"/>
          <w:smallCaps w:val="false"/>
          <w:strike w:val="false"/>
          <w:dstrike w:val="false"/>
          <w:color w:val="000000"/>
          <w:position w:val="0"/>
          <w:sz w:val="24"/>
          <w:szCs w:val="24"/>
          <w:u w:val="none"/>
          <w:shd w:fill="auto" w:val="clear"/>
          <w:vertAlign w:val="baseline"/>
        </w:rPr>
        <w:t>Notices.</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Any notice required to be sent under this Declaration shall be deemed properly given when delivered or mailed to the last known address of the intended recipient.</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Style w:val="Strong"/>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4.6 </w:t>
      </w:r>
      <w:r>
        <w:rPr>
          <w:rStyle w:val="Strong"/>
          <w:rFonts w:eastAsia="Liberation Serif" w:cs="Liberation Serif"/>
          <w:i w:val="false"/>
          <w:iCs w:val="false"/>
          <w:caps w:val="false"/>
          <w:smallCaps w:val="false"/>
          <w:strike w:val="false"/>
          <w:dstrike w:val="false"/>
          <w:color w:val="000000"/>
          <w:position w:val="0"/>
          <w:sz w:val="24"/>
          <w:szCs w:val="24"/>
          <w:u w:val="none"/>
          <w:shd w:fill="auto" w:val="clear"/>
          <w:vertAlign w:val="baseline"/>
        </w:rPr>
        <w:t>Term and Modification.</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The covenants conditions, and restrictions of this Declaration shall run with and bind the land until a three-quarters (¾) majority of the votes within the Mid Valley Air Park agree to change said CC&amp;Rs in whole or in part, in writing, or unless terminated as provided by law. Voting will occur according to the Bylaws. Any modification or change must be recorded in the public records of Valencia County, New Mexico, by an authorized member of the Mid Valley Air Park Property Owners Association Board and subject to any additional requirements of applicable law. This action formally adopts a new, unified set of Covenants replacing the previous, separate Covenants for the Mid Valley, La Sombra, and Commercial areas.</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4.7 </w:t>
      </w: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 xml:space="preserve">Grandfather Clause for Existing Structures </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Any existing physical structures—including buildings, fences, walls, or utility boxes—that were built without prior Board approval but were in place as of January 1, 2026, will be "grandfathered in," meaning they are accepted and will not be subject to fines. However, any new non-compliant structures or modifications built after this date will be subject to Board approved enforcement procedures and fines approved at the 2024 Annual Meeting. This also applies to conditions and restrictions applied to current owners. Any future owners shall comply with these CC&amp;Rs as written.</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4.8 </w:t>
      </w: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Special Considerations</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are provided ONLY to residents living on La Sombra Drive when any Mid Valley Air Park Property Owner Association vote or action is considered or implemented to change the rights provided in this section making horses and poultry permissible. Only La Sombra property owners may vote to remove, revoke or modify the right to have up to two horses on any La Sombra tract, and Poultry (not to exceed six total poultry: hen chickens or hen/drake ducks) in accordance with Addendum B on any La Sombra tract. These Special Considerations are based on the original Covenants for properties bordering La Sombra Drive. Those Covenants allowed horses and was silent regarding poultry; therefore the rights to have up to two horses on any La Sombra tract, and Poultry in accordance with Addendum B on any La Sombra tract shall run in perpetuity for La Sombra tracts as identified on air park subdivision map unless 100% of the property owners in La Sombra vote to change these Special Considerations.</w:t>
      </w:r>
    </w:p>
    <w:p>
      <w:pPr>
        <w:pStyle w:val="Normal"/>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Section 4.9</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w:t>
      </w:r>
      <w:r>
        <w:rPr>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Common Areas</w:t>
      </w:r>
    </w:p>
    <w:p>
      <w:pPr>
        <w:pStyle w:val="Default"/>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rPr>
          <w:rFonts w:ascii="Liberation Serif;Times New Roman" w:hAnsi="Liberation Serif;Times New Roman" w:cs="Liberation Serif;Times New Roman"/>
          <w:b w:val="false"/>
          <w:bCs w:val="false"/>
          <w:color w:val="000000"/>
          <w:sz w:val="24"/>
          <w:szCs w:val="24"/>
        </w:rPr>
      </w:pPr>
      <w:r>
        <w:rPr>
          <w:rFonts w:ascii="Liberation Serif" w:hAnsi="Liberation Serif"/>
          <w:b/>
          <w:bCs/>
          <w:sz w:val="24"/>
          <w:szCs w:val="24"/>
        </w:rPr>
        <w:t>Section 4.9.1 Maintenance –</w:t>
      </w:r>
      <w:r>
        <w:rPr>
          <w:rFonts w:ascii="Liberation Serif" w:hAnsi="Liberation Serif"/>
          <w:sz w:val="24"/>
          <w:szCs w:val="24"/>
        </w:rPr>
        <w:t xml:space="preserve"> The Mid Valley Air Park Property Owners Association shall own and maintain the common areas and recreation facilities, including any improvements thereon, for the benefit of the owners. </w:t>
      </w:r>
    </w:p>
    <w:p>
      <w:pPr>
        <w:pStyle w:val="Default"/>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rPr>
          <w:rFonts w:ascii="Liberation Serif;Times New Roman" w:hAnsi="Liberation Serif;Times New Roman" w:cs="Liberation Serif;Times New Roman"/>
          <w:b w:val="false"/>
          <w:bCs w:val="false"/>
          <w:color w:val="000000"/>
          <w:sz w:val="24"/>
          <w:szCs w:val="24"/>
        </w:rPr>
      </w:pPr>
      <w:r>
        <w:rPr>
          <w:rFonts w:ascii="Liberation Serif" w:hAnsi="Liberation Serif"/>
          <w:b/>
          <w:bCs/>
          <w:sz w:val="24"/>
          <w:szCs w:val="24"/>
        </w:rPr>
        <w:t xml:space="preserve">Section 4.9.2 Title </w:t>
      </w:r>
      <w:r>
        <w:rPr>
          <w:rFonts w:ascii="Liberation Serif" w:hAnsi="Liberation Serif"/>
          <w:sz w:val="24"/>
          <w:szCs w:val="24"/>
        </w:rPr>
        <w:t>–The Mid Valley Air Park Property Owners Association shall retain the legal title to the common areas. Transfer of title to all or part of the common areas shall require 75% of the residential and commercial votes. Voting will follow process in Bylaws.</w:t>
      </w:r>
    </w:p>
    <w:p>
      <w:pPr>
        <w:pStyle w:val="Default"/>
        <w:widowControl w:val="false"/>
        <w:tabs>
          <w:tab w:val="clear" w:pos="709"/>
          <w:tab w:val="left" w:pos="360" w:leader="none"/>
          <w:tab w:val="left" w:pos="720" w:leader="none"/>
          <w:tab w:val="left" w:pos="1080" w:leader="none"/>
          <w:tab w:val="left" w:pos="1440" w:leader="none"/>
          <w:tab w:val="left" w:pos="1800" w:leader="none"/>
          <w:tab w:val="left" w:pos="2160" w:leader="none"/>
        </w:tabs>
        <w:bidi w:val="0"/>
        <w:snapToGrid w:val="false"/>
        <w:spacing w:lineRule="auto" w:line="240" w:before="29" w:after="86"/>
        <w:rPr>
          <w:rFonts w:ascii="Liberation Serif;Times New Roman" w:hAnsi="Liberation Serif;Times New Roman" w:cs="Liberation Serif;Times New Roman"/>
          <w:b w:val="false"/>
          <w:bCs w:val="false"/>
          <w:color w:val="000000"/>
          <w:sz w:val="24"/>
          <w:szCs w:val="24"/>
        </w:rPr>
      </w:pPr>
      <w:r>
        <w:rPr>
          <w:rFonts w:ascii="Liberation Serif" w:hAnsi="Liberation Serif"/>
          <w:b/>
          <w:bCs/>
          <w:sz w:val="24"/>
          <w:szCs w:val="24"/>
        </w:rPr>
        <w:t>Section 4.9.3 Listing of Assets –</w:t>
      </w:r>
      <w:r>
        <w:rPr>
          <w:rFonts w:ascii="Liberation Serif" w:hAnsi="Liberation Serif"/>
          <w:b w:val="false"/>
          <w:bCs w:val="false"/>
          <w:sz w:val="24"/>
          <w:szCs w:val="24"/>
        </w:rPr>
        <w:t xml:space="preserve"> </w:t>
      </w:r>
      <w:r>
        <w:rPr>
          <w:rFonts w:ascii="Liberation Serif" w:hAnsi="Liberation Serif"/>
          <w:b w:val="false"/>
          <w:bCs w:val="false"/>
          <w:sz w:val="24"/>
          <w:szCs w:val="24"/>
          <w:shd w:fill="EEEEEE" w:val="clear"/>
        </w:rPr>
        <w:t>Attachment “3”</w:t>
      </w:r>
      <w:r>
        <w:rPr>
          <w:rFonts w:ascii="Liberation Serif" w:hAnsi="Liberation Serif"/>
          <w:b w:val="false"/>
          <w:bCs w:val="false"/>
          <w:sz w:val="24"/>
          <w:szCs w:val="24"/>
        </w:rPr>
        <w:t xml:space="preserve"> lists assets and common area property owned by the Association and its members.</w:t>
      </w:r>
    </w:p>
    <w:p>
      <w:pPr>
        <w:pStyle w:val="normal1"/>
        <w:keepNext w:val="false"/>
        <w:keepLines w:val="false"/>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b w:val="false"/>
          <w:bCs w:val="false"/>
          <w:i w:val="false"/>
          <w:iCs w:val="false"/>
          <w:caps w:val="false"/>
          <w:smallCaps w:val="false"/>
          <w:strike w:val="false"/>
          <w:dstrike w:val="false"/>
          <w:color w:val="000000"/>
          <w:position w:val="0"/>
          <w:sz w:val="24"/>
          <w:szCs w:val="24"/>
          <w:u w:val="none"/>
          <w:shd w:fill="auto" w:val="clear"/>
          <w:vertAlign w:val="baseline"/>
        </w:rPr>
      </w:pPr>
      <w:r>
        <w:rPr>
          <w:b/>
          <w:bCs/>
          <w:sz w:val="24"/>
          <w:szCs w:val="24"/>
        </w:rPr>
        <w:t>Article V – Insurance</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Style w:val="Strong"/>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 xml:space="preserve">Section 5.1 </w:t>
      </w:r>
      <w:r>
        <w:rPr>
          <w:rStyle w:val="Strong"/>
          <w:rFonts w:eastAsia="Liberation Serif" w:cs="Liberation Serif"/>
          <w:i w:val="false"/>
          <w:iCs w:val="false"/>
          <w:caps w:val="false"/>
          <w:smallCaps w:val="false"/>
          <w:strike w:val="false"/>
          <w:dstrike w:val="false"/>
          <w:color w:val="000000"/>
          <w:position w:val="0"/>
          <w:sz w:val="24"/>
          <w:szCs w:val="24"/>
          <w:u w:val="none"/>
          <w:shd w:fill="auto" w:val="clear"/>
          <w:vertAlign w:val="baseline"/>
        </w:rPr>
        <w:t>Association Insurance.</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The Association shall obtain and maintain property insurance on the Common Area and improvements it maintains, commercial general liability insurance, and such other coverage as the Board deems appropriate or as required by the governing documents and applicable law.</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Style w:val="Strong"/>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 xml:space="preserve">Section 5.2 </w:t>
      </w:r>
      <w:r>
        <w:rPr>
          <w:rStyle w:val="Strong"/>
          <w:rFonts w:eastAsia="Liberation Serif" w:cs="Liberation Serif"/>
          <w:i w:val="false"/>
          <w:iCs w:val="false"/>
          <w:caps w:val="false"/>
          <w:smallCaps w:val="false"/>
          <w:strike w:val="false"/>
          <w:dstrike w:val="false"/>
          <w:color w:val="000000"/>
          <w:position w:val="0"/>
          <w:sz w:val="24"/>
          <w:szCs w:val="24"/>
          <w:u w:val="none"/>
          <w:shd w:fill="auto" w:val="clear"/>
          <w:vertAlign w:val="baseline"/>
        </w:rPr>
        <w:t>Owner Insurance.</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Each Owner is responsible for obtaining insurance covering their own Lot, improvements, and personal property.</w:t>
      </w:r>
    </w:p>
    <w:p>
      <w:pPr>
        <w:pStyle w:val="Normal"/>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Article VI – Applicable Law or Ordinance</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6.1 </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All </w:t>
      </w: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Valencia County Ordinances</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pertaining to Mid Valley Air Park are hereby incorporated by reference. These Covenants use definitions also used by Valencia County. Mid Valley Air Park Property Owners Association Covenants can make the applicable Ordinance more restrictive, but not less restrictive.</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6.2 </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All applicable </w:t>
      </w: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 xml:space="preserve">New Mexico Statutes </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are hereby incorporated by reference. These Covenants use definitions also used by New Mexico State Statute. Mid Valley Air Park Property Owners Association Covenants can make the applicable Statute more restrictive, but not less restrictive.</w:t>
      </w:r>
    </w:p>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 xml:space="preserve">Section 6.3. </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All applicable </w:t>
      </w: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Federal Laws/regulations</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are hereby incorporated by reference. Most importantly those pertaining to aircraft and rural airfields. These Covenants use definitions also used by Federal Aviation Statute. Mid Valley Air Park Property Owners Association Covenants can make the applicable Statute more restrictive, but not less restrictive.</w:t>
      </w:r>
    </w:p>
    <w:p>
      <w:pPr>
        <w:pStyle w:val="Normal"/>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Section 6.4</w:t>
      </w:r>
      <w:r>
        <w:rPr>
          <w:rFonts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t xml:space="preserve"> </w:t>
      </w:r>
      <w:r>
        <w:rPr>
          <w:rFonts w:eastAsia="Liberation Serif" w:cs="Liberation Serif;Times New Roman"/>
          <w:b/>
          <w:bCs/>
          <w:i w:val="false"/>
          <w:iCs w:val="false"/>
          <w:caps w:val="false"/>
          <w:smallCaps w:val="false"/>
          <w:strike w:val="false"/>
          <w:dstrike w:val="false"/>
          <w:color w:val="000000"/>
          <w:position w:val="0"/>
          <w:sz w:val="24"/>
          <w:szCs w:val="24"/>
          <w:u w:val="none"/>
          <w:shd w:fill="auto" w:val="clear"/>
          <w:vertAlign w:val="baseline"/>
        </w:rPr>
        <w:t>Air Park Standard Operating Procedures</w:t>
      </w:r>
      <w:r>
        <w:rPr>
          <w:rFonts w:eastAsia="Liberation Serif" w:cs="Liberation Serif;Times New Roman"/>
          <w:b w:val="false"/>
          <w:bCs w:val="false"/>
          <w:i w:val="false"/>
          <w:iCs w:val="false"/>
          <w:caps w:val="false"/>
          <w:smallCaps w:val="false"/>
          <w:strike w:val="false"/>
          <w:dstrike w:val="false"/>
          <w:color w:val="000000"/>
          <w:position w:val="0"/>
          <w:sz w:val="24"/>
          <w:szCs w:val="24"/>
          <w:u w:val="none"/>
          <w:shd w:fill="auto" w:val="clear"/>
          <w:vertAlign w:val="baseline"/>
        </w:rPr>
        <w:t xml:space="preserve"> – Owners or occupants of lands in Attachment “1” – Map of Mid Valley Air Park, their guests, and/or other users of the auto-plane drives, runway, taxiways, and landing area are subject to the regulations and restrictions set forth in the Mid Valley Air Park Property Owners Association Standard Operating Procedures, (Addendum “7” SOP and SOR, and these Covenants. If a conflict arises between these Covenants and the Standard Operating Procedures, these Covenants shall prevail. </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b/>
          <w:bCs/>
          <w:sz w:val="24"/>
          <w:szCs w:val="24"/>
        </w:rPr>
      </w:pP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 xml:space="preserve">Article VII –  </w:t>
      </w:r>
      <w:r>
        <w:rPr>
          <w:b/>
          <w:bCs/>
          <w:sz w:val="24"/>
          <w:szCs w:val="24"/>
        </w:rPr>
        <w:t>Architectural control</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rFonts w:cs="Liberation Serif;Times New Roman"/>
          <w:b/>
          <w:bCs/>
          <w:color w:val="000000"/>
          <w:sz w:val="24"/>
          <w:szCs w:val="24"/>
        </w:rPr>
        <w:t>Section 7</w:t>
      </w:r>
      <w:r>
        <w:rPr>
          <w:rStyle w:val="Strong"/>
          <w:sz w:val="24"/>
          <w:szCs w:val="24"/>
        </w:rPr>
        <w:t>.1 Approval Required.</w:t>
      </w:r>
      <w:r>
        <w:rPr>
          <w:sz w:val="24"/>
          <w:szCs w:val="24"/>
        </w:rPr>
        <w:t xml:space="preserve"> No building, permanent structure, fence, wall, exterior addition, alteration, or other improvement shall be commenced, erected, or maintained on any Lot until the plans and specifications showing the nature, kind, shape, height, materials, color, and location have been submitted to and approved in writing by the Board upon the recommendation of an Architectural Review Committee appointed by the Board. </w:t>
      </w:r>
      <w:r>
        <w:rPr>
          <w:rFonts w:eastAsia="Liberation Serif" w:cs="Liberation Serif"/>
          <w:b w:val="false"/>
          <w:bCs w:val="false"/>
          <w:sz w:val="24"/>
          <w:szCs w:val="24"/>
          <w:u w:val="none"/>
        </w:rPr>
        <w:t>Examples include but are n</w:t>
      </w:r>
      <w:r>
        <w:rPr>
          <w:rFonts w:eastAsia="Liberation Serif" w:cs="Liberation Serif"/>
          <w:sz w:val="24"/>
          <w:szCs w:val="24"/>
        </w:rPr>
        <w:t>ot limited to: walls, fences, pools, and storage sheds.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pPr>
      <w:r>
        <w:rPr>
          <w:rStyle w:val="Strong"/>
          <w:rFonts w:cs="Liberation Serif;Times New Roman"/>
          <w:b/>
          <w:bCs/>
          <w:color w:val="000000"/>
          <w:sz w:val="24"/>
          <w:szCs w:val="24"/>
        </w:rPr>
        <w:t>Section 7</w:t>
      </w:r>
      <w:r>
        <w:rPr>
          <w:rStyle w:val="Strong"/>
          <w:sz w:val="24"/>
          <w:szCs w:val="24"/>
        </w:rPr>
        <w:t>.2 Standards and Procedure.</w:t>
      </w:r>
      <w:r>
        <w:rPr>
          <w:sz w:val="24"/>
          <w:szCs w:val="24"/>
        </w:rPr>
        <w:t xml:space="preserve"> The Board and Architectural Review Committee may adopt and publish architectural project guidelines and procedures. The Committee Scope, structure, and process is outlined in Addendum Three (3).</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b/>
          <w:bCs/>
          <w:sz w:val="24"/>
          <w:szCs w:val="24"/>
        </w:rPr>
        <w:t xml:space="preserve">Article VIII – </w:t>
      </w:r>
      <w:r>
        <w:rPr>
          <w:rFonts w:cs="Liberation Serif;Times New Roman"/>
          <w:b/>
          <w:bCs/>
          <w:color w:val="000000"/>
          <w:sz w:val="24"/>
          <w:szCs w:val="24"/>
        </w:rPr>
        <w:t>Land and Property General Uses and Restrictions on Tracts (Lots) and Improvements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Fonts w:cs="Liberation Serif;Times New Roman"/>
          <w:b/>
          <w:bCs/>
          <w:color w:val="000000"/>
          <w:sz w:val="24"/>
          <w:szCs w:val="24"/>
        </w:rPr>
        <w:t xml:space="preserve">Section 8.1 </w:t>
      </w:r>
      <w:r>
        <w:rPr>
          <w:sz w:val="24"/>
          <w:szCs w:val="24"/>
        </w:rPr>
        <w:t>All reservations and restrictions hereinafter set forth are made for the benefit of each and every owner of any portion of the lands shown in Attachment “1” – Map of Mid Valley Air Park, or any interest therein, and shall inure to and bind all subsequent owners thereof.</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Fonts w:cs="Liberation Serif;Times New Roman"/>
          <w:b/>
          <w:bCs/>
          <w:color w:val="000000"/>
          <w:sz w:val="24"/>
          <w:szCs w:val="24"/>
        </w:rPr>
        <w:t>Section 8.2</w:t>
      </w:r>
      <w:r>
        <w:rPr>
          <w:rFonts w:cs="Liberation Serif;Times New Roman"/>
          <w:b w:val="false"/>
          <w:bCs w:val="false"/>
          <w:color w:val="000000"/>
          <w:sz w:val="24"/>
          <w:szCs w:val="24"/>
        </w:rPr>
        <w:t xml:space="preserve"> </w:t>
      </w:r>
      <w:r>
        <w:rPr>
          <w:b w:val="false"/>
          <w:bCs w:val="false"/>
          <w:sz w:val="24"/>
          <w:szCs w:val="24"/>
        </w:rPr>
        <w:t xml:space="preserve">Each </w:t>
      </w:r>
      <w:r>
        <w:rPr>
          <w:sz w:val="24"/>
          <w:szCs w:val="24"/>
        </w:rPr>
        <w:t>property owner, renter, or guest shall abide by regulations governing the use of Auto-plane drives, the use and operation of the controlled private access road or roads, use and care of community property, and matters peculiar to the proximity of the Mid Valley Air Park to the Airport (see also Addendum 7 Airport Operations “Standard Operating Procedures”).</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rFonts w:cs="Liberation Serif;Times New Roman"/>
          <w:b/>
          <w:bCs/>
          <w:color w:val="000000"/>
          <w:sz w:val="24"/>
          <w:szCs w:val="24"/>
        </w:rPr>
        <w:t>Section 8.3</w:t>
      </w:r>
      <w:r>
        <w:rPr>
          <w:b w:val="false"/>
          <w:bCs w:val="false"/>
          <w:sz w:val="24"/>
          <w:szCs w:val="24"/>
        </w:rPr>
        <w:t xml:space="preserve"> E</w:t>
      </w:r>
      <w:r>
        <w:rPr>
          <w:sz w:val="24"/>
          <w:szCs w:val="24"/>
        </w:rPr>
        <w:t>ach Property is subject to the following restrictions, which the Board may supplement with reasonable rules and regulations:</w:t>
      </w:r>
    </w:p>
    <w:tbl>
      <w:tblPr>
        <w:tblW w:w="9975" w:type="dxa"/>
        <w:jc w:val="left"/>
        <w:tblInd w:w="29" w:type="dxa"/>
        <w:tblLayout w:type="fixed"/>
        <w:tblCellMar>
          <w:top w:w="29" w:type="dxa"/>
          <w:left w:w="29" w:type="dxa"/>
          <w:bottom w:w="29" w:type="dxa"/>
          <w:right w:w="29" w:type="dxa"/>
        </w:tblCellMar>
      </w:tblPr>
      <w:tblGrid>
        <w:gridCol w:w="8486"/>
        <w:gridCol w:w="802"/>
        <w:gridCol w:w="687"/>
      </w:tblGrid>
      <w:tr>
        <w:trPr>
          <w:tblHeader w:val="true"/>
        </w:trPr>
        <w:tc>
          <w:tcPr>
            <w:tcW w:w="8486" w:type="dxa"/>
            <w:tcBorders>
              <w:left w:val="single" w:sz="4" w:space="0" w:color="999999"/>
              <w:bottom w:val="single" w:sz="4" w:space="0" w:color="999999"/>
            </w:tcBorders>
          </w:tcPr>
          <w:p>
            <w:pPr>
              <w:pStyle w:val="normal1"/>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center"/>
              <w:rPr>
                <w:rFonts w:ascii="Liberation Serif" w:hAnsi="Liberation Serif" w:eastAsia="Liberation Serif" w:cs="Liberation Serif"/>
                <w:b/>
                <w:bCs/>
                <w:i w:val="false"/>
                <w:iCs w:val="false"/>
                <w:caps w:val="false"/>
                <w:smallCaps w:val="false"/>
                <w:strike w:val="false"/>
                <w:dstrike w:val="false"/>
                <w:color w:val="000000"/>
                <w:position w:val="0"/>
                <w:sz w:val="28"/>
                <w:szCs w:val="28"/>
                <w:u w:val="none"/>
                <w:shd w:fill="auto" w:val="clear"/>
                <w:vertAlign w:val="baseline"/>
              </w:rPr>
            </w:pP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Proposed</w:t>
            </w:r>
          </w:p>
        </w:tc>
        <w:tc>
          <w:tcPr>
            <w:tcW w:w="802" w:type="dxa"/>
            <w:tcBorders>
              <w:left w:val="single" w:sz="4" w:space="0" w:color="999999"/>
              <w:bottom w:val="single" w:sz="4" w:space="0" w:color="999999"/>
            </w:tcBorders>
          </w:tcPr>
          <w:p>
            <w:pPr>
              <w:pStyle w:val="normal1"/>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
                <w:b w:val="false"/>
                <w:bCs w:val="false"/>
                <w:i w:val="false"/>
                <w:iCs w:val="false"/>
                <w:caps w:val="false"/>
                <w:smallCaps w:val="false"/>
                <w:strike w:val="false"/>
                <w:dstrike w:val="false"/>
                <w:color w:val="000000"/>
                <w:position w:val="0"/>
                <w:sz w:val="18"/>
                <w:szCs w:val="18"/>
                <w:u w:val="none"/>
                <w:shd w:fill="auto" w:val="clear"/>
                <w:vertAlign w:val="baseline"/>
              </w:rPr>
              <w:t>Vote yes</w:t>
            </w:r>
          </w:p>
        </w:tc>
        <w:tc>
          <w:tcPr>
            <w:tcW w:w="687" w:type="dxa"/>
            <w:tcBorders>
              <w:left w:val="single" w:sz="4" w:space="0" w:color="999999"/>
              <w:bottom w:val="single" w:sz="4" w:space="0" w:color="999999"/>
              <w:right w:val="single" w:sz="4" w:space="0" w:color="999999"/>
            </w:tcBorders>
          </w:tcPr>
          <w:p>
            <w:pPr>
              <w:pStyle w:val="normal1"/>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
                <w:b w:val="false"/>
                <w:bCs w:val="false"/>
                <w:i w:val="false"/>
                <w:iCs w:val="false"/>
                <w:caps w:val="false"/>
                <w:smallCaps w:val="false"/>
                <w:strike w:val="false"/>
                <w:dstrike w:val="false"/>
                <w:color w:val="000000"/>
                <w:position w:val="0"/>
                <w:sz w:val="18"/>
                <w:szCs w:val="18"/>
                <w:u w:val="none"/>
                <w:shd w:fill="auto" w:val="clear"/>
                <w:vertAlign w:val="baseline"/>
              </w:rPr>
              <w:t>Vote No</w:t>
            </w:r>
          </w:p>
        </w:tc>
      </w:tr>
      <w:tr>
        <w:trPr/>
        <w:tc>
          <w:tcPr>
            <w:tcW w:w="9975" w:type="dxa"/>
            <w:gridSpan w:val="3"/>
            <w:tcBorders>
              <w:top w:val="single" w:sz="4" w:space="0" w:color="999999"/>
              <w:left w:val="single" w:sz="4" w:space="0" w:color="999999"/>
              <w:bottom w:val="single" w:sz="4" w:space="0" w:color="999999"/>
              <w:right w:val="single" w:sz="4" w:space="0" w:color="999999"/>
            </w:tcBorders>
          </w:tcPr>
          <w:p>
            <w:pPr>
              <w:pStyle w:val="normal1"/>
              <w:keepNext w:val="false"/>
              <w:keepLines w:val="false"/>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center"/>
              <w:rPr>
                <w:b/>
                <w:bCs/>
                <w:i w:val="false"/>
                <w:iCs w:val="false"/>
                <w:caps w:val="false"/>
                <w:smallCaps w:val="false"/>
                <w:strike w:val="false"/>
                <w:dstrike w:val="false"/>
                <w:color w:val="000000"/>
                <w:position w:val="0"/>
                <w:sz w:val="24"/>
                <w:szCs w:val="24"/>
                <w:u w:val="none"/>
                <w:shd w:fill="auto" w:val="clear"/>
                <w:vertAlign w:val="baseline"/>
              </w:rPr>
            </w:pPr>
            <w:r>
              <w:rPr>
                <w:b/>
                <w:bCs/>
                <w:sz w:val="24"/>
                <w:szCs w:val="24"/>
              </w:rPr>
              <w:t>Article VIII – Land Use</w:t>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sz w:val="24"/>
                <w:szCs w:val="24"/>
              </w:rPr>
              <w:t>No tract shall be subdivided smaller than shown on Attachment 2 (plat map) of the Mid Valley Air Park Property Owner Association Bylaws. However, adjacent property owners may subdivide and each annex part of a tract for the purpose of increasing the size of their property.</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rPr>
            </w:pPr>
            <w:r>
              <w:rPr>
                <w:rFonts w:eastAsia="Liberation Serif" w:cs="Liberation Serif"/>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left"/>
              <w:rPr>
                <w:rFonts w:ascii="Liberation Serif" w:hAnsi="Liberation Serif" w:eastAsia="Liberation Serif" w:cs="Liberation Serif"/>
                <w:sz w:val="24"/>
                <w:szCs w:val="24"/>
              </w:rPr>
            </w:pPr>
            <w:r>
              <w:rPr>
                <w:rFonts w:eastAsia="Liberation Serif" w:cs="Liberation Serif"/>
                <w:sz w:val="24"/>
                <w:szCs w:val="24"/>
              </w:rPr>
              <w:t xml:space="preserve">Each lot is designated as residential or commercial. </w:t>
            </w:r>
            <w:r>
              <w:rPr>
                <w:rFonts w:eastAsia="Liberation Serif" w:cs="Liberation Serif"/>
                <w:sz w:val="24"/>
                <w:szCs w:val="24"/>
                <w:shd w:fill="auto" w:val="clear"/>
              </w:rPr>
              <w:t>All tracts/lots currently identified as residential shall be used for residential purposes only, except as otherwise permitted by law and the governing documents. On Commercial lots, b</w:t>
            </w:r>
            <w:r>
              <w:rPr>
                <w:rFonts w:eastAsia="Liberation Serif" w:cs="Liberation Serif"/>
                <w:sz w:val="24"/>
                <w:szCs w:val="24"/>
              </w:rPr>
              <w:t>usiness activities related to aviation are strongly encouraged.</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rPr>
            </w:pPr>
            <w:r>
              <w:rPr>
                <w:rFonts w:eastAsia="Liberation Serif" w:cs="Liberation Serif"/>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Each residential property, including the residential portion of a commercial tract, shall be occupied by only one family. One, single family main dwelling per property is permitted.</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rPr>
            </w:pPr>
            <w:r>
              <w:rPr>
                <w:rFonts w:eastAsia="Liberation Serif" w:cs="Liberation Serif"/>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One Accessory Structure (see definitions) garage, hangar, or storage shed attached to or separate from the single-family dwelling is permitted;</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One Accessory Dwelling Unit (guest house/in-law quarters), attached to or separate from the single-family dwelling is permitted;</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right="0"/>
              <w:jc w:val="left"/>
              <w:rPr>
                <w:rFonts w:ascii="Liberation Serif" w:hAnsi="Liberation Serif"/>
                <w:sz w:val="24"/>
                <w:szCs w:val="24"/>
              </w:rPr>
            </w:pPr>
            <w:r>
              <w:rPr>
                <w:rFonts w:eastAsia="Liberation Serif" w:cs="Liberation Serif"/>
                <w:b w:val="false"/>
                <w:strike w:val="false"/>
                <w:dstrike w:val="false"/>
                <w:sz w:val="24"/>
                <w:szCs w:val="24"/>
                <w:u w:val="none"/>
                <w:effect w:val="none"/>
              </w:rPr>
              <w:t>All structures must adhere to setback rules, meaning they cannot sit directly on property lines or in rights-of-way See Addendum A;</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All Accessory structures must match the main residence in construction, exterior color, design, and character;</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Manufactured homes or shipping containers (see definitions) shall not be permitted in Mid Valley Air Park (except as temporarily permitted during construction of a permanent residence or structure). No temporary building, shack, tent, trailer, or unsightly structure shall ever be erected or maintained;</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All future structures (including “kits”) to be placed on lots in MVAP shall be constructed on-site. All structures 120 square feet and larger require a Valencia County permit and shall be constructed to plans approved by whatever County or State authority has jurisdiction over construction. See definitions for commonly accepted terms for non-site built structures (except as permitted during construction of a permanent residence).</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bCs/>
                <w:sz w:val="24"/>
                <w:szCs w:val="24"/>
                <w:u w:val="none"/>
              </w:rPr>
              <w:t>Key Rental Requirements:</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Owners (members) may not rent out individual rooms or parts of a structure. The entire residence and all accompanying structures must be rented or leased together as a single unit to a single family.</w:t>
              <w:br/>
              <w:t>Accessory Dwelling Units shall not be used for rent or lease.</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Minimum Lease Term: Any rental or lease agreement shall have a minimum duration of six (6) months.</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Written Agreement: All tenants (homes or hangars) shall sign a written lease agreement that explicitly states they will comply with the Mid Valley Air Park Property Owners Association Community Documents.</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Board Notification: The property owner (landlord) shall provide written notification that the property is under lease/rent, provide a copy of the written lease agreement mentioned above, and provide renter’s contact information to the Board within 30 days of lease signing.</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Owner's Responsibility: The property owner shall remain solely responsible for all dues, assessments, and fees, regardless of whether the property is leased.</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b/>
                <w:bCs/>
              </w:rPr>
            </w:pPr>
            <w:r>
              <w:rPr>
                <w:b/>
                <w:bCs/>
              </w:rPr>
            </w:r>
          </w:p>
        </w:tc>
      </w:tr>
      <w:tr>
        <w:trPr/>
        <w:tc>
          <w:tcPr>
            <w:tcW w:w="8486" w:type="dxa"/>
            <w:tcBorders>
              <w:left w:val="single" w:sz="4" w:space="0" w:color="999999"/>
              <w:bottom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Each owner of a commercial hangar property who offers units for rent, for any reason (aircraft storage or any other use), shall pay a runway access fee for each unit. Owners of individual commercial T-hangars who are not members of the Mid Valley Air Park Property Owners Association also shall pay a runway access fee.</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eastAsia="Liberation Serif" w:cs="Liberation Serif"/>
                <w:sz w:val="24"/>
                <w:szCs w:val="24"/>
              </w:rPr>
            </w:pPr>
            <w:r>
              <w:rPr>
                <w:rFonts w:eastAsia="Liberation Serif" w:cs="Liberation Serif"/>
                <w:sz w:val="24"/>
                <w:szCs w:val="24"/>
              </w:rPr>
              <w:t>Unoccupied RVs or recreational vehicles that are parked on the property between their uses (e.g., parked for storage) are permitted.</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rPr>
            </w:pPr>
            <w:r>
              <w:rPr>
                <w:rFonts w:eastAsia="Liberation Serif" w:cs="Liberation Serif"/>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Short-term occupancy by non paying guests (not to exceed 14 days in a 180-day period) of recreational vehicles is permissible.</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rPr>
                <w:rFonts w:ascii="Liberation Serif" w:hAnsi="Liberation Serif"/>
                <w:sz w:val="24"/>
                <w:szCs w:val="24"/>
              </w:rPr>
            </w:pPr>
            <w:r>
              <w:rPr>
                <w:sz w:val="24"/>
                <w:szCs w:val="24"/>
              </w:rPr>
              <w:t>During construction:</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rPr>
                <w:rFonts w:ascii="Liberation Serif" w:hAnsi="Liberation Serif"/>
                <w:sz w:val="24"/>
                <w:szCs w:val="24"/>
              </w:rPr>
            </w:pPr>
            <w:r>
              <w:rPr>
                <w:sz w:val="24"/>
                <w:szCs w:val="24"/>
              </w:rPr>
              <w:t>Recreational vehicles (RVs), camper trailers, or temporary offices are permitted to be used on a property as a temporary residence or construction office.</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rPr>
                <w:rFonts w:ascii="Liberation Serif" w:hAnsi="Liberation Serif"/>
                <w:sz w:val="24"/>
                <w:szCs w:val="24"/>
              </w:rPr>
            </w:pPr>
            <w:r>
              <w:rPr>
                <w:sz w:val="24"/>
                <w:szCs w:val="24"/>
              </w:rPr>
              <w:t>All temporary structures, RVs, and campers shall be placed on the property in compliance with the community's setback requirements.</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rPr>
                <w:rFonts w:ascii="Liberation Serif" w:hAnsi="Liberation Serif"/>
                <w:sz w:val="24"/>
                <w:szCs w:val="24"/>
              </w:rPr>
            </w:pPr>
            <w:r>
              <w:rPr>
                <w:sz w:val="24"/>
                <w:szCs w:val="24"/>
              </w:rPr>
              <w:t>The temporary structure or vehicle/camper shall be removed from the property no later than 12 months from the date that construction begins ("groundbreaking").</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center"/>
              <w:rPr>
                <w:b/>
                <w:bCs/>
              </w:rPr>
            </w:pPr>
            <w:r>
              <w:rPr>
                <w:b/>
                <w:bCs/>
                <w:sz w:val="24"/>
                <w:szCs w:val="24"/>
              </w:rPr>
              <w:t>Article IX – Architectural and Construction Conditions and Restrictions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All construction, modifications, or land use shall comply with the setbacks identified in Addendum A of the CC&amp;Rs</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shd w:fill="auto" w:val="clear"/>
              </w:rPr>
            </w:pPr>
            <w:r>
              <w:rPr>
                <w:rFonts w:eastAsia="Liberation Serif" w:cs="Liberation Serif"/>
                <w:sz w:val="24"/>
                <w:szCs w:val="24"/>
                <w:shd w:fill="auto" w:val="clear"/>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All utilities shall be placed underground to the place of their usage.</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shd w:fill="auto" w:val="clear"/>
              </w:rPr>
            </w:pPr>
            <w:r>
              <w:rPr>
                <w:rFonts w:eastAsia="Liberation Serif" w:cs="Liberation Serif"/>
                <w:sz w:val="24"/>
                <w:szCs w:val="24"/>
                <w:shd w:fill="auto" w:val="clear"/>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Residences shall contain a minimum of 1800 square feet of heated living space.</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shd w:fill="auto" w:val="clear"/>
              </w:rPr>
            </w:pPr>
            <w:r>
              <w:rPr>
                <w:rFonts w:eastAsia="Liberation Serif" w:cs="Liberation Serif"/>
                <w:sz w:val="24"/>
                <w:szCs w:val="24"/>
                <w:shd w:fill="auto" w:val="clear"/>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Hangars shall be a minimum of 1200 square feet.</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shd w:fill="auto" w:val="clear"/>
              </w:rPr>
            </w:pPr>
            <w:r>
              <w:rPr>
                <w:rFonts w:eastAsia="Liberation Serif" w:cs="Liberation Serif"/>
                <w:sz w:val="24"/>
                <w:szCs w:val="24"/>
                <w:shd w:fill="auto" w:val="clear"/>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No structure of more than twenty-five (25) feet in height above natural grade or flood-zone base flood level platform height shall be erected. Tracts adjacent to the runways will remain subject to obstruction requirements as specified by the Federal Aviation Administration and Valencia County Ordinance.</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shd w:fill="auto" w:val="clear"/>
              </w:rPr>
            </w:pPr>
            <w:r>
              <w:rPr>
                <w:rFonts w:eastAsia="Liberation Serif" w:cs="Liberation Serif"/>
                <w:sz w:val="24"/>
                <w:szCs w:val="24"/>
                <w:shd w:fill="auto" w:val="clear"/>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Residential tracts only: Construction of the primary residence and airplane hangar/shelter shall begin at the same time or before construction of any garage or accessory unit previously approved by the Board.</w:t>
            </w:r>
          </w:p>
        </w:tc>
        <w:tc>
          <w:tcPr>
            <w:tcW w:w="802" w:type="dxa"/>
            <w:tcBorders>
              <w:left w:val="single" w:sz="4" w:space="0" w:color="999999"/>
              <w:bottom w:val="single" w:sz="4" w:space="0" w:color="999999"/>
            </w:tcBorders>
          </w:tcPr>
          <w:p>
            <w:pPr>
              <w:pStyle w:val="normal1"/>
              <w:widowControl/>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sz w:val="24"/>
                <w:szCs w:val="24"/>
              </w:rPr>
            </w:pPr>
            <w:r>
              <w:rPr>
                <w:rFonts w:eastAsia="Liberation Serif" w:cs="Liberation Serif"/>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eastAsia="Liberation Serif" w:cs="Liberation Serif"/>
                <w:sz w:val="24"/>
                <w:szCs w:val="24"/>
                <w:shd w:fill="auto" w:val="clear"/>
              </w:rPr>
            </w:pPr>
            <w:r>
              <w:rPr>
                <w:rFonts w:eastAsia="Liberation Serif" w:cs="Liberation Serif"/>
                <w:sz w:val="24"/>
                <w:szCs w:val="24"/>
                <w:shd w:fill="auto" w:val="clear"/>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Construction of residences or other structures shall be completed within 12 months from ground breaking. The board may extend the time for six months for good cause shown.</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Residential exterior lighting is encouraged to conform to ‘dark-sky’ standards. Security motion lights are encouraged. However, all exterior lighting shall comply with Valencia County Ordinance “§ 92.22 LIGHTING NUISANCE; (1) Lights shall be fully shielded or arranged in a manner so that concentrated rays of light will not shine directly onto other properties.”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sz w:val="24"/>
                <w:szCs w:val="24"/>
              </w:rPr>
              <w:t>Fence construction is a modification requiring Architectural Review and Board Approval. No fence or wall shall be more than six (6) feet six (6) inches in height.</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eastAsia="Liberation Serif" w:cs="Liberation Serif"/>
                <w:b w:val="false"/>
                <w:bCs w:val="false"/>
                <w:sz w:val="24"/>
                <w:szCs w:val="24"/>
              </w:rPr>
            </w:pPr>
            <w:r>
              <w:rPr>
                <w:sz w:val="24"/>
                <w:szCs w:val="24"/>
              </w:rPr>
              <w:t>No woven wire or steel mesh fence of any height may be erected.</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center"/>
              <w:rPr>
                <w:b/>
                <w:bCs/>
                <w:i w:val="false"/>
                <w:iCs w:val="false"/>
                <w:caps w:val="false"/>
                <w:smallCaps w:val="false"/>
                <w:strike w:val="false"/>
                <w:dstrike w:val="false"/>
                <w:color w:val="000000"/>
                <w:position w:val="0"/>
                <w:sz w:val="24"/>
                <w:szCs w:val="24"/>
                <w:u w:val="none"/>
                <w:shd w:fill="auto" w:val="clear"/>
                <w:vertAlign w:val="baseline"/>
              </w:rPr>
            </w:pPr>
            <w:r>
              <w:rPr>
                <w:b/>
                <w:bCs/>
                <w:sz w:val="24"/>
                <w:szCs w:val="24"/>
              </w:rPr>
              <w:t>Article X – Nuisance Conditions and/or Restrictions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rFonts w:eastAsia="Liberation Serif" w:cs="Liberation Serif"/>
                <w:b w:val="false"/>
                <w:bCs w:val="false"/>
                <w:sz w:val="24"/>
                <w:szCs w:val="24"/>
                <w:u w:val="none"/>
              </w:rPr>
              <w:t>Signage Restrictions:</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rFonts w:eastAsia="Liberation Serif" w:cs="Liberation Serif"/>
                <w:b w:val="false"/>
                <w:bCs w:val="false"/>
                <w:sz w:val="24"/>
                <w:szCs w:val="24"/>
                <w:u w:val="none"/>
              </w:rPr>
              <w:t>No billboards, signboards, or other forms of advertising are permitted on any residential property, with the following exceptions:</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left"/>
              <w:rPr>
                <w:rFonts w:ascii="Liberation Serif" w:hAnsi="Liberation Serif" w:eastAsia="Liberation Serif" w:cs="Liberation Serif"/>
                <w:b w:val="false"/>
                <w:bCs w:val="false"/>
                <w:sz w:val="24"/>
                <w:szCs w:val="24"/>
              </w:rPr>
            </w:pPr>
            <w:r>
              <w:rPr>
                <w:rFonts w:eastAsia="Liberation Serif" w:cs="Liberation Serif"/>
                <w:b w:val="false"/>
                <w:bCs w:val="false"/>
                <w:sz w:val="24"/>
                <w:szCs w:val="24"/>
                <w:u w:val="none"/>
              </w:rPr>
              <w:t>Temporary signage:</w:t>
              <w:br/>
              <w:t>For Sale/Rent Signs: A single sign, no larger than 4 square feet, is allowed to advertise that the property is for sale or for rent.</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left"/>
              <w:rPr>
                <w:rFonts w:ascii="Liberation Serif" w:hAnsi="Liberation Serif" w:eastAsia="Liberation Serif" w:cs="Liberation Serif"/>
                <w:b w:val="false"/>
                <w:bCs w:val="false"/>
                <w:sz w:val="24"/>
                <w:szCs w:val="24"/>
              </w:rPr>
            </w:pPr>
            <w:r>
              <w:rPr>
                <w:rFonts w:eastAsia="Liberation Serif" w:cs="Liberation Serif"/>
                <w:b w:val="false"/>
                <w:bCs w:val="false"/>
                <w:sz w:val="24"/>
                <w:szCs w:val="24"/>
                <w:u w:val="none"/>
              </w:rPr>
              <w:t>Political Signs: Signs supporting political candidates are permitted, also not to exceed 4 square feet in size. These signs may be displayed no earlier than 90 days before an election and must be removed within 10 days after the election. (Valencia Ordinance §154.166 (C)(1))</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left"/>
              <w:rPr>
                <w:rFonts w:ascii="Liberation Serif" w:hAnsi="Liberation Serif" w:eastAsia="Liberation Serif" w:cs="Liberation Serif"/>
                <w:b w:val="false"/>
                <w:bCs w:val="false"/>
                <w:sz w:val="24"/>
                <w:szCs w:val="24"/>
              </w:rPr>
            </w:pPr>
            <w:r>
              <w:rPr>
                <w:rFonts w:eastAsia="Liberation Serif" w:cs="Liberation Serif"/>
                <w:b w:val="false"/>
                <w:bCs w:val="false"/>
                <w:sz w:val="24"/>
                <w:szCs w:val="24"/>
                <w:u w:val="none"/>
              </w:rPr>
              <w:t>Business signage is subject to review by the Architectural Committee and approval by the Board.</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An owner may fuel his/her plane in his/her hangar, however no gasoline sales shall be made out of the hangar.</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right="0"/>
              <w:jc w:val="left"/>
              <w:rPr>
                <w:rFonts w:ascii="Liberation Serif" w:hAnsi="Liberation Serif"/>
                <w:sz w:val="24"/>
                <w:szCs w:val="24"/>
              </w:rPr>
            </w:pPr>
            <w:r>
              <w:rPr>
                <w:sz w:val="24"/>
                <w:szCs w:val="24"/>
              </w:rPr>
              <w:t>The installation of antennas and satellite dishes is subject to any applicable County Ordinance, to the extent consistent with applicable law (including the FCC's OTARD rule or FAA Regulation).</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left"/>
              <w:rPr>
                <w:rFonts w:ascii="Liberation Serif" w:hAnsi="Liberation Serif" w:eastAsia="Liberation Serif" w:cs="Liberation Serif"/>
                <w:sz w:val="24"/>
                <w:szCs w:val="24"/>
                <w:shd w:fill="auto" w:val="clear"/>
              </w:rPr>
            </w:pPr>
            <w:r>
              <w:rPr>
                <w:b w:val="false"/>
                <w:bCs w:val="false"/>
                <w:sz w:val="24"/>
                <w:szCs w:val="24"/>
                <w:u w:val="none"/>
                <w:shd w:fill="auto" w:val="clear"/>
              </w:rPr>
              <w:t>No animals shall be kept other than a reasonable number of common household pets, except as noted for residents along La Sombra Drive or the upon the approval of Addendum B. All animals (including household pets) shall be confined or contained on the owners' property and always under the control of the owner or the owner’s designee.</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left"/>
              <w:rPr>
                <w:rFonts w:ascii="Liberation Serif" w:hAnsi="Liberation Serif" w:eastAsia="Liberation Serif" w:cs="Liberation Serif"/>
                <w:sz w:val="24"/>
                <w:szCs w:val="24"/>
                <w:shd w:fill="auto" w:val="clear"/>
              </w:rPr>
            </w:pPr>
            <w:r>
              <w:rPr>
                <w:sz w:val="24"/>
                <w:szCs w:val="24"/>
              </w:rPr>
              <w:t>Animals or pets shall not be permitted to vocalize continuously so as to disturb the tranquility of the neighborhood or considered a nuisance. (examples: barking dogs or pet animals roaming the subdivision.)</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jc w:val="left"/>
              <w:rPr>
                <w:rFonts w:ascii="Liberation Serif" w:hAnsi="Liberation Serif" w:eastAsia="Liberation Serif" w:cs="Liberation Serif"/>
                <w:sz w:val="24"/>
                <w:szCs w:val="24"/>
                <w:shd w:fill="auto" w:val="clear"/>
              </w:rPr>
            </w:pPr>
            <w:r>
              <w:rPr>
                <w:rFonts w:eastAsia="Liberation Serif" w:cs="Liberation Serif"/>
                <w:b w:val="false"/>
                <w:bCs w:val="false"/>
                <w:sz w:val="24"/>
                <w:szCs w:val="24"/>
                <w:u w:val="none"/>
                <w:shd w:fill="auto" w:val="clear"/>
              </w:rPr>
              <w:t>No livestock of any kind shall be kept on any tract, EXCEPT the 11 La Sombra tracts are permitted up to two horses, hen chickens and ducks based on the restrictions outlined in Addendum B.</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ind w:hanging="0" w:left="0" w:right="540"/>
              <w:jc w:val="left"/>
              <w:rPr>
                <w:rFonts w:ascii="Liberation Serif" w:hAnsi="Liberation Serif" w:eastAsia="Liberation Serif" w:cs="Liberation Serif"/>
                <w:b w:val="false"/>
                <w:bCs w:val="false"/>
                <w:sz w:val="24"/>
                <w:szCs w:val="24"/>
              </w:rPr>
            </w:pPr>
            <w:r>
              <w:rPr>
                <w:b w:val="false"/>
                <w:bCs w:val="false"/>
                <w:u w:val="none"/>
              </w:rPr>
              <w:t xml:space="preserve">Poultry ownership is permitted across all tracts (Mid Valley, Commercial, and La Sombra) subject to the conditions listed in </w:t>
            </w:r>
            <w:r>
              <w:rPr/>
              <w:t>Addendum B</w:t>
            </w:r>
            <w:r>
              <w:rPr>
                <w:b w:val="false"/>
                <w:bCs w:val="false"/>
                <w:u w:val="none"/>
              </w:rPr>
              <w:t xml:space="preserve"> to these CC&amp;Rs.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eastAsia="Liberation Serif" w:cs="Liberation Serif"/>
                <w:sz w:val="24"/>
                <w:szCs w:val="24"/>
                <w:shd w:fill="auto" w:val="clear"/>
              </w:rPr>
            </w:pPr>
            <w:r>
              <w:rPr>
                <w:sz w:val="24"/>
                <w:szCs w:val="24"/>
              </w:rPr>
              <w:t>Owners of Lots are responsible for all occupants of said lot and all users of lands within Mid Valley Air Park. All occupants and users shall comply with these Covenants and Community documents. Guardians/parents are responsible for the actions of all minors under their care and must require conformance to these Covenants and community documents.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Noxious or offensive activity shall not be carried on upon any property, nor shall anything be done on any property, which shall constitute an annoyance or nuisance to the neighborhood or other owners. Activities resulting in noise, which may be disruptive to other residents, or resulting in excessive traffic in and out of the Air Park is prohibited.</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9975" w:type="dxa"/>
            <w:gridSpan w:val="3"/>
            <w:tcBorders>
              <w:left w:val="single" w:sz="4" w:space="0" w:color="999999"/>
              <w:bottom w:val="single" w:sz="4" w:space="0" w:color="999999"/>
              <w:right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center"/>
              <w:rPr>
                <w:rFonts w:ascii="Liberation Serif" w:hAnsi="Liberation Serif" w:eastAsia="Liberation Serif" w:cs="Liberation Serif"/>
                <w:b w:val="false"/>
                <w:bCs w:val="false"/>
                <w:sz w:val="24"/>
                <w:szCs w:val="24"/>
              </w:rPr>
            </w:pPr>
            <w:r>
              <w:rPr>
                <w:rFonts w:eastAsia="Liberation Serif" w:cs="Liberation Serif"/>
                <w:b/>
                <w:bCs/>
                <w:sz w:val="24"/>
                <w:szCs w:val="24"/>
              </w:rPr>
              <w:t>Article XI – Maintenance</w:t>
            </w:r>
          </w:p>
        </w:tc>
      </w:tr>
      <w:tr>
        <w:trPr/>
        <w:tc>
          <w:tcPr>
            <w:tcW w:w="8486" w:type="dxa"/>
            <w:tcBorders>
              <w:left w:val="single" w:sz="4" w:space="0" w:color="999999"/>
              <w:bottom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sz w:val="24"/>
                <w:szCs w:val="24"/>
              </w:rPr>
            </w:pPr>
            <w:r>
              <w:rPr>
                <w:rStyle w:val="Strong"/>
                <w:rFonts w:eastAsia="Liberation Serif" w:cs="Liberation Serif"/>
                <w:sz w:val="24"/>
                <w:szCs w:val="24"/>
              </w:rPr>
              <w:t>Association Responsibility.</w:t>
            </w:r>
            <w:r>
              <w:rPr>
                <w:rFonts w:eastAsia="Liberation Serif" w:cs="Liberation Serif"/>
                <w:b w:val="false"/>
                <w:bCs w:val="false"/>
                <w:sz w:val="24"/>
                <w:szCs w:val="24"/>
              </w:rPr>
              <w:t xml:space="preserve"> The Association shall maintain, repair, and replace the Common Area and any other property it is obligated to maintain under this Declaration.</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sz w:val="24"/>
                <w:szCs w:val="24"/>
              </w:rPr>
            </w:pPr>
            <w:r>
              <w:rPr>
                <w:rStyle w:val="Strong"/>
                <w:rFonts w:eastAsia="Liberation Serif" w:cs="Liberation Serif"/>
                <w:sz w:val="24"/>
                <w:szCs w:val="24"/>
              </w:rPr>
              <w:t>Owner Responsibility.</w:t>
            </w:r>
            <w:r>
              <w:rPr>
                <w:rFonts w:eastAsia="Liberation Serif" w:cs="Liberation Serif"/>
                <w:b w:val="false"/>
                <w:bCs w:val="false"/>
                <w:sz w:val="24"/>
                <w:szCs w:val="24"/>
              </w:rPr>
              <w:t xml:space="preserve"> Each Owner shall maintain their Lot and all improvements on it in good condition and repair. </w:t>
            </w:r>
            <w:r>
              <w:rPr>
                <w:rFonts w:eastAsia="Liberation Serif" w:cs="Liberation Serif"/>
                <w:b w:val="false"/>
                <w:bCs w:val="false"/>
                <w:sz w:val="24"/>
                <w:szCs w:val="24"/>
                <w:u w:val="none"/>
              </w:rPr>
              <w:t>Property owners shall not allow their property to become in such condition as to depreciate the value of adjacent property.</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sz w:val="24"/>
                <w:szCs w:val="24"/>
              </w:rPr>
              <w:t>Residential property owners, occupants, or guests shall not perform repairs on, or disassembly of, any equipment, vehicle, or aircraft in unenclosed space, exceeding fourteen (14) days. Derelict, or inoperable, vehicles or aircraft shall be screened from view.</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Storage of, including but not limited to, equipment and fuel tanks shall be kept screened from adjacent property and auto-plane drives.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left"/>
              <w:rPr>
                <w:rFonts w:ascii="Liberation Serif" w:hAnsi="Liberation Serif" w:eastAsia="Liberation Serif" w:cs="Liberation Serif"/>
                <w:b w:val="false"/>
                <w:bCs w:val="false"/>
                <w:sz w:val="24"/>
                <w:szCs w:val="24"/>
              </w:rPr>
            </w:pPr>
            <w:r>
              <w:rPr>
                <w:b w:val="false"/>
                <w:bCs w:val="false"/>
                <w:sz w:val="24"/>
                <w:szCs w:val="24"/>
                <w:u w:val="none"/>
              </w:rPr>
              <w:t xml:space="preserve">Trash cans are not required to be screened from view, but owners are encouraged to do so. </w:t>
            </w:r>
            <w:r>
              <w:rPr>
                <w:rFonts w:eastAsia="Liberation Serif" w:cs="Liberation Serif"/>
                <w:b w:val="false"/>
                <w:bCs w:val="false"/>
                <w:sz w:val="24"/>
                <w:szCs w:val="24"/>
                <w:u w:val="none"/>
              </w:rPr>
              <w:t>Trash cans shall be placed in the street right of way only for the day of collection.   woodpiles shall be kept screened from adjacent parcels.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It shall be the responsibility of the owners of lots, vacant or otherwise, to keep said lots and all easement areas within the boundaries of said lots clear and free of trash, weeds, rubbish, derelict equipment or vehicles (including aircraft) or noxious materials. All construction debris shall be suitably contained. The member is responsible for routine waste removal.</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right="0"/>
              <w:rPr>
                <w:rFonts w:ascii="Liberation Serif" w:hAnsi="Liberation Serif"/>
                <w:sz w:val="24"/>
                <w:szCs w:val="24"/>
              </w:rPr>
            </w:pPr>
            <w:r>
              <w:rPr>
                <w:sz w:val="24"/>
                <w:szCs w:val="24"/>
              </w:rPr>
              <w:t>Every Owner shall keep all landscaping on their Lot—including front, side, and visible rear yards—neat, clean, and well-maintained. This includes regular mowing of turf, trimming of vegetation, pruning of trees, and prompt removal of dead or dying vegetation.</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right="0"/>
              <w:jc w:val="left"/>
              <w:rPr>
                <w:rFonts w:ascii="Liberation Serif" w:hAnsi="Liberation Serif"/>
                <w:sz w:val="24"/>
                <w:szCs w:val="24"/>
              </w:rPr>
            </w:pPr>
            <w:r>
              <w:rPr>
                <w:sz w:val="24"/>
                <w:szCs w:val="24"/>
              </w:rPr>
              <w:t>All Lots must be kept substantially free of weeds. Weeds are defined as any invasive, uncultivated, or noxious plant growth classified by the State of New Mexico to be a weed. Owners must eradicate weeds from lawns, planter beds, rock features, and sidewalk seams before they exceed ten (10) inches in height or begin to seed.</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right="0"/>
              <w:jc w:val="left"/>
              <w:rPr>
                <w:rFonts w:ascii="Liberation Serif" w:hAnsi="Liberation Serif"/>
                <w:sz w:val="24"/>
                <w:szCs w:val="24"/>
              </w:rPr>
            </w:pPr>
            <w:r>
              <w:rPr>
                <w:sz w:val="24"/>
                <w:szCs w:val="24"/>
              </w:rPr>
              <w:t>No plants or weeds may be allowed to overgrow sidewalks, driveways, or common area property lines. Owners shall keep all debris (from their property) off of the Auto-plane drives. This is a safety issue for aircraft.</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sz w:val="24"/>
                <w:szCs w:val="24"/>
              </w:rPr>
              <w:t>Any construction completed for more than twelve (12) months shall be deemed approved unless suit for enforcement has been there-to-fore commenced and notice thereof theretofore recorded appropriately to affect the record title of said parcel.</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8486" w:type="dxa"/>
            <w:tcBorders>
              <w:left w:val="single" w:sz="4" w:space="0" w:color="999999"/>
              <w:bottom w:val="single" w:sz="4" w:space="0" w:color="999999"/>
            </w:tcBorders>
          </w:tcPr>
          <w:p>
            <w:pPr>
              <w:pStyle w:val="normal1"/>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58"/>
              <w:ind w:hanging="0" w:left="0" w:right="0"/>
              <w:jc w:val="left"/>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b w:val="false"/>
                <w:bCs w:val="false"/>
                <w:i w:val="false"/>
                <w:iCs w:val="false"/>
                <w:caps w:val="false"/>
                <w:smallCaps w:val="false"/>
                <w:strike w:val="false"/>
                <w:dstrike w:val="false"/>
                <w:color w:val="000000"/>
                <w:position w:val="0"/>
                <w:sz w:val="24"/>
                <w:szCs w:val="24"/>
                <w:u w:val="none"/>
                <w:shd w:fill="auto" w:val="clear"/>
                <w:vertAlign w:val="baseline"/>
              </w:rPr>
              <w:t>The Corporation’s interpretation of any of the provisions hereof shall be binding on all persons concerned.</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r>
        <w:trPr/>
        <w:tc>
          <w:tcPr>
            <w:tcW w:w="9975" w:type="dxa"/>
            <w:gridSpan w:val="3"/>
            <w:tcBorders>
              <w:left w:val="single" w:sz="4" w:space="0" w:color="999999"/>
              <w:bottom w:val="single" w:sz="4" w:space="0" w:color="999999"/>
              <w:right w:val="single" w:sz="4" w:space="0" w:color="999999"/>
            </w:tcBorders>
          </w:tcPr>
          <w:p>
            <w:pPr>
              <w:pStyle w:val="Normal"/>
              <w:keepNext w:val="false"/>
              <w:keepLines w:val="false"/>
              <w:widowControl w:val="false"/>
              <w:shd w:val="clear" w:fill="auto"/>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hanging="0" w:left="0" w:right="0"/>
              <w:jc w:val="center"/>
              <w:rPr>
                <w:rFonts w:ascii="Liberation Serif" w:hAnsi="Liberation Serif" w:eastAsia="Liberation Serif" w:cs="Liberation Serif"/>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Liberation Serif" w:cs="Liberation Serif"/>
                <w:b/>
                <w:bCs/>
                <w:i w:val="false"/>
                <w:iCs w:val="false"/>
                <w:caps w:val="false"/>
                <w:smallCaps w:val="false"/>
                <w:strike w:val="false"/>
                <w:dstrike w:val="false"/>
                <w:color w:val="000000"/>
                <w:position w:val="0"/>
                <w:sz w:val="24"/>
                <w:szCs w:val="24"/>
                <w:u w:val="none"/>
                <w:shd w:fill="auto" w:val="clear"/>
                <w:vertAlign w:val="baseline"/>
              </w:rPr>
              <w:t>Special Considerations</w:t>
            </w:r>
          </w:p>
        </w:tc>
      </w:tr>
      <w:tr>
        <w:trPr/>
        <w:tc>
          <w:tcPr>
            <w:tcW w:w="8486" w:type="dxa"/>
            <w:tcBorders>
              <w:left w:val="single" w:sz="4" w:space="0" w:color="999999"/>
              <w:bottom w:val="single" w:sz="4" w:space="0" w:color="999999"/>
            </w:tcBorders>
          </w:tcPr>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58"/>
              <w:ind w:right="0"/>
              <w:jc w:val="left"/>
              <w:rPr>
                <w:rFonts w:ascii="Liberation Serif" w:hAnsi="Liberation Serif"/>
                <w:sz w:val="24"/>
                <w:szCs w:val="24"/>
              </w:rPr>
            </w:pPr>
            <w:r>
              <w:rPr>
                <w:sz w:val="24"/>
                <w:szCs w:val="24"/>
              </w:rPr>
              <w:t>An Owner may request special consideration from the Board regarding the CC&amp;Rs. Approval of a request is made a the discretion of the Board, providing the Board acts in the best interests of MVAP as a whole. No modification of the setbacks shall be approved without the written approval of adjacent (within sight distance) property owners.</w:t>
            </w:r>
          </w:p>
        </w:tc>
        <w:tc>
          <w:tcPr>
            <w:tcW w:w="802" w:type="dxa"/>
            <w:tcBorders>
              <w:left w:val="single" w:sz="4" w:space="0" w:color="999999"/>
              <w:bottom w:val="single" w:sz="4" w:space="0" w:color="999999"/>
            </w:tcBorders>
          </w:tcPr>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c>
          <w:tcPr>
            <w:tcW w:w="687" w:type="dxa"/>
            <w:tcBorders>
              <w:left w:val="single" w:sz="4" w:space="0" w:color="999999"/>
              <w:bottom w:val="single" w:sz="4" w:space="0" w:color="999999"/>
              <w:right w:val="single" w:sz="4" w:space="0" w:color="999999"/>
            </w:tcBorders>
          </w:tcPr>
          <w:p>
            <w:pPr>
              <w:pStyle w:val="normal1"/>
              <w:widowControl w:val="false"/>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rPr>
                <w:rFonts w:ascii="Liberation Serif" w:hAnsi="Liberation Serif"/>
                <w:sz w:val="24"/>
                <w:szCs w:val="24"/>
              </w:rPr>
            </w:pPr>
            <w:r>
              <w:rPr>
                <w:sz w:val="24"/>
                <w:szCs w:val="24"/>
              </w:rPr>
            </w:r>
          </w:p>
        </w:tc>
      </w:tr>
    </w:tbl>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b w:val="false"/>
          <w:bCs w:val="false"/>
          <w:sz w:val="24"/>
          <w:szCs w:val="24"/>
        </w:rPr>
      </w:pPr>
      <w:r>
        <w:rPr>
          <w:rFonts w:eastAsia="Liberation Serif" w:cs="Liberation Serif"/>
          <w:b w:val="false"/>
          <w:bCs w:val="false"/>
          <w:sz w:val="24"/>
          <w:szCs w:val="24"/>
        </w:rPr>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b w:val="false"/>
          <w:bCs w:val="false"/>
          <w:sz w:val="24"/>
          <w:szCs w:val="24"/>
        </w:rPr>
      </w:pPr>
      <w:r>
        <w:rPr>
          <w:sz w:val="24"/>
          <w:szCs w:val="24"/>
        </w:rPr>
        <w:t>Ratification and Filing of New Covenants</w:t>
        <w:br/>
        <w:t xml:space="preserve">The Bylaws &amp; Covenants Committee has collected signatures from more than the required 75% of Mid Valley Air Park property owners. </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hanging="0" w:left="0" w:right="0"/>
        <w:jc w:val="left"/>
        <w:rPr>
          <w:rFonts w:ascii="Liberation Serif" w:hAnsi="Liberation Serif" w:eastAsia="Liberation Serif" w:cs="Liberation Serif"/>
          <w:b w:val="false"/>
          <w:bCs w:val="false"/>
          <w:sz w:val="24"/>
          <w:szCs w:val="24"/>
        </w:rPr>
      </w:pPr>
      <w:r>
        <w:rPr>
          <w:rFonts w:eastAsia="Liberation Serif" w:cs="Liberation Serif"/>
          <w:b w:val="false"/>
          <w:bCs w:val="false"/>
          <w:sz w:val="24"/>
          <w:szCs w:val="24"/>
        </w:rPr>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sz w:val="24"/>
          <w:szCs w:val="24"/>
        </w:rPr>
        <w:t>IN WITNESS WHEREOF, the undersigned Declarant (Official of the Mid Valley Air Park Property Owners Association) has executed this Declaration this [Day] day of [Month], [Year].</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sz w:val="24"/>
          <w:szCs w:val="24"/>
        </w:rPr>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sz w:val="24"/>
          <w:szCs w:val="24"/>
        </w:rPr>
      </w:pPr>
      <w:r>
        <w:rPr>
          <w:sz w:val="24"/>
          <w:szCs w:val="24"/>
        </w:rPr>
        <w:t xml:space="preserve">By:   </w:t>
      </w:r>
      <w:r>
        <w:rPr>
          <w:sz w:val="24"/>
          <w:szCs w:val="24"/>
          <w:u w:val="single"/>
        </w:rPr>
        <w:t xml:space="preserve">                                                   </w:t>
      </w:r>
      <w:r>
        <w:rPr>
          <w:sz w:val="24"/>
          <w:szCs w:val="24"/>
        </w:rPr>
        <w:br/>
        <w:t>[Name], Declarant for  Mid Valley Air Park Property Owners Association</w:t>
      </w:r>
    </w:p>
    <w:p>
      <w:pPr>
        <w:pStyle w:val="Normal"/>
        <w:tabs>
          <w:tab w:val="clear" w:pos="709"/>
          <w:tab w:val="left" w:pos="0" w:leader="none"/>
          <w:tab w:val="left" w:pos="360" w:leader="none"/>
          <w:tab w:val="left" w:pos="720" w:leader="none"/>
          <w:tab w:val="left" w:pos="1080" w:leader="none"/>
          <w:tab w:val="left" w:pos="1440" w:leader="none"/>
          <w:tab w:val="left" w:pos="1800" w:leader="none"/>
          <w:tab w:val="left" w:pos="2160" w:leader="none"/>
        </w:tabs>
        <w:bidi w:val="0"/>
        <w:spacing w:lineRule="auto" w:line="240" w:before="29" w:after="86"/>
        <w:ind w:right="0"/>
        <w:jc w:val="left"/>
        <w:rPr>
          <w:rFonts w:ascii="Liberation Serif" w:hAnsi="Liberation Serif"/>
          <w:b/>
          <w:bCs/>
          <w:sz w:val="24"/>
          <w:szCs w:val="24"/>
        </w:rPr>
      </w:pPr>
      <w:r>
        <w:rPr>
          <w:b/>
          <w:bCs/>
          <w:sz w:val="24"/>
          <w:szCs w:val="24"/>
        </w:rPr>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b/>
          <w:bCs/>
        </w:rPr>
      </w:pPr>
      <w:r>
        <w:rPr>
          <w:b/>
          <w:bCs/>
          <w:sz w:val="24"/>
          <w:szCs w:val="24"/>
        </w:rPr>
        <w:t>Addendum to CC&amp;Rs</w:t>
      </w:r>
    </w:p>
    <w:p>
      <w:pPr>
        <w:pStyle w:val="Default"/>
        <w:bidi w:val="0"/>
        <w:spacing w:lineRule="auto" w:line="240" w:before="29" w:after="115"/>
        <w:contextualSpacing/>
        <w:rPr>
          <w:rFonts w:ascii="Liberation Serif;Times New Roman" w:hAnsi="Liberation Serif;Times New Roman" w:cs="Liberation Serif;Times New Roman"/>
          <w:b/>
          <w:bCs/>
          <w:strike w:val="false"/>
          <w:dstrike w:val="false"/>
          <w:sz w:val="24"/>
          <w:szCs w:val="24"/>
          <w:u w:val="none"/>
        </w:rPr>
      </w:pPr>
      <w:r>
        <w:rPr>
          <w:rFonts w:cs="Liberation Serif;Times New Roman" w:ascii="Liberation Serif;Times New Roman" w:hAnsi="Liberation Serif;Times New Roman"/>
          <w:b w:val="false"/>
          <w:bCs w:val="false"/>
          <w:strike w:val="false"/>
          <w:dstrike w:val="false"/>
          <w:u w:val="none"/>
        </w:rPr>
        <w:t>Attachment 1 – Map of Mid Valley Air Park</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b w:val="false"/>
          <w:bCs w:val="false"/>
          <w:sz w:val="24"/>
          <w:szCs w:val="24"/>
        </w:rPr>
      </w:pPr>
      <w:r>
        <w:rPr>
          <w:b w:val="false"/>
          <w:bCs w:val="false"/>
          <w:sz w:val="24"/>
          <w:szCs w:val="24"/>
        </w:rPr>
        <w:t>Addendum A – Set Back Matrix</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b w:val="false"/>
          <w:bCs w:val="false"/>
          <w:sz w:val="24"/>
          <w:szCs w:val="24"/>
        </w:rPr>
      </w:pPr>
      <w:r>
        <w:rPr>
          <w:b w:val="false"/>
          <w:bCs w:val="false"/>
          <w:sz w:val="24"/>
          <w:szCs w:val="24"/>
        </w:rPr>
        <w:t>Addendum B – Poultry Permission and Scope</w:t>
      </w:r>
    </w:p>
    <w:p>
      <w:pPr>
        <w:pStyle w:val="Default"/>
        <w:bidi w:val="0"/>
        <w:spacing w:lineRule="auto" w:line="240" w:before="29" w:after="29"/>
        <w:rPr>
          <w:rFonts w:ascii="Liberation Serif;Times New Roman" w:hAnsi="Liberation Serif;Times New Roman" w:cs="Liberation Serif;Times New Roman"/>
          <w:b/>
          <w:bCs/>
          <w:strike w:val="false"/>
          <w:dstrike w:val="false"/>
          <w:sz w:val="24"/>
          <w:szCs w:val="24"/>
          <w:u w:val="none"/>
        </w:rPr>
      </w:pPr>
      <w:r>
        <w:rPr>
          <w:rFonts w:cs="Liberation Serif;Times New Roman" w:ascii="Liberation Serif;Times New Roman" w:hAnsi="Liberation Serif;Times New Roman"/>
          <w:b w:val="false"/>
          <w:bCs w:val="false"/>
          <w:strike w:val="false"/>
          <w:dstrike w:val="false"/>
          <w:u w:val="none"/>
        </w:rPr>
        <w:t xml:space="preserve">Addendum One (1) – Definition of Terms </w:t>
      </w:r>
    </w:p>
    <w:p>
      <w:pPr>
        <w:pStyle w:val="Default"/>
        <w:bidi w:val="0"/>
        <w:spacing w:lineRule="auto" w:line="240" w:before="29" w:after="115"/>
        <w:contextualSpacing/>
        <w:rPr>
          <w:rFonts w:ascii="Liberation Serif;Times New Roman" w:hAnsi="Liberation Serif;Times New Roman" w:cs="Liberation Serif;Times New Roman"/>
          <w:b/>
          <w:bCs/>
          <w:strike w:val="false"/>
          <w:dstrike w:val="false"/>
          <w:sz w:val="24"/>
          <w:szCs w:val="24"/>
          <w:u w:val="none"/>
        </w:rPr>
      </w:pPr>
      <w:r>
        <w:rPr>
          <w:rFonts w:cs="Liberation Serif;Times New Roman" w:ascii="Liberation Serif;Times New Roman" w:hAnsi="Liberation Serif;Times New Roman"/>
          <w:b w:val="false"/>
          <w:bCs w:val="false"/>
          <w:strike w:val="false"/>
          <w:dstrike w:val="false"/>
          <w:sz w:val="24"/>
          <w:szCs w:val="24"/>
          <w:u w:val="none"/>
        </w:rPr>
        <w:t>Addendum Three (3) – Architectural Review Committee (A Standing Committee) Charter and Procedures</w:t>
      </w:r>
    </w:p>
    <w:p>
      <w:pPr>
        <w:pStyle w:val="Default"/>
        <w:bidi w:val="0"/>
        <w:spacing w:lineRule="auto" w:line="240" w:before="29" w:after="115"/>
        <w:contextualSpacing/>
        <w:jc w:val="left"/>
        <w:rPr>
          <w:rFonts w:ascii="Liberation Serif;Times New Roman" w:hAnsi="Liberation Serif;Times New Roman" w:cs="Liberation Serif;Times New Roman"/>
          <w:b/>
          <w:bCs/>
          <w:sz w:val="24"/>
          <w:szCs w:val="24"/>
        </w:rPr>
      </w:pPr>
      <w:r>
        <w:rPr>
          <w:rFonts w:cs="Liberation Serif;Times New Roman" w:ascii="Liberation Serif;Times New Roman" w:hAnsi="Liberation Serif;Times New Roman"/>
          <w:b w:val="false"/>
          <w:bCs w:val="false"/>
          <w:strike w:val="false"/>
          <w:dstrike w:val="false"/>
          <w:sz w:val="24"/>
          <w:szCs w:val="24"/>
          <w:u w:val="none"/>
        </w:rPr>
        <w:t xml:space="preserve">Addendum Four (4) – </w:t>
      </w:r>
      <w:r>
        <w:rPr>
          <w:rFonts w:cs="Liberation Serif;Times New Roman" w:ascii="Liberation Serif;Times New Roman" w:hAnsi="Liberation Serif;Times New Roman"/>
          <w:b w:val="false"/>
          <w:bCs w:val="false"/>
          <w:i w:val="false"/>
          <w:strike w:val="false"/>
          <w:dstrike w:val="false"/>
          <w:sz w:val="24"/>
          <w:szCs w:val="24"/>
          <w:u w:val="none"/>
        </w:rPr>
        <w:t>Bylaws, Covenants, Conditions, &amp; Restrictions (CC&amp;Rs)</w:t>
      </w:r>
      <w:r>
        <w:rPr>
          <w:rFonts w:cs="Liberation Serif;Times New Roman" w:ascii="Liberation Serif;Times New Roman" w:hAnsi="Liberation Serif;Times New Roman"/>
          <w:b w:val="false"/>
          <w:bCs w:val="false"/>
          <w:strike w:val="false"/>
          <w:dstrike w:val="false"/>
          <w:sz w:val="24"/>
          <w:szCs w:val="24"/>
          <w:u w:val="none"/>
        </w:rPr>
        <w:t xml:space="preserve"> Committee (A Standing Committee) Charter and Procedures</w:t>
      </w:r>
    </w:p>
    <w:p>
      <w:pPr>
        <w:pStyle w:val="Default"/>
        <w:bidi w:val="0"/>
        <w:spacing w:lineRule="auto" w:line="240" w:before="29" w:after="115"/>
        <w:contextualSpacing/>
        <w:jc w:val="left"/>
        <w:rPr>
          <w:rFonts w:ascii="Liberation Serif;Times New Roman" w:hAnsi="Liberation Serif;Times New Roman" w:cs="Liberation Serif;Times New Roman"/>
          <w:b/>
          <w:bCs/>
          <w:sz w:val="24"/>
          <w:szCs w:val="24"/>
        </w:rPr>
      </w:pPr>
      <w:r>
        <w:rPr>
          <w:rFonts w:cs="Liberation Serif;Times New Roman" w:ascii="Liberation Serif;Times New Roman" w:hAnsi="Liberation Serif;Times New Roman"/>
          <w:b w:val="false"/>
          <w:bCs w:val="false"/>
          <w:sz w:val="24"/>
          <w:szCs w:val="24"/>
        </w:rPr>
        <w:t xml:space="preserve">Addendum Five (5) –  </w:t>
      </w:r>
      <w:r>
        <w:rPr>
          <w:rFonts w:cs="Liberation Serif;Times New Roman" w:ascii="Liberation Serif;Times New Roman" w:hAnsi="Liberation Serif;Times New Roman"/>
          <w:b w:val="false"/>
          <w:bCs w:val="false"/>
          <w:strike w:val="false"/>
          <w:dstrike w:val="false"/>
          <w:sz w:val="24"/>
          <w:szCs w:val="24"/>
          <w:u w:val="none"/>
        </w:rPr>
        <w:t>Fine Schedule</w:t>
        <w:tab/>
        <w:tab/>
        <w:tab/>
      </w:r>
    </w:p>
    <w:p>
      <w:pPr>
        <w:pStyle w:val="Default"/>
        <w:bidi w:val="0"/>
        <w:spacing w:lineRule="auto" w:line="240" w:before="29" w:after="115"/>
        <w:contextualSpacing/>
        <w:jc w:val="left"/>
        <w:rPr>
          <w:rFonts w:ascii="Liberation Serif;Times New Roman" w:hAnsi="Liberation Serif;Times New Roman" w:cs="Liberation Serif;Times New Roman"/>
          <w:b/>
          <w:bCs/>
          <w:sz w:val="24"/>
          <w:szCs w:val="24"/>
        </w:rPr>
      </w:pPr>
      <w:r>
        <w:rPr>
          <w:rFonts w:cs="Liberation Serif;Times New Roman" w:ascii="Liberation Serif;Times New Roman" w:hAnsi="Liberation Serif;Times New Roman"/>
          <w:b w:val="false"/>
          <w:bCs w:val="false"/>
          <w:sz w:val="24"/>
          <w:szCs w:val="24"/>
        </w:rPr>
        <w:t xml:space="preserve">Addendum Six (6) – </w:t>
      </w:r>
    </w:p>
    <w:p>
      <w:pPr>
        <w:pStyle w:val="Default"/>
        <w:bidi w:val="0"/>
        <w:spacing w:lineRule="auto" w:line="240" w:before="29" w:after="115"/>
        <w:contextualSpacing/>
        <w:jc w:val="left"/>
        <w:rPr>
          <w:rFonts w:ascii="Liberation Serif;Times New Roman" w:hAnsi="Liberation Serif;Times New Roman" w:cs="Liberation Serif;Times New Roman"/>
          <w:b/>
          <w:bCs/>
          <w:strike w:val="false"/>
          <w:dstrike w:val="false"/>
          <w:sz w:val="24"/>
          <w:szCs w:val="24"/>
          <w:u w:val="none"/>
        </w:rPr>
      </w:pPr>
      <w:r>
        <w:rPr>
          <w:rFonts w:cs="Liberation Serif;Times New Roman" w:ascii="Liberation Serif;Times New Roman" w:hAnsi="Liberation Serif;Times New Roman"/>
          <w:b w:val="false"/>
          <w:bCs w:val="false"/>
          <w:sz w:val="24"/>
          <w:szCs w:val="24"/>
        </w:rPr>
        <w:t xml:space="preserve">Addendum Seven (7) – </w:t>
      </w:r>
      <w:r>
        <w:rPr>
          <w:rFonts w:cs="Liberation Serif;Times New Roman" w:ascii="Liberation Serif;Times New Roman" w:hAnsi="Liberation Serif;Times New Roman"/>
          <w:b w:val="false"/>
          <w:bCs w:val="false"/>
          <w:strike w:val="false"/>
          <w:dstrike w:val="false"/>
          <w:color w:val="000000"/>
          <w:sz w:val="24"/>
          <w:szCs w:val="24"/>
          <w:u w:val="none"/>
        </w:rPr>
        <w:t>Mid Valley Air Park Airport Standard Operating Procedures and Rules</w:t>
      </w:r>
    </w:p>
    <w:p>
      <w:pPr>
        <w:pStyle w:val="Default"/>
        <w:bidi w:val="0"/>
        <w:spacing w:lineRule="auto" w:line="240" w:before="29" w:after="115"/>
        <w:contextualSpacing/>
        <w:jc w:val="left"/>
        <w:rPr>
          <w:rFonts w:ascii="Liberation Serif;Times New Roman" w:hAnsi="Liberation Serif;Times New Roman" w:cs="Liberation Serif;Times New Roman"/>
          <w:b w:val="false"/>
          <w:bCs w:val="false"/>
          <w:color w:val="000000"/>
          <w:sz w:val="24"/>
          <w:szCs w:val="24"/>
        </w:rPr>
      </w:pPr>
      <w:r>
        <w:rPr>
          <w:rFonts w:cs="Liberation Serif;Times New Roman" w:ascii="Liberation Serif;Times New Roman" w:hAnsi="Liberation Serif;Times New Roman"/>
          <w:b w:val="false"/>
          <w:bCs w:val="false"/>
          <w:strike w:val="false"/>
          <w:dstrike w:val="false"/>
          <w:sz w:val="24"/>
          <w:szCs w:val="24"/>
          <w:u w:val="none"/>
        </w:rPr>
        <w:t xml:space="preserve">Addendum Eight (8) –  </w:t>
      </w:r>
    </w:p>
    <w:p>
      <w:pPr>
        <w:pStyle w:val="normal1"/>
        <w:tabs>
          <w:tab w:val="clear" w:pos="709"/>
          <w:tab w:val="left" w:pos="0" w:leader="none"/>
          <w:tab w:val="left" w:pos="360" w:leader="none"/>
          <w:tab w:val="left" w:pos="720" w:leader="none"/>
          <w:tab w:val="left" w:pos="1080" w:leader="none"/>
          <w:tab w:val="left" w:pos="1440" w:leader="none"/>
          <w:tab w:val="left" w:pos="1800" w:leader="none"/>
          <w:tab w:val="left" w:pos="2160" w:leader="none"/>
        </w:tabs>
        <w:spacing w:lineRule="auto" w:line="240" w:before="29" w:after="86"/>
        <w:ind w:right="0"/>
        <w:jc w:val="left"/>
        <w:rPr>
          <w:rFonts w:ascii="Liberation Serif" w:hAnsi="Liberation Serif"/>
          <w:b w:val="false"/>
          <w:bCs w:val="false"/>
          <w:sz w:val="24"/>
          <w:szCs w:val="24"/>
        </w:rPr>
      </w:pPr>
      <w:r>
        <w:rPr>
          <w:b w:val="false"/>
          <w:bCs w:val="false"/>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r>
    </w:p>
    <w:p>
      <w:pPr>
        <w:pStyle w:val="Normal"/>
        <w:bidi w:val="0"/>
        <w:jc w:val="center"/>
        <w:rPr>
          <w:rFonts w:ascii="Liberation Serif" w:hAnsi="Liberation Serif"/>
          <w:b/>
          <w:bCs/>
          <w:sz w:val="24"/>
          <w:szCs w:val="24"/>
        </w:rPr>
      </w:pPr>
      <w:r>
        <w:rPr>
          <w:b/>
          <w:bCs/>
          <w:sz w:val="24"/>
          <w:szCs w:val="24"/>
        </w:rPr>
        <w:t>Mid Valley Air Park Property Owners Association CC&amp;Rs</w:t>
      </w:r>
    </w:p>
    <w:p>
      <w:pPr>
        <w:pStyle w:val="Normal"/>
        <w:bidi w:val="0"/>
        <w:jc w:val="center"/>
        <w:rPr>
          <w:rFonts w:ascii="Liberation Serif" w:hAnsi="Liberation Serif"/>
          <w:b/>
          <w:bCs/>
          <w:sz w:val="24"/>
          <w:szCs w:val="24"/>
        </w:rPr>
      </w:pPr>
      <w:r>
        <w:rPr>
          <w:b/>
          <w:bCs/>
          <w:sz w:val="24"/>
          <w:szCs w:val="24"/>
        </w:rPr>
        <w:t>Addendum A</w:t>
        <w:tab/>
        <w:tab/>
        <w:t>Set Back Matrix</w:t>
      </w:r>
    </w:p>
    <w:p>
      <w:pPr>
        <w:pStyle w:val="Normal"/>
        <w:bidi w:val="0"/>
        <w:jc w:val="left"/>
        <w:rPr>
          <w:rFonts w:ascii="Liberation Serif" w:hAnsi="Liberation Serif"/>
          <w:sz w:val="24"/>
          <w:szCs w:val="24"/>
        </w:rPr>
      </w:pPr>
      <w:r>
        <w:rPr>
          <w:sz w:val="24"/>
          <w:szCs w:val="24"/>
        </w:rPr>
      </w:r>
    </w:p>
    <w:tbl>
      <w:tblPr>
        <w:tblW w:w="10470" w:type="dxa"/>
        <w:jc w:val="left"/>
        <w:tblInd w:w="0" w:type="dxa"/>
        <w:tblLayout w:type="fixed"/>
        <w:tblCellMar>
          <w:top w:w="0" w:type="dxa"/>
          <w:left w:w="30" w:type="dxa"/>
          <w:bottom w:w="0" w:type="dxa"/>
          <w:right w:w="30" w:type="dxa"/>
        </w:tblCellMar>
      </w:tblPr>
      <w:tblGrid>
        <w:gridCol w:w="2280"/>
        <w:gridCol w:w="2340"/>
        <w:gridCol w:w="2968"/>
        <w:gridCol w:w="2882"/>
      </w:tblGrid>
      <w:tr>
        <w:trPr>
          <w:trHeight w:val="765" w:hRule="atLeast"/>
        </w:trPr>
        <w:tc>
          <w:tcPr>
            <w:tcW w:w="2280" w:type="dxa"/>
            <w:tcBorders/>
            <w:vAlign w:val="center"/>
          </w:tcPr>
          <w:p>
            <w:pPr>
              <w:pStyle w:val="Normal"/>
              <w:tabs>
                <w:tab w:val="clear" w:pos="709"/>
              </w:tabs>
              <w:bidi w:val="0"/>
              <w:jc w:val="center"/>
              <w:rPr>
                <w:rFonts w:ascii="Liberation Serif" w:hAnsi="Liberation Serif"/>
                <w:sz w:val="24"/>
                <w:szCs w:val="24"/>
              </w:rPr>
            </w:pPr>
            <w:r>
              <w:rPr>
                <w:b w:val="false"/>
                <w:bCs w:val="false"/>
                <w:sz w:val="24"/>
                <w:szCs w:val="24"/>
              </w:rPr>
              <w:t>Property Boundary Abuts</w:t>
            </w:r>
          </w:p>
        </w:tc>
        <w:tc>
          <w:tcPr>
            <w:tcW w:w="2340" w:type="dxa"/>
            <w:tcBorders/>
            <w:vAlign w:val="center"/>
          </w:tcPr>
          <w:p>
            <w:pPr>
              <w:pStyle w:val="Normal"/>
              <w:tabs>
                <w:tab w:val="clear" w:pos="709"/>
              </w:tabs>
              <w:bidi w:val="0"/>
              <w:jc w:val="center"/>
              <w:rPr>
                <w:rFonts w:ascii="Liberation Serif" w:hAnsi="Liberation Serif"/>
                <w:sz w:val="24"/>
                <w:szCs w:val="24"/>
              </w:rPr>
            </w:pPr>
            <w:r>
              <w:rPr>
                <w:b w:val="false"/>
                <w:bCs w:val="false"/>
                <w:sz w:val="24"/>
                <w:szCs w:val="24"/>
              </w:rPr>
              <w:t>Use / Structure Type</w:t>
            </w:r>
          </w:p>
        </w:tc>
        <w:tc>
          <w:tcPr>
            <w:tcW w:w="2968" w:type="dxa"/>
            <w:tcBorders/>
            <w:vAlign w:val="center"/>
          </w:tcPr>
          <w:p>
            <w:pPr>
              <w:pStyle w:val="Normal"/>
              <w:tabs>
                <w:tab w:val="clear" w:pos="709"/>
              </w:tabs>
              <w:bidi w:val="0"/>
              <w:jc w:val="center"/>
              <w:rPr>
                <w:rFonts w:ascii="Liberation Serif" w:hAnsi="Liberation Serif"/>
                <w:sz w:val="24"/>
                <w:szCs w:val="24"/>
              </w:rPr>
            </w:pPr>
            <w:r>
              <w:rPr>
                <w:b w:val="false"/>
                <w:bCs w:val="false"/>
                <w:sz w:val="24"/>
                <w:szCs w:val="24"/>
              </w:rPr>
              <w:t>Governing Setback Restriction</w:t>
            </w:r>
          </w:p>
        </w:tc>
        <w:tc>
          <w:tcPr>
            <w:tcW w:w="2882" w:type="dxa"/>
            <w:tcBorders/>
            <w:vAlign w:val="center"/>
          </w:tcPr>
          <w:p>
            <w:pPr>
              <w:pStyle w:val="Normal"/>
              <w:tabs>
                <w:tab w:val="clear" w:pos="709"/>
              </w:tabs>
              <w:bidi w:val="0"/>
              <w:jc w:val="center"/>
              <w:rPr>
                <w:rFonts w:ascii="Liberation Serif" w:hAnsi="Liberation Serif"/>
                <w:sz w:val="24"/>
                <w:szCs w:val="24"/>
              </w:rPr>
            </w:pPr>
            <w:r>
              <w:rPr>
                <w:b w:val="false"/>
                <w:bCs w:val="false"/>
                <w:sz w:val="24"/>
                <w:szCs w:val="24"/>
              </w:rPr>
              <w:t>Notes</w:t>
            </w:r>
          </w:p>
        </w:tc>
      </w:tr>
      <w:tr>
        <w:trPr>
          <w:trHeight w:val="1515" w:hRule="atLeast"/>
        </w:trPr>
        <w:tc>
          <w:tcPr>
            <w:tcW w:w="2280" w:type="dxa"/>
            <w:tcBorders/>
          </w:tcPr>
          <w:p>
            <w:pPr>
              <w:pStyle w:val="Normal"/>
              <w:tabs>
                <w:tab w:val="clear" w:pos="709"/>
              </w:tabs>
              <w:bidi w:val="0"/>
              <w:jc w:val="left"/>
              <w:rPr>
                <w:rFonts w:ascii="Liberation Serif" w:hAnsi="Liberation Serif"/>
                <w:sz w:val="24"/>
                <w:szCs w:val="24"/>
              </w:rPr>
            </w:pPr>
            <w:r>
              <w:rPr>
                <w:b w:val="false"/>
                <w:bCs w:val="false"/>
                <w:sz w:val="24"/>
                <w:szCs w:val="24"/>
              </w:rPr>
              <w:t>Auto-Plane Drive</w:t>
            </w:r>
          </w:p>
        </w:tc>
        <w:tc>
          <w:tcPr>
            <w:tcW w:w="2340" w:type="dxa"/>
            <w:tcBorders/>
          </w:tcPr>
          <w:p>
            <w:pPr>
              <w:pStyle w:val="Normal"/>
              <w:tabs>
                <w:tab w:val="clear" w:pos="709"/>
              </w:tabs>
              <w:bidi w:val="0"/>
              <w:jc w:val="left"/>
              <w:rPr>
                <w:rFonts w:ascii="Liberation Serif" w:hAnsi="Liberation Serif"/>
                <w:sz w:val="24"/>
                <w:szCs w:val="24"/>
              </w:rPr>
            </w:pPr>
            <w:r>
              <w:rPr>
                <w:b w:val="false"/>
                <w:bCs w:val="false"/>
                <w:sz w:val="24"/>
                <w:szCs w:val="24"/>
              </w:rPr>
              <w:t>Any Obstruction</w:t>
              <w:br/>
              <w:t>(Vehicle, motorhome, camper, boat, trailer, fence, wall, tree, etc.)</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25 feet from the centerline of any auto-plane drive.</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Applies to all properties. Additionally, objects within 10 feet of the edge of the auto-plane drive cannot be greater than 2 feet in height.</w:t>
            </w:r>
          </w:p>
        </w:tc>
      </w:tr>
      <w:tr>
        <w:trPr>
          <w:trHeight w:val="1440" w:hRule="atLeast"/>
        </w:trPr>
        <w:tc>
          <w:tcPr>
            <w:tcW w:w="2280" w:type="dxa"/>
            <w:tcBorders/>
          </w:tcPr>
          <w:p>
            <w:pPr>
              <w:pStyle w:val="Normal"/>
              <w:tabs>
                <w:tab w:val="clear" w:pos="709"/>
              </w:tabs>
              <w:bidi w:val="0"/>
              <w:jc w:val="left"/>
              <w:rPr>
                <w:rFonts w:ascii="Liberation Serif" w:hAnsi="Liberation Serif"/>
                <w:sz w:val="24"/>
                <w:szCs w:val="24"/>
              </w:rPr>
            </w:pPr>
            <w:r>
              <w:rPr>
                <w:b w:val="false"/>
                <w:bCs w:val="false"/>
                <w:sz w:val="24"/>
                <w:szCs w:val="24"/>
              </w:rPr>
              <w:t>Auto-Plane Drive</w:t>
              <w:br/>
              <w:t>(Any side bordered by an Auto-Plane Drive)</w:t>
            </w:r>
          </w:p>
        </w:tc>
        <w:tc>
          <w:tcPr>
            <w:tcW w:w="2340" w:type="dxa"/>
            <w:tcBorders/>
          </w:tcPr>
          <w:p>
            <w:pPr>
              <w:pStyle w:val="Normal"/>
              <w:tabs>
                <w:tab w:val="clear" w:pos="709"/>
              </w:tabs>
              <w:bidi w:val="0"/>
              <w:jc w:val="left"/>
              <w:rPr>
                <w:rFonts w:ascii="Liberation Serif" w:hAnsi="Liberation Serif"/>
                <w:sz w:val="24"/>
                <w:szCs w:val="24"/>
              </w:rPr>
            </w:pPr>
            <w:r>
              <w:rPr>
                <w:b w:val="false"/>
                <w:bCs w:val="false"/>
                <w:sz w:val="24"/>
                <w:szCs w:val="24"/>
              </w:rPr>
              <w:t>Any Structure</w:t>
              <w:br/>
              <w:t>(Does not include Fences or Walls)</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30 feet from the edge of the right-of-way OR 30 feet from the centerline, whichever is furthest.</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This setback is the required minimum for yards in both Rural Residential (RR) and Neighborhood Commercial (C-1) districts.</w:t>
            </w:r>
          </w:p>
        </w:tc>
      </w:tr>
      <w:tr>
        <w:trPr>
          <w:trHeight w:val="825" w:hRule="atLeast"/>
        </w:trPr>
        <w:tc>
          <w:tcPr>
            <w:tcW w:w="2280" w:type="dxa"/>
            <w:tcBorders/>
          </w:tcPr>
          <w:p>
            <w:pPr>
              <w:pStyle w:val="Normal"/>
              <w:tabs>
                <w:tab w:val="clear" w:pos="709"/>
              </w:tabs>
              <w:bidi w:val="0"/>
              <w:jc w:val="left"/>
              <w:rPr>
                <w:rFonts w:ascii="Liberation Serif" w:hAnsi="Liberation Serif"/>
                <w:sz w:val="24"/>
                <w:szCs w:val="24"/>
              </w:rPr>
            </w:pPr>
            <w:r>
              <w:rPr>
                <w:b w:val="false"/>
                <w:bCs w:val="false"/>
                <w:sz w:val="24"/>
                <w:szCs w:val="24"/>
              </w:rPr>
              <w:t>Private Property Line</w:t>
              <w:br/>
              <w:t>(Standard Side/Rear Yard)</w:t>
            </w:r>
          </w:p>
        </w:tc>
        <w:tc>
          <w:tcPr>
            <w:tcW w:w="2340" w:type="dxa"/>
            <w:tcBorders/>
          </w:tcPr>
          <w:p>
            <w:pPr>
              <w:pStyle w:val="Normal"/>
              <w:tabs>
                <w:tab w:val="clear" w:pos="709"/>
              </w:tabs>
              <w:bidi w:val="0"/>
              <w:jc w:val="left"/>
              <w:rPr>
                <w:rFonts w:ascii="Liberation Serif" w:hAnsi="Liberation Serif"/>
                <w:sz w:val="24"/>
                <w:szCs w:val="24"/>
              </w:rPr>
            </w:pPr>
            <w:r>
              <w:rPr>
                <w:b w:val="false"/>
                <w:bCs w:val="false"/>
                <w:sz w:val="24"/>
                <w:szCs w:val="24"/>
              </w:rPr>
              <w:t>Any Structure</w:t>
              <w:br/>
              <w:t>(RR-1, RR-2 Districts)</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15 feet from the property line.</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The minimum requirement for Rural Residential Districts.</w:t>
            </w:r>
          </w:p>
        </w:tc>
      </w:tr>
      <w:tr>
        <w:trPr>
          <w:trHeight w:val="1185" w:hRule="atLeast"/>
        </w:trPr>
        <w:tc>
          <w:tcPr>
            <w:tcW w:w="2280" w:type="dxa"/>
            <w:tcBorders/>
          </w:tcPr>
          <w:p>
            <w:pPr>
              <w:pStyle w:val="Normal"/>
              <w:tabs>
                <w:tab w:val="clear" w:pos="709"/>
              </w:tabs>
              <w:bidi w:val="0"/>
              <w:jc w:val="left"/>
              <w:rPr>
                <w:rFonts w:ascii="Liberation Serif" w:hAnsi="Liberation Serif"/>
                <w:sz w:val="24"/>
                <w:szCs w:val="24"/>
              </w:rPr>
            </w:pPr>
            <w:r>
              <w:rPr>
                <w:b w:val="false"/>
                <w:bCs w:val="false"/>
                <w:sz w:val="24"/>
                <w:szCs w:val="24"/>
              </w:rPr>
              <w:t>Private Property Line</w:t>
              <w:br/>
              <w:t>(Standard Side/Rear Yard)</w:t>
            </w:r>
          </w:p>
        </w:tc>
        <w:tc>
          <w:tcPr>
            <w:tcW w:w="2340" w:type="dxa"/>
            <w:tcBorders/>
          </w:tcPr>
          <w:p>
            <w:pPr>
              <w:pStyle w:val="Normal"/>
              <w:tabs>
                <w:tab w:val="clear" w:pos="709"/>
              </w:tabs>
              <w:bidi w:val="0"/>
              <w:jc w:val="left"/>
              <w:rPr>
                <w:rFonts w:ascii="Liberation Serif" w:hAnsi="Liberation Serif"/>
                <w:sz w:val="24"/>
                <w:szCs w:val="24"/>
              </w:rPr>
            </w:pPr>
            <w:r>
              <w:rPr>
                <w:b w:val="false"/>
                <w:bCs w:val="false"/>
                <w:sz w:val="24"/>
                <w:szCs w:val="24"/>
              </w:rPr>
              <w:t xml:space="preserve">Any Structure </w:t>
              <w:br/>
              <w:t>(C-1 District)</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25 feet from the property line.</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This is the most stringent setback for standard side/rear yards (Neighborhood Commercial District).</w:t>
            </w:r>
          </w:p>
        </w:tc>
      </w:tr>
      <w:tr>
        <w:trPr>
          <w:trHeight w:val="1365" w:hRule="atLeast"/>
        </w:trPr>
        <w:tc>
          <w:tcPr>
            <w:tcW w:w="2280" w:type="dxa"/>
            <w:tcBorders/>
          </w:tcPr>
          <w:p>
            <w:pPr>
              <w:pStyle w:val="Normal"/>
              <w:tabs>
                <w:tab w:val="clear" w:pos="709"/>
              </w:tabs>
              <w:bidi w:val="0"/>
              <w:jc w:val="left"/>
              <w:rPr>
                <w:rFonts w:ascii="Liberation Serif" w:hAnsi="Liberation Serif"/>
                <w:sz w:val="24"/>
                <w:szCs w:val="24"/>
              </w:rPr>
            </w:pPr>
            <w:r>
              <w:rPr>
                <w:b w:val="false"/>
                <w:bCs w:val="false"/>
                <w:sz w:val="24"/>
                <w:szCs w:val="24"/>
              </w:rPr>
              <w:t>Runway</w:t>
            </w:r>
          </w:p>
        </w:tc>
        <w:tc>
          <w:tcPr>
            <w:tcW w:w="2340" w:type="dxa"/>
            <w:tcBorders/>
          </w:tcPr>
          <w:p>
            <w:pPr>
              <w:pStyle w:val="Normal"/>
              <w:tabs>
                <w:tab w:val="clear" w:pos="709"/>
              </w:tabs>
              <w:bidi w:val="0"/>
              <w:jc w:val="left"/>
              <w:rPr>
                <w:rFonts w:ascii="Liberation Serif" w:hAnsi="Liberation Serif"/>
                <w:sz w:val="24"/>
                <w:szCs w:val="24"/>
              </w:rPr>
            </w:pPr>
            <w:r>
              <w:rPr>
                <w:b w:val="false"/>
                <w:bCs w:val="false"/>
                <w:sz w:val="24"/>
                <w:szCs w:val="24"/>
              </w:rPr>
              <w:t>Residential Structure (Heated Living Space)</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200 feet from the centerline of the North-South runway.</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This is the most stringent setback. Only applies to properties adjacent to the North-South runway taxiway.</w:t>
            </w:r>
          </w:p>
        </w:tc>
      </w:tr>
      <w:tr>
        <w:trPr>
          <w:trHeight w:val="1755" w:hRule="atLeast"/>
        </w:trPr>
        <w:tc>
          <w:tcPr>
            <w:tcW w:w="2280" w:type="dxa"/>
            <w:tcBorders/>
          </w:tcPr>
          <w:p>
            <w:pPr>
              <w:pStyle w:val="Normal"/>
              <w:tabs>
                <w:tab w:val="clear" w:pos="709"/>
              </w:tabs>
              <w:bidi w:val="0"/>
              <w:jc w:val="left"/>
              <w:rPr>
                <w:rFonts w:ascii="Liberation Serif" w:hAnsi="Liberation Serif"/>
                <w:b w:val="false"/>
                <w:bCs w:val="false"/>
                <w:sz w:val="24"/>
                <w:szCs w:val="24"/>
              </w:rPr>
            </w:pPr>
            <w:r>
              <w:rPr>
                <w:b w:val="false"/>
                <w:bCs w:val="false"/>
                <w:sz w:val="24"/>
                <w:szCs w:val="24"/>
              </w:rPr>
              <w:t xml:space="preserve">Runway </w:t>
            </w:r>
            <w:r>
              <w:rPr>
                <w:rFonts w:cs="Calibri"/>
                <w:i/>
                <w:iCs/>
                <w:sz w:val="24"/>
                <w:szCs w:val="24"/>
              </w:rPr>
              <w:t>This replaces the 1999 Runway Moratorium and is policy when considering architectural plans.</w:t>
            </w:r>
          </w:p>
        </w:tc>
        <w:tc>
          <w:tcPr>
            <w:tcW w:w="2340" w:type="dxa"/>
            <w:tcBorders/>
          </w:tcPr>
          <w:p>
            <w:pPr>
              <w:pStyle w:val="Normal"/>
              <w:tabs>
                <w:tab w:val="clear" w:pos="709"/>
              </w:tabs>
              <w:bidi w:val="0"/>
              <w:jc w:val="left"/>
              <w:rPr>
                <w:rFonts w:ascii="Liberation Serif" w:hAnsi="Liberation Serif"/>
                <w:sz w:val="24"/>
                <w:szCs w:val="24"/>
              </w:rPr>
            </w:pPr>
            <w:r>
              <w:rPr>
                <w:rFonts w:cs="Calibri"/>
                <w:b w:val="false"/>
                <w:bCs w:val="false"/>
                <w:sz w:val="24"/>
                <w:szCs w:val="24"/>
              </w:rPr>
              <w:t>Any new or modified Structure – house, hangar, or other.</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Height Restriction –</w:t>
            </w:r>
            <w:r>
              <w:rPr>
                <w:rFonts w:cs="Calibri"/>
                <w:b w:val="false"/>
                <w:bCs w:val="false"/>
                <w:sz w:val="24"/>
                <w:szCs w:val="24"/>
              </w:rPr>
              <w:t xml:space="preserve"> shall </w:t>
            </w:r>
            <w:r>
              <w:rPr>
                <w:rFonts w:cs="Calibri"/>
                <w:b w:val="false"/>
                <w:bCs w:val="false"/>
                <w:sz w:val="24"/>
                <w:szCs w:val="24"/>
              </w:rPr>
              <w:t>not be</w:t>
            </w:r>
            <w:r>
              <w:rPr>
                <w:rFonts w:cs="Calibri"/>
                <w:b w:val="false"/>
                <w:bCs w:val="false"/>
                <w:sz w:val="24"/>
                <w:szCs w:val="24"/>
              </w:rPr>
              <w:t xml:space="preserve"> placed closer than 160 feet from the centerline of the paved runway, and at that distance shall not exceed </w:t>
            </w:r>
            <w:r>
              <w:rPr>
                <w:rFonts w:eastAsia="NSimSun" w:cs="Calibri"/>
                <w:b w:val="false"/>
                <w:bCs w:val="false"/>
                <w:color w:val="auto"/>
                <w:kern w:val="2"/>
                <w:sz w:val="24"/>
                <w:szCs w:val="24"/>
              </w:rPr>
              <w:t>20 feet</w:t>
            </w:r>
            <w:r>
              <w:rPr>
                <w:rFonts w:cs="Calibri"/>
                <w:b w:val="false"/>
                <w:bCs w:val="false"/>
                <w:sz w:val="24"/>
                <w:szCs w:val="24"/>
              </w:rPr>
              <w:t xml:space="preserve"> in height.</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Only applies to properties adjacent to the North-South runway taxiway.</w:t>
            </w:r>
          </w:p>
          <w:p>
            <w:pPr>
              <w:pStyle w:val="Normal"/>
              <w:tabs>
                <w:tab w:val="clear" w:pos="709"/>
              </w:tabs>
              <w:bidi w:val="0"/>
              <w:jc w:val="left"/>
              <w:rPr>
                <w:rFonts w:ascii="Liberation Serif" w:hAnsi="Liberation Serif"/>
                <w:b w:val="false"/>
                <w:bCs w:val="false"/>
                <w:sz w:val="24"/>
                <w:szCs w:val="24"/>
              </w:rPr>
            </w:pPr>
            <w:r>
              <w:rPr>
                <w:b w:val="false"/>
                <w:bCs w:val="false"/>
                <w:sz w:val="24"/>
                <w:szCs w:val="24"/>
              </w:rPr>
            </w:r>
          </w:p>
          <w:p>
            <w:pPr>
              <w:pStyle w:val="Normal"/>
              <w:tabs>
                <w:tab w:val="clear" w:pos="709"/>
              </w:tabs>
              <w:bidi w:val="0"/>
              <w:jc w:val="left"/>
              <w:rPr>
                <w:rFonts w:cs="Calibri"/>
                <w:b w:val="false"/>
                <w:bCs w:val="false"/>
              </w:rPr>
            </w:pPr>
            <w:r>
              <w:rPr>
                <w:rFonts w:cs="Calibri"/>
                <w:b w:val="false"/>
                <w:bCs w:val="false"/>
              </w:rPr>
            </w:r>
          </w:p>
        </w:tc>
      </w:tr>
      <w:tr>
        <w:trPr>
          <w:trHeight w:val="1530" w:hRule="atLeast"/>
        </w:trPr>
        <w:tc>
          <w:tcPr>
            <w:tcW w:w="2280" w:type="dxa"/>
            <w:tcBorders/>
          </w:tcPr>
          <w:p>
            <w:pPr>
              <w:pStyle w:val="Normal"/>
              <w:tabs>
                <w:tab w:val="clear" w:pos="709"/>
              </w:tabs>
              <w:bidi w:val="0"/>
              <w:jc w:val="left"/>
              <w:rPr>
                <w:rFonts w:ascii="Liberation Serif" w:hAnsi="Liberation Serif"/>
                <w:sz w:val="24"/>
                <w:szCs w:val="24"/>
              </w:rPr>
            </w:pPr>
            <w:r>
              <w:rPr>
                <w:b w:val="false"/>
                <w:bCs w:val="false"/>
                <w:sz w:val="24"/>
                <w:szCs w:val="24"/>
              </w:rPr>
              <w:t>East-West Landing Area</w:t>
            </w:r>
          </w:p>
        </w:tc>
        <w:tc>
          <w:tcPr>
            <w:tcW w:w="2340" w:type="dxa"/>
            <w:tcBorders/>
          </w:tcPr>
          <w:p>
            <w:pPr>
              <w:pStyle w:val="Normal"/>
              <w:tabs>
                <w:tab w:val="clear" w:pos="709"/>
              </w:tabs>
              <w:bidi w:val="0"/>
              <w:jc w:val="left"/>
              <w:rPr>
                <w:rFonts w:ascii="Liberation Serif" w:hAnsi="Liberation Serif"/>
                <w:sz w:val="24"/>
                <w:szCs w:val="24"/>
              </w:rPr>
            </w:pPr>
            <w:r>
              <w:rPr>
                <w:b w:val="false"/>
                <w:bCs w:val="false"/>
                <w:sz w:val="24"/>
                <w:szCs w:val="24"/>
              </w:rPr>
              <w:t>Any Obstruction</w:t>
              <w:br/>
              <w:t>(Fence, wall, tree, structure, vehicle, motorhome, camper, boat, trailer, etc.)</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90 feet from the centerline of the East-West Landing Area.</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Only applies to properties adjacent to the East-West Landing Area.</w:t>
            </w:r>
          </w:p>
        </w:tc>
      </w:tr>
      <w:tr>
        <w:trPr>
          <w:trHeight w:val="1674" w:hRule="atLeast"/>
        </w:trPr>
        <w:tc>
          <w:tcPr>
            <w:tcW w:w="2280" w:type="dxa"/>
            <w:tcBorders/>
          </w:tcPr>
          <w:p>
            <w:pPr>
              <w:pStyle w:val="Normal"/>
              <w:tabs>
                <w:tab w:val="clear" w:pos="709"/>
              </w:tabs>
              <w:bidi w:val="0"/>
              <w:jc w:val="left"/>
              <w:rPr>
                <w:rFonts w:ascii="Liberation Serif" w:hAnsi="Liberation Serif"/>
                <w:sz w:val="24"/>
                <w:szCs w:val="24"/>
              </w:rPr>
            </w:pPr>
            <w:r>
              <w:rPr>
                <w:b w:val="false"/>
                <w:bCs w:val="false"/>
                <w:sz w:val="24"/>
                <w:szCs w:val="24"/>
              </w:rPr>
              <w:t>Taxiway</w:t>
              <w:br/>
              <w:t>(Paved Edge)</w:t>
            </w:r>
          </w:p>
        </w:tc>
        <w:tc>
          <w:tcPr>
            <w:tcW w:w="2340" w:type="dxa"/>
            <w:tcBorders/>
          </w:tcPr>
          <w:p>
            <w:pPr>
              <w:pStyle w:val="Normal"/>
              <w:tabs>
                <w:tab w:val="clear" w:pos="709"/>
              </w:tabs>
              <w:bidi w:val="0"/>
              <w:jc w:val="left"/>
              <w:rPr>
                <w:rFonts w:ascii="Liberation Serif" w:hAnsi="Liberation Serif"/>
                <w:sz w:val="24"/>
                <w:szCs w:val="24"/>
              </w:rPr>
            </w:pPr>
            <w:r>
              <w:rPr>
                <w:b w:val="false"/>
                <w:bCs w:val="false"/>
                <w:sz w:val="24"/>
                <w:szCs w:val="24"/>
              </w:rPr>
              <w:t xml:space="preserve">Any Obstruction </w:t>
            </w:r>
            <w:r>
              <w:rPr>
                <w:rFonts w:cs="Calibri"/>
                <w:b w:val="false"/>
                <w:bCs w:val="false"/>
                <w:sz w:val="24"/>
                <w:szCs w:val="24"/>
              </w:rPr>
              <w:t>exceeding 6 feet in height</w:t>
            </w:r>
            <w:r>
              <w:rPr>
                <w:b w:val="false"/>
                <w:bCs w:val="false"/>
                <w:sz w:val="24"/>
                <w:szCs w:val="24"/>
              </w:rPr>
              <w:t xml:space="preserve"> </w:t>
            </w:r>
            <w:r>
              <w:rPr>
                <w:rFonts w:cs="Calibri"/>
                <w:b w:val="false"/>
                <w:bCs w:val="false"/>
                <w:sz w:val="24"/>
                <w:szCs w:val="24"/>
              </w:rPr>
              <w:t>(including but not limited to walls, fences, trees, boat, trailer, vehicle, camper,  motorhome, etc.)</w:t>
            </w:r>
          </w:p>
        </w:tc>
        <w:tc>
          <w:tcPr>
            <w:tcW w:w="2968" w:type="dxa"/>
            <w:tcBorders/>
          </w:tcPr>
          <w:p>
            <w:pPr>
              <w:pStyle w:val="Normal"/>
              <w:tabs>
                <w:tab w:val="clear" w:pos="709"/>
              </w:tabs>
              <w:bidi w:val="0"/>
              <w:jc w:val="left"/>
              <w:rPr>
                <w:rFonts w:ascii="Liberation Serif" w:hAnsi="Liberation Serif"/>
                <w:sz w:val="24"/>
                <w:szCs w:val="24"/>
              </w:rPr>
            </w:pPr>
            <w:r>
              <w:rPr>
                <w:b w:val="false"/>
                <w:bCs w:val="false"/>
                <w:sz w:val="24"/>
                <w:szCs w:val="24"/>
              </w:rPr>
              <w:t>30 feet from the closest paved edge of the North-South taxiway.</w:t>
            </w:r>
          </w:p>
        </w:tc>
        <w:tc>
          <w:tcPr>
            <w:tcW w:w="2882" w:type="dxa"/>
            <w:tcBorders/>
          </w:tcPr>
          <w:p>
            <w:pPr>
              <w:pStyle w:val="Normal"/>
              <w:tabs>
                <w:tab w:val="clear" w:pos="709"/>
              </w:tabs>
              <w:bidi w:val="0"/>
              <w:jc w:val="left"/>
              <w:rPr>
                <w:rFonts w:ascii="Liberation Serif" w:hAnsi="Liberation Serif"/>
                <w:sz w:val="24"/>
                <w:szCs w:val="24"/>
              </w:rPr>
            </w:pPr>
            <w:r>
              <w:rPr>
                <w:b w:val="false"/>
                <w:bCs w:val="false"/>
                <w:sz w:val="24"/>
                <w:szCs w:val="24"/>
              </w:rPr>
              <w:t>Applies to properties adjacent to the North-South runway taxiway.</w:t>
            </w:r>
          </w:p>
        </w:tc>
      </w:tr>
    </w:tbl>
    <w:p>
      <w:pPr>
        <w:pStyle w:val="Normal"/>
        <w:bidi w:val="0"/>
        <w:jc w:val="left"/>
        <w:rPr>
          <w:rFonts w:cs="Liberation Serif;Times New Roman"/>
          <w:color w:val="000000"/>
        </w:rPr>
      </w:pPr>
      <w:r>
        <w:rPr>
          <w:rFonts w:cs="Liberation Serif;Times New Roman"/>
          <w:color w:val="000000"/>
        </w:rPr>
      </w:r>
    </w:p>
    <w:sectPr>
      <w:footerReference w:type="even" r:id="rId2"/>
      <w:footerReference w:type="default" r:id="rId3"/>
      <w:footerReference w:type="first" r:id="rId4"/>
      <w:type w:val="nextPage"/>
      <w:pgSz w:w="12240" w:h="15840"/>
      <w:pgMar w:left="1134" w:right="1134" w:gutter="0" w:header="0" w:top="1134" w:footer="568"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0" w:name="PageNumWizard_FOOTER_Default_Page_Style9"/>
    <w:r>
      <w:rPr/>
      <w:fldChar w:fldCharType="begin"/>
    </w:r>
    <w:r>
      <w:rPr/>
      <w:instrText xml:space="preserve"> PAGE </w:instrText>
    </w:r>
    <w:r>
      <w:rPr/>
      <w:fldChar w:fldCharType="separate"/>
    </w:r>
    <w:r>
      <w:rPr/>
      <w:t>10</w:t>
    </w:r>
    <w:r>
      <w:rPr/>
      <w:fldChar w:fldCharType="end"/>
    </w:r>
    <w:r>
      <w:rPr/>
      <w:t xml:space="preserve"> </w:t>
    </w:r>
    <w:r>
      <w:rPr/>
      <w:t>/ 1</w:t>
    </w:r>
    <w:bookmarkEnd w:id="0"/>
    <w:r>
      <w:rPr/>
      <w:t>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1" w:name="PageNumWizard_FOOTER_Default_Page_Style9"/>
    <w:r>
      <w:rPr/>
      <w:fldChar w:fldCharType="begin"/>
    </w:r>
    <w:r>
      <w:rPr/>
      <w:instrText xml:space="preserve"> PAGE </w:instrText>
    </w:r>
    <w:r>
      <w:rPr/>
      <w:fldChar w:fldCharType="separate"/>
    </w:r>
    <w:r>
      <w:rPr/>
      <w:t>10</w:t>
    </w:r>
    <w:r>
      <w:rPr/>
      <w:fldChar w:fldCharType="end"/>
    </w:r>
    <w:r>
      <w:rPr/>
      <w:t xml:space="preserve"> </w:t>
    </w:r>
    <w:r>
      <w:rPr/>
      <w:t>/ 1</w:t>
    </w:r>
    <w:bookmarkEnd w:id="1"/>
    <w:r>
      <w:rPr/>
      <w:t>0</w:t>
    </w:r>
  </w:p>
</w:ftr>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Lucida Sans"/>
      <w:color w:val="auto"/>
      <w:kern w:val="2"/>
      <w:sz w:val="24"/>
      <w:szCs w:val="24"/>
      <w:lang w:val="en-US" w:eastAsia="zh-CN" w:bidi="hi-IN"/>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lockQuotation">
    <w:name w:val="Block Quotation"/>
    <w:basedOn w:val="Normal"/>
    <w:qFormat/>
    <w:pPr>
      <w:spacing w:before="0" w:after="283"/>
      <w:ind w:hanging="0" w:left="567" w:right="567"/>
    </w:pPr>
    <w:rPr/>
  </w:style>
  <w:style w:type="paragraph" w:styleId="normal1">
    <w:name w:val="normal1"/>
    <w:qFormat/>
    <w:pPr>
      <w:widowControl/>
      <w:suppressAutoHyphens w:val="true"/>
      <w:overflowPunct w:val="true"/>
      <w:bidi w:val="0"/>
      <w:spacing w:before="0" w:after="0"/>
      <w:jc w:val="left"/>
    </w:pPr>
    <w:rPr>
      <w:rFonts w:ascii="Liberation Serif" w:hAnsi="Liberation Serif" w:eastAsia="Liberation Serif" w:cs="Liberation Serif"/>
      <w:color w:val="auto"/>
      <w:kern w:val="0"/>
      <w:sz w:val="24"/>
      <w:szCs w:val="24"/>
      <w:lang w:val="en-US" w:eastAsia="zh-CN" w:bidi="hi-I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Default">
    <w:name w:val="Default"/>
    <w:qFormat/>
    <w:pPr>
      <w:widowControl/>
      <w:suppressAutoHyphens w:val="true"/>
      <w:overflowPunct w:val="true"/>
      <w:bidi w:val="0"/>
      <w:spacing w:before="0" w:after="0"/>
      <w:jc w:val="left"/>
    </w:pPr>
    <w:rPr>
      <w:rFonts w:ascii="Arial" w:hAnsi="Arial" w:eastAsia="SimSun" w:cs="Arial"/>
      <w:color w:val="000000"/>
      <w:kern w:val="2"/>
      <w:sz w:val="24"/>
      <w:szCs w:val="24"/>
      <w:lang w:val="en-US" w:eastAsia="zh-CN" w:bidi="hi-IN"/>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Footer">
    <w:name w:val="foot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1739</TotalTime>
  <Application>LibreOffice/26.2.6.2$Windows_X86_64 LibreOffice_project/ad5cf9fd4989cacf0bca866ebefc0ec8926cb0b2</Application>
  <AppVersion>15.0000</AppVersion>
  <Pages>10</Pages>
  <Words>4429</Words>
  <Characters>24209</Characters>
  <CharactersWithSpaces>28565</CharactersWithSpaces>
  <Paragraphs>174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2026-09-29T13:11:38Z</dcterms:created>
  <dc:creator/>
  <dc:description/>
  <dc:language>en-US</dc:language>
  <cp:lastModifiedBy/>
  <dcterms:modified xsi:type="dcterms:W3CDTF">2026-10-01T11:34:39Z</dcterms:modified>
  <cp:revision>64</cp:revision>
  <dc:subject/>
  <dc:title/>
</cp:coreProperties>
</file>

<file path=docProps/custom.xml><?xml version="1.0" encoding="utf-8"?>
<Properties xmlns="http://schemas.openxmlformats.org/officeDocument/2006/custom-properties" xmlns:vt="http://schemas.openxmlformats.org/officeDocument/2006/docPropsVTypes"/>
</file>