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00A61" w14:textId="77777777" w:rsidR="002E7B6E" w:rsidRPr="002E7B6E" w:rsidRDefault="002E7B6E" w:rsidP="002E7B6E">
      <w:pPr>
        <w:rPr>
          <w:rFonts w:eastAsia="Times New Roman" w:cs="Times New Roman"/>
          <w:color w:val="000000"/>
          <w:sz w:val="22"/>
          <w:szCs w:val="22"/>
        </w:rPr>
      </w:pPr>
      <w:r w:rsidRPr="002E7B6E">
        <w:rPr>
          <w:rFonts w:eastAsia="Times New Roman" w:cs="Times New Roman"/>
          <w:b/>
          <w:bCs/>
          <w:color w:val="000000"/>
          <w:sz w:val="22"/>
          <w:szCs w:val="22"/>
        </w:rPr>
        <w:t>Email: </w:t>
      </w:r>
      <w:hyperlink r:id="rId5" w:tgtFrame="_blank" w:history="1">
        <w:r w:rsidRPr="002E7B6E">
          <w:rPr>
            <w:rFonts w:eastAsia="Times New Roman" w:cs="Times New Roman"/>
            <w:b/>
            <w:bCs/>
            <w:color w:val="0000FF"/>
            <w:sz w:val="22"/>
            <w:szCs w:val="22"/>
            <w:u w:val="single"/>
          </w:rPr>
          <w:t>fgc@fgc.ca.gov</w:t>
        </w:r>
      </w:hyperlink>
    </w:p>
    <w:p w14:paraId="4E2AF425" w14:textId="77777777" w:rsidR="002E7B6E" w:rsidRPr="002E7B6E" w:rsidRDefault="002E7B6E" w:rsidP="002E7B6E">
      <w:pPr>
        <w:rPr>
          <w:rFonts w:eastAsia="Times New Roman" w:cs="Times New Roman"/>
          <w:color w:val="000000"/>
          <w:sz w:val="22"/>
          <w:szCs w:val="22"/>
        </w:rPr>
      </w:pPr>
    </w:p>
    <w:p w14:paraId="60E4FF2A" w14:textId="77777777" w:rsidR="002E7B6E" w:rsidRPr="002E7B6E" w:rsidRDefault="002E7B6E" w:rsidP="002E7B6E">
      <w:pPr>
        <w:rPr>
          <w:rFonts w:eastAsia="Times New Roman" w:cs="Times New Roman"/>
          <w:color w:val="000000"/>
          <w:sz w:val="22"/>
          <w:szCs w:val="22"/>
        </w:rPr>
      </w:pPr>
      <w:r w:rsidRPr="002E7B6E">
        <w:rPr>
          <w:rFonts w:eastAsia="Times New Roman" w:cs="Times New Roman"/>
          <w:color w:val="000000"/>
          <w:sz w:val="22"/>
          <w:szCs w:val="22"/>
        </w:rPr>
        <w:t>[Date]</w:t>
      </w:r>
    </w:p>
    <w:p w14:paraId="4C1DD249" w14:textId="77777777" w:rsidR="002E7B6E" w:rsidRPr="002E7B6E" w:rsidRDefault="002E7B6E" w:rsidP="002E7B6E">
      <w:pPr>
        <w:rPr>
          <w:rFonts w:eastAsia="Times New Roman" w:cs="Times New Roman"/>
          <w:color w:val="000000"/>
          <w:sz w:val="22"/>
          <w:szCs w:val="22"/>
        </w:rPr>
      </w:pPr>
    </w:p>
    <w:p w14:paraId="2F19272B" w14:textId="77777777" w:rsidR="002E7B6E" w:rsidRPr="002E7B6E" w:rsidRDefault="002E7B6E" w:rsidP="002E7B6E">
      <w:pPr>
        <w:spacing w:before="100" w:beforeAutospacing="1" w:after="240"/>
        <w:rPr>
          <w:rFonts w:cs="Times New Roman"/>
          <w:color w:val="000000"/>
          <w:sz w:val="22"/>
          <w:szCs w:val="22"/>
        </w:rPr>
      </w:pPr>
      <w:r w:rsidRPr="002E7B6E">
        <w:rPr>
          <w:rFonts w:cs="Times New Roman"/>
          <w:b/>
          <w:bCs/>
          <w:color w:val="000000"/>
          <w:sz w:val="22"/>
          <w:szCs w:val="22"/>
        </w:rPr>
        <w:t>[Your Name]</w:t>
      </w:r>
      <w:bookmarkStart w:id="0" w:name="_GoBack"/>
      <w:bookmarkEnd w:id="0"/>
      <w:r w:rsidRPr="002E7B6E">
        <w:rPr>
          <w:rFonts w:cs="Times New Roman"/>
          <w:color w:val="000000"/>
          <w:sz w:val="22"/>
          <w:szCs w:val="22"/>
        </w:rPr>
        <w:br/>
        <w:t>Morongo Basin Resident</w:t>
      </w:r>
      <w:r w:rsidRPr="002E7B6E">
        <w:rPr>
          <w:rFonts w:cs="Times New Roman"/>
          <w:color w:val="000000"/>
          <w:sz w:val="22"/>
          <w:szCs w:val="22"/>
        </w:rPr>
        <w:br/>
        <w:t>[City]</w:t>
      </w:r>
      <w:r w:rsidRPr="002E7B6E">
        <w:rPr>
          <w:rFonts w:cs="Times New Roman"/>
          <w:color w:val="000000"/>
          <w:sz w:val="22"/>
          <w:szCs w:val="22"/>
        </w:rPr>
        <w:br/>
        <w:t>[Email Address]</w:t>
      </w:r>
    </w:p>
    <w:p w14:paraId="73005EA1" w14:textId="77777777" w:rsidR="002E7B6E" w:rsidRPr="002E7B6E" w:rsidRDefault="002E7B6E" w:rsidP="002E7B6E">
      <w:pPr>
        <w:spacing w:before="100" w:beforeAutospacing="1" w:after="100" w:afterAutospacing="1"/>
        <w:rPr>
          <w:rFonts w:cs="Times New Roman"/>
          <w:color w:val="000000"/>
          <w:sz w:val="22"/>
          <w:szCs w:val="22"/>
        </w:rPr>
      </w:pPr>
      <w:r w:rsidRPr="002E7B6E">
        <w:rPr>
          <w:rFonts w:cs="Times New Roman"/>
          <w:color w:val="000000"/>
          <w:sz w:val="22"/>
          <w:szCs w:val="22"/>
        </w:rPr>
        <w:t>California Fish and Game Commission</w:t>
      </w:r>
      <w:r w:rsidRPr="002E7B6E">
        <w:rPr>
          <w:rFonts w:cs="Times New Roman"/>
          <w:color w:val="000000"/>
          <w:sz w:val="22"/>
          <w:szCs w:val="22"/>
        </w:rPr>
        <w:br/>
        <w:t>P.O. Box 944209</w:t>
      </w:r>
      <w:r w:rsidRPr="002E7B6E">
        <w:rPr>
          <w:rFonts w:cs="Times New Roman"/>
          <w:color w:val="000000"/>
          <w:sz w:val="22"/>
          <w:szCs w:val="22"/>
        </w:rPr>
        <w:br/>
        <w:t>Sacramento, CA 94244-2090</w:t>
      </w:r>
    </w:p>
    <w:p w14:paraId="703B47A9" w14:textId="77777777" w:rsidR="002E7B6E" w:rsidRPr="002E7B6E" w:rsidRDefault="002E7B6E" w:rsidP="002E7B6E">
      <w:pPr>
        <w:spacing w:before="100" w:beforeAutospacing="1" w:after="100" w:afterAutospacing="1"/>
        <w:rPr>
          <w:rFonts w:cs="Times New Roman"/>
          <w:color w:val="000000"/>
          <w:sz w:val="22"/>
          <w:szCs w:val="22"/>
        </w:rPr>
      </w:pPr>
      <w:r w:rsidRPr="002E7B6E">
        <w:rPr>
          <w:rFonts w:cs="Times New Roman"/>
          <w:color w:val="000000"/>
          <w:sz w:val="22"/>
          <w:szCs w:val="22"/>
        </w:rPr>
        <w:br/>
      </w:r>
      <w:r w:rsidRPr="002E7B6E">
        <w:rPr>
          <w:rFonts w:cs="Times New Roman"/>
          <w:b/>
          <w:bCs/>
          <w:color w:val="000000"/>
          <w:sz w:val="22"/>
          <w:szCs w:val="22"/>
        </w:rPr>
        <w:t>Email: </w:t>
      </w:r>
      <w:hyperlink r:id="rId6" w:tgtFrame="_blank" w:history="1">
        <w:r w:rsidRPr="002E7B6E">
          <w:rPr>
            <w:rFonts w:cs="Times New Roman"/>
            <w:b/>
            <w:bCs/>
            <w:color w:val="0000FF"/>
            <w:sz w:val="22"/>
            <w:szCs w:val="22"/>
            <w:u w:val="single"/>
          </w:rPr>
          <w:t>fgc@fgc.ca.gov</w:t>
        </w:r>
      </w:hyperlink>
    </w:p>
    <w:p w14:paraId="2D39244B" w14:textId="77777777" w:rsidR="002E7B6E" w:rsidRPr="002E7B6E" w:rsidRDefault="002E7B6E" w:rsidP="002E7B6E">
      <w:pPr>
        <w:spacing w:before="100" w:beforeAutospacing="1" w:after="100" w:afterAutospacing="1"/>
        <w:rPr>
          <w:rFonts w:cs="Times New Roman"/>
          <w:color w:val="000000"/>
          <w:sz w:val="22"/>
          <w:szCs w:val="22"/>
        </w:rPr>
      </w:pPr>
    </w:p>
    <w:p w14:paraId="04321B81" w14:textId="77777777" w:rsidR="002E7B6E" w:rsidRPr="002E7B6E" w:rsidRDefault="002E7B6E" w:rsidP="002E7B6E">
      <w:pPr>
        <w:spacing w:before="100" w:beforeAutospacing="1" w:after="100" w:afterAutospacing="1"/>
        <w:rPr>
          <w:rFonts w:cs="Times New Roman"/>
          <w:color w:val="000000"/>
          <w:sz w:val="22"/>
          <w:szCs w:val="22"/>
        </w:rPr>
      </w:pPr>
      <w:r w:rsidRPr="002E7B6E">
        <w:rPr>
          <w:rFonts w:cs="Times New Roman"/>
          <w:b/>
          <w:bCs/>
          <w:color w:val="000000"/>
          <w:sz w:val="22"/>
          <w:szCs w:val="22"/>
        </w:rPr>
        <w:t>Subject:</w:t>
      </w:r>
      <w:r w:rsidRPr="002E7B6E">
        <w:rPr>
          <w:rFonts w:cs="Times New Roman"/>
          <w:color w:val="000000"/>
          <w:sz w:val="22"/>
          <w:szCs w:val="22"/>
        </w:rPr>
        <w:t>  Urgent Need for Reform, Transparency, and Community Protections when implementing the Western Joshua Conservation Act and Plan</w:t>
      </w:r>
    </w:p>
    <w:p w14:paraId="1155D791" w14:textId="77777777" w:rsidR="002E7B6E" w:rsidRPr="002E7B6E" w:rsidRDefault="002E7B6E" w:rsidP="002E7B6E">
      <w:pPr>
        <w:spacing w:before="100" w:beforeAutospacing="1" w:after="100" w:afterAutospacing="1"/>
        <w:rPr>
          <w:rFonts w:cs="Times New Roman"/>
          <w:color w:val="000000"/>
          <w:sz w:val="22"/>
          <w:szCs w:val="22"/>
        </w:rPr>
      </w:pPr>
    </w:p>
    <w:p w14:paraId="253B95E4" w14:textId="77777777" w:rsidR="002E7B6E" w:rsidRPr="002E7B6E" w:rsidRDefault="002E7B6E" w:rsidP="002E7B6E">
      <w:pPr>
        <w:spacing w:before="100" w:beforeAutospacing="1" w:after="100" w:afterAutospacing="1"/>
        <w:rPr>
          <w:rFonts w:cs="Times New Roman"/>
          <w:color w:val="000000"/>
          <w:sz w:val="22"/>
          <w:szCs w:val="22"/>
        </w:rPr>
      </w:pPr>
      <w:r w:rsidRPr="002E7B6E">
        <w:rPr>
          <w:rFonts w:cs="Times New Roman"/>
          <w:color w:val="000000"/>
          <w:sz w:val="22"/>
          <w:szCs w:val="22"/>
        </w:rPr>
        <w:t>Dear Commissioners,</w:t>
      </w:r>
    </w:p>
    <w:p w14:paraId="79F218DA" w14:textId="77777777" w:rsidR="002E7B6E" w:rsidRPr="002E7B6E" w:rsidRDefault="002E7B6E" w:rsidP="002E7B6E">
      <w:pPr>
        <w:spacing w:before="100" w:beforeAutospacing="1" w:after="100" w:afterAutospacing="1"/>
        <w:rPr>
          <w:rFonts w:cs="Times New Roman"/>
          <w:color w:val="000000"/>
          <w:sz w:val="22"/>
          <w:szCs w:val="22"/>
        </w:rPr>
      </w:pPr>
      <w:r w:rsidRPr="002E7B6E">
        <w:rPr>
          <w:rFonts w:cs="Times New Roman"/>
          <w:color w:val="000000"/>
          <w:sz w:val="22"/>
          <w:szCs w:val="22"/>
        </w:rPr>
        <w:t>As a resident of the Morongo Basin and part of a community that lives alongside the Western Joshua tree every day, I am compelled to submit this letter to raise urgent concerns regarding the Western Joshua Tree Conservation Act (</w:t>
      </w:r>
      <w:proofErr w:type="spellStart"/>
      <w:r w:rsidRPr="002E7B6E">
        <w:rPr>
          <w:rFonts w:cs="Times New Roman"/>
          <w:color w:val="000000"/>
          <w:sz w:val="22"/>
          <w:szCs w:val="22"/>
        </w:rPr>
        <w:t>Act</w:t>
      </w:r>
      <w:proofErr w:type="spellEnd"/>
      <w:r w:rsidRPr="002E7B6E">
        <w:rPr>
          <w:rFonts w:cs="Times New Roman"/>
          <w:color w:val="000000"/>
          <w:sz w:val="22"/>
          <w:szCs w:val="22"/>
        </w:rPr>
        <w:t>) and the Draft Conservation Plan.</w:t>
      </w:r>
    </w:p>
    <w:p w14:paraId="57B058E8" w14:textId="77777777" w:rsidR="002E7B6E" w:rsidRPr="002E7B6E" w:rsidRDefault="002E7B6E" w:rsidP="002E7B6E">
      <w:pPr>
        <w:spacing w:before="100" w:beforeAutospacing="1" w:after="100" w:afterAutospacing="1"/>
        <w:rPr>
          <w:rFonts w:cs="Times New Roman"/>
          <w:color w:val="000000"/>
          <w:sz w:val="22"/>
          <w:szCs w:val="22"/>
        </w:rPr>
      </w:pPr>
    </w:p>
    <w:p w14:paraId="234FA3E9" w14:textId="77777777" w:rsidR="002E7B6E" w:rsidRPr="002E7B6E" w:rsidRDefault="002E7B6E" w:rsidP="002E7B6E">
      <w:pPr>
        <w:spacing w:before="100" w:beforeAutospacing="1" w:after="100" w:afterAutospacing="1"/>
        <w:rPr>
          <w:rFonts w:cs="Times New Roman"/>
          <w:color w:val="000000"/>
          <w:sz w:val="22"/>
          <w:szCs w:val="22"/>
        </w:rPr>
      </w:pPr>
      <w:r w:rsidRPr="002E7B6E">
        <w:rPr>
          <w:rFonts w:cs="Times New Roman"/>
          <w:b/>
          <w:bCs/>
          <w:color w:val="000000"/>
          <w:sz w:val="22"/>
          <w:szCs w:val="22"/>
        </w:rPr>
        <w:t xml:space="preserve">Groundbreaking Precedent </w:t>
      </w:r>
      <w:proofErr w:type="gramStart"/>
      <w:r w:rsidRPr="002E7B6E">
        <w:rPr>
          <w:rFonts w:cs="Times New Roman"/>
          <w:b/>
          <w:bCs/>
          <w:color w:val="000000"/>
          <w:sz w:val="22"/>
          <w:szCs w:val="22"/>
        </w:rPr>
        <w:t>But</w:t>
      </w:r>
      <w:proofErr w:type="gramEnd"/>
      <w:r w:rsidRPr="002E7B6E">
        <w:rPr>
          <w:rFonts w:cs="Times New Roman"/>
          <w:b/>
          <w:bCs/>
          <w:color w:val="000000"/>
          <w:sz w:val="22"/>
          <w:szCs w:val="22"/>
        </w:rPr>
        <w:t xml:space="preserve"> a Flawed Process with Harmful Impacts</w:t>
      </w:r>
    </w:p>
    <w:p w14:paraId="414FDD23" w14:textId="77777777" w:rsidR="002E7B6E" w:rsidRPr="002E7B6E" w:rsidRDefault="002E7B6E" w:rsidP="002E7B6E">
      <w:pPr>
        <w:spacing w:before="100" w:beforeAutospacing="1" w:after="100" w:afterAutospacing="1"/>
        <w:rPr>
          <w:rFonts w:cs="Times New Roman"/>
          <w:color w:val="000000"/>
          <w:sz w:val="22"/>
          <w:szCs w:val="22"/>
        </w:rPr>
      </w:pPr>
      <w:r w:rsidRPr="002E7B6E">
        <w:rPr>
          <w:rFonts w:cs="Times New Roman"/>
          <w:color w:val="000000"/>
          <w:sz w:val="22"/>
          <w:szCs w:val="22"/>
        </w:rPr>
        <w:t>The Western Joshua Tree Conservation Act represents a </w:t>
      </w:r>
      <w:r w:rsidRPr="002E7B6E">
        <w:rPr>
          <w:rFonts w:cs="Times New Roman"/>
          <w:b/>
          <w:bCs/>
          <w:color w:val="000000"/>
          <w:sz w:val="22"/>
          <w:szCs w:val="22"/>
        </w:rPr>
        <w:t>groundbreaking precedent in California</w:t>
      </w:r>
      <w:r w:rsidRPr="002E7B6E">
        <w:rPr>
          <w:rFonts w:cs="Times New Roman"/>
          <w:color w:val="000000"/>
          <w:sz w:val="22"/>
          <w:szCs w:val="22"/>
        </w:rPr>
        <w:t>: It is the first time a plant species has been subject to such complex and restrictive land use permitting processes, coupled with high fees and mitigation costs. The Act is setting the stage for unprecedented regulation of private property, community growth, and infrastructure development.</w:t>
      </w:r>
    </w:p>
    <w:p w14:paraId="2FE36A19" w14:textId="77777777" w:rsidR="002E7B6E" w:rsidRPr="002E7B6E" w:rsidRDefault="002E7B6E" w:rsidP="002E7B6E">
      <w:pPr>
        <w:spacing w:before="100" w:beforeAutospacing="1" w:after="100" w:afterAutospacing="1"/>
        <w:rPr>
          <w:rFonts w:cs="Times New Roman"/>
          <w:color w:val="000000"/>
          <w:sz w:val="22"/>
          <w:szCs w:val="22"/>
        </w:rPr>
      </w:pPr>
    </w:p>
    <w:p w14:paraId="426A0784" w14:textId="77777777" w:rsidR="002E7B6E" w:rsidRPr="002E7B6E" w:rsidRDefault="002E7B6E" w:rsidP="002E7B6E">
      <w:pPr>
        <w:spacing w:before="100" w:beforeAutospacing="1" w:after="100" w:afterAutospacing="1"/>
        <w:rPr>
          <w:rFonts w:cs="Times New Roman"/>
          <w:color w:val="000000"/>
          <w:sz w:val="22"/>
          <w:szCs w:val="22"/>
        </w:rPr>
      </w:pPr>
      <w:r w:rsidRPr="002E7B6E">
        <w:rPr>
          <w:rFonts w:cs="Times New Roman"/>
          <w:color w:val="000000"/>
          <w:sz w:val="22"/>
          <w:szCs w:val="22"/>
        </w:rPr>
        <w:t>However, this precedent has been created through a </w:t>
      </w:r>
      <w:r w:rsidRPr="002E7B6E">
        <w:rPr>
          <w:rFonts w:cs="Times New Roman"/>
          <w:b/>
          <w:bCs/>
          <w:color w:val="000000"/>
          <w:sz w:val="22"/>
          <w:szCs w:val="22"/>
        </w:rPr>
        <w:t>deeply flawed process</w:t>
      </w:r>
      <w:r w:rsidRPr="002E7B6E">
        <w:rPr>
          <w:rFonts w:cs="Times New Roman"/>
          <w:color w:val="000000"/>
          <w:sz w:val="22"/>
          <w:szCs w:val="22"/>
        </w:rPr>
        <w:t>:</w:t>
      </w:r>
    </w:p>
    <w:p w14:paraId="78AF22E6" w14:textId="77777777" w:rsidR="002E7B6E" w:rsidRPr="002E7B6E" w:rsidRDefault="002E7B6E" w:rsidP="002E7B6E">
      <w:pPr>
        <w:numPr>
          <w:ilvl w:val="0"/>
          <w:numId w:val="1"/>
        </w:numPr>
        <w:spacing w:before="100" w:beforeAutospacing="1" w:after="100" w:afterAutospacing="1"/>
        <w:ind w:left="945"/>
        <w:rPr>
          <w:rFonts w:eastAsia="Times New Roman" w:cs="Times New Roman"/>
          <w:color w:val="000000"/>
          <w:sz w:val="22"/>
          <w:szCs w:val="22"/>
        </w:rPr>
      </w:pPr>
      <w:r w:rsidRPr="002E7B6E">
        <w:rPr>
          <w:rFonts w:eastAsia="Times New Roman" w:cs="Times New Roman"/>
          <w:color w:val="000000"/>
          <w:sz w:val="22"/>
          <w:szCs w:val="22"/>
        </w:rPr>
        <w:t>The Act was passed as part of the state budget, </w:t>
      </w:r>
      <w:r w:rsidRPr="002E7B6E">
        <w:rPr>
          <w:rFonts w:eastAsia="Times New Roman" w:cs="Times New Roman"/>
          <w:b/>
          <w:bCs/>
          <w:color w:val="000000"/>
          <w:sz w:val="22"/>
          <w:szCs w:val="22"/>
        </w:rPr>
        <w:t>behind closed doors</w:t>
      </w:r>
      <w:r w:rsidRPr="002E7B6E">
        <w:rPr>
          <w:rFonts w:eastAsia="Times New Roman" w:cs="Times New Roman"/>
          <w:color w:val="000000"/>
          <w:sz w:val="22"/>
          <w:szCs w:val="22"/>
        </w:rPr>
        <w:t>, without meaningful public review, input from local governments, or the communities most affected.</w:t>
      </w:r>
    </w:p>
    <w:p w14:paraId="71DACA7C" w14:textId="77777777" w:rsidR="002E7B6E" w:rsidRPr="002E7B6E" w:rsidRDefault="002E7B6E" w:rsidP="002E7B6E">
      <w:pPr>
        <w:numPr>
          <w:ilvl w:val="0"/>
          <w:numId w:val="1"/>
        </w:numPr>
        <w:spacing w:before="100" w:beforeAutospacing="1" w:after="100" w:afterAutospacing="1"/>
        <w:ind w:left="945"/>
        <w:rPr>
          <w:rFonts w:eastAsia="Times New Roman" w:cs="Times New Roman"/>
          <w:color w:val="000000"/>
          <w:sz w:val="22"/>
          <w:szCs w:val="22"/>
        </w:rPr>
      </w:pPr>
      <w:r w:rsidRPr="002E7B6E">
        <w:rPr>
          <w:rFonts w:eastAsia="Times New Roman" w:cs="Times New Roman"/>
          <w:color w:val="000000"/>
          <w:sz w:val="22"/>
          <w:szCs w:val="22"/>
        </w:rPr>
        <w:t>The resulting regulations are </w:t>
      </w:r>
      <w:r w:rsidRPr="002E7B6E">
        <w:rPr>
          <w:rFonts w:eastAsia="Times New Roman" w:cs="Times New Roman"/>
          <w:b/>
          <w:bCs/>
          <w:color w:val="000000"/>
          <w:sz w:val="22"/>
          <w:szCs w:val="22"/>
        </w:rPr>
        <w:t>confusing, inconsistent, and burdensome</w:t>
      </w:r>
      <w:r w:rsidRPr="002E7B6E">
        <w:rPr>
          <w:rFonts w:eastAsia="Times New Roman" w:cs="Times New Roman"/>
          <w:color w:val="000000"/>
          <w:sz w:val="22"/>
          <w:szCs w:val="22"/>
        </w:rPr>
        <w:t> for residents and agencies.</w:t>
      </w:r>
    </w:p>
    <w:p w14:paraId="7196FDD7" w14:textId="77777777" w:rsidR="002E7B6E" w:rsidRPr="002E7B6E" w:rsidRDefault="002E7B6E" w:rsidP="002E7B6E">
      <w:pPr>
        <w:numPr>
          <w:ilvl w:val="0"/>
          <w:numId w:val="1"/>
        </w:numPr>
        <w:spacing w:before="100" w:beforeAutospacing="1" w:after="100" w:afterAutospacing="1"/>
        <w:ind w:left="945"/>
        <w:rPr>
          <w:rFonts w:eastAsia="Times New Roman" w:cs="Times New Roman"/>
          <w:color w:val="000000"/>
          <w:sz w:val="22"/>
          <w:szCs w:val="22"/>
        </w:rPr>
      </w:pPr>
      <w:r w:rsidRPr="002E7B6E">
        <w:rPr>
          <w:rFonts w:eastAsia="Times New Roman" w:cs="Times New Roman"/>
          <w:color w:val="000000"/>
          <w:sz w:val="22"/>
          <w:szCs w:val="22"/>
        </w:rPr>
        <w:lastRenderedPageBreak/>
        <w:t>The Department is attempting to </w:t>
      </w:r>
      <w:r w:rsidRPr="002E7B6E">
        <w:rPr>
          <w:rFonts w:eastAsia="Times New Roman" w:cs="Times New Roman"/>
          <w:b/>
          <w:bCs/>
          <w:color w:val="000000"/>
          <w:sz w:val="22"/>
          <w:szCs w:val="22"/>
        </w:rPr>
        <w:t>delegate permit authority</w:t>
      </w:r>
      <w:r w:rsidRPr="002E7B6E">
        <w:rPr>
          <w:rFonts w:eastAsia="Times New Roman" w:cs="Times New Roman"/>
          <w:color w:val="000000"/>
          <w:sz w:val="22"/>
          <w:szCs w:val="22"/>
        </w:rPr>
        <w:t> to local governments—yet these agencies were not consulted in developing the Act or the permitting rules and many have </w:t>
      </w:r>
      <w:r w:rsidRPr="002E7B6E">
        <w:rPr>
          <w:rFonts w:eastAsia="Times New Roman" w:cs="Times New Roman"/>
          <w:b/>
          <w:bCs/>
          <w:color w:val="000000"/>
          <w:sz w:val="22"/>
          <w:szCs w:val="22"/>
        </w:rPr>
        <w:t>no interest in administering complex, unworkable rules</w:t>
      </w:r>
      <w:r w:rsidRPr="002E7B6E">
        <w:rPr>
          <w:rFonts w:eastAsia="Times New Roman" w:cs="Times New Roman"/>
          <w:color w:val="000000"/>
          <w:sz w:val="22"/>
          <w:szCs w:val="22"/>
        </w:rPr>
        <w:t>.</w:t>
      </w:r>
    </w:p>
    <w:p w14:paraId="4895189E" w14:textId="77777777" w:rsidR="002E7B6E" w:rsidRPr="002E7B6E" w:rsidRDefault="002E7B6E" w:rsidP="002E7B6E">
      <w:pPr>
        <w:rPr>
          <w:rFonts w:eastAsia="Times New Roman" w:cs="Times New Roman"/>
          <w:color w:val="000000"/>
          <w:sz w:val="22"/>
          <w:szCs w:val="22"/>
        </w:rPr>
      </w:pPr>
    </w:p>
    <w:p w14:paraId="1ADE3473" w14:textId="77777777" w:rsidR="002E7B6E" w:rsidRPr="002E7B6E" w:rsidRDefault="002E7B6E" w:rsidP="002E7B6E">
      <w:pPr>
        <w:spacing w:before="100" w:beforeAutospacing="1" w:after="100" w:afterAutospacing="1"/>
        <w:rPr>
          <w:rFonts w:cs="Times New Roman"/>
          <w:color w:val="000000"/>
          <w:sz w:val="22"/>
          <w:szCs w:val="22"/>
        </w:rPr>
      </w:pPr>
      <w:r w:rsidRPr="002E7B6E">
        <w:rPr>
          <w:rFonts w:cs="Times New Roman"/>
          <w:b/>
          <w:bCs/>
          <w:color w:val="000000"/>
          <w:sz w:val="22"/>
          <w:szCs w:val="22"/>
        </w:rPr>
        <w:t>Harming Housing, Infrastructure, and Public Needs</w:t>
      </w:r>
    </w:p>
    <w:p w14:paraId="598EEB74" w14:textId="77777777" w:rsidR="002E7B6E" w:rsidRPr="002E7B6E" w:rsidRDefault="002E7B6E" w:rsidP="002E7B6E">
      <w:pPr>
        <w:spacing w:before="100" w:beforeAutospacing="1" w:after="100" w:afterAutospacing="1"/>
        <w:rPr>
          <w:rFonts w:cs="Times New Roman"/>
          <w:color w:val="000000"/>
          <w:sz w:val="22"/>
          <w:szCs w:val="22"/>
        </w:rPr>
      </w:pPr>
    </w:p>
    <w:p w14:paraId="5AEBAC83" w14:textId="77777777" w:rsidR="002E7B6E" w:rsidRPr="002E7B6E" w:rsidRDefault="002E7B6E" w:rsidP="002E7B6E">
      <w:pPr>
        <w:spacing w:before="100" w:beforeAutospacing="1" w:after="100" w:afterAutospacing="1"/>
        <w:rPr>
          <w:rFonts w:cs="Times New Roman"/>
          <w:color w:val="000000"/>
          <w:sz w:val="22"/>
          <w:szCs w:val="22"/>
        </w:rPr>
      </w:pPr>
      <w:r w:rsidRPr="002E7B6E">
        <w:rPr>
          <w:rFonts w:cs="Times New Roman"/>
          <w:color w:val="000000"/>
          <w:sz w:val="22"/>
          <w:szCs w:val="22"/>
        </w:rPr>
        <w:t>The Act and Plan are already creating significant harm to:</w:t>
      </w:r>
    </w:p>
    <w:p w14:paraId="1E460298" w14:textId="77777777" w:rsidR="002E7B6E" w:rsidRPr="002E7B6E" w:rsidRDefault="002E7B6E" w:rsidP="002E7B6E">
      <w:pPr>
        <w:numPr>
          <w:ilvl w:val="0"/>
          <w:numId w:val="2"/>
        </w:numPr>
        <w:spacing w:before="100" w:beforeAutospacing="1" w:after="100" w:afterAutospacing="1"/>
        <w:ind w:left="945"/>
        <w:rPr>
          <w:rFonts w:eastAsia="Times New Roman" w:cs="Times New Roman"/>
          <w:color w:val="000000"/>
          <w:sz w:val="22"/>
          <w:szCs w:val="22"/>
        </w:rPr>
      </w:pPr>
      <w:r w:rsidRPr="002E7B6E">
        <w:rPr>
          <w:rFonts w:eastAsia="Times New Roman" w:cs="Times New Roman"/>
          <w:b/>
          <w:bCs/>
          <w:color w:val="000000"/>
          <w:sz w:val="22"/>
          <w:szCs w:val="22"/>
        </w:rPr>
        <w:t>Homeowners and housing developers</w:t>
      </w:r>
      <w:r w:rsidRPr="002E7B6E">
        <w:rPr>
          <w:rFonts w:eastAsia="Times New Roman" w:cs="Times New Roman"/>
          <w:color w:val="000000"/>
          <w:sz w:val="22"/>
          <w:szCs w:val="22"/>
        </w:rPr>
        <w:t>, by halting or delaying home construction in an area that has long been expected to grow to meet California’s housing needs.</w:t>
      </w:r>
    </w:p>
    <w:p w14:paraId="7EDE555C" w14:textId="77777777" w:rsidR="002E7B6E" w:rsidRPr="002E7B6E" w:rsidRDefault="002E7B6E" w:rsidP="002E7B6E">
      <w:pPr>
        <w:numPr>
          <w:ilvl w:val="0"/>
          <w:numId w:val="2"/>
        </w:numPr>
        <w:spacing w:before="100" w:beforeAutospacing="1" w:after="100" w:afterAutospacing="1"/>
        <w:ind w:left="945"/>
        <w:rPr>
          <w:rFonts w:eastAsia="Times New Roman" w:cs="Times New Roman"/>
          <w:color w:val="000000"/>
          <w:sz w:val="22"/>
          <w:szCs w:val="22"/>
        </w:rPr>
      </w:pPr>
      <w:r w:rsidRPr="002E7B6E">
        <w:rPr>
          <w:rFonts w:eastAsia="Times New Roman" w:cs="Times New Roman"/>
          <w:b/>
          <w:bCs/>
          <w:color w:val="000000"/>
          <w:sz w:val="22"/>
          <w:szCs w:val="22"/>
        </w:rPr>
        <w:t>Infill housing projects</w:t>
      </w:r>
      <w:r w:rsidRPr="002E7B6E">
        <w:rPr>
          <w:rFonts w:eastAsia="Times New Roman" w:cs="Times New Roman"/>
          <w:color w:val="000000"/>
          <w:sz w:val="22"/>
          <w:szCs w:val="22"/>
        </w:rPr>
        <w:t>, where existing urban and suburban areas are being blocked from reasonable development.</w:t>
      </w:r>
    </w:p>
    <w:p w14:paraId="327DA9F3" w14:textId="77777777" w:rsidR="002E7B6E" w:rsidRPr="002E7B6E" w:rsidRDefault="002E7B6E" w:rsidP="002E7B6E">
      <w:pPr>
        <w:numPr>
          <w:ilvl w:val="0"/>
          <w:numId w:val="2"/>
        </w:numPr>
        <w:spacing w:before="100" w:beforeAutospacing="1" w:after="100" w:afterAutospacing="1"/>
        <w:ind w:left="945"/>
        <w:rPr>
          <w:rFonts w:eastAsia="Times New Roman" w:cs="Times New Roman"/>
          <w:color w:val="000000"/>
          <w:sz w:val="22"/>
          <w:szCs w:val="22"/>
        </w:rPr>
      </w:pPr>
      <w:r w:rsidRPr="002E7B6E">
        <w:rPr>
          <w:rFonts w:eastAsia="Times New Roman" w:cs="Times New Roman"/>
          <w:b/>
          <w:bCs/>
          <w:color w:val="000000"/>
          <w:sz w:val="22"/>
          <w:szCs w:val="22"/>
        </w:rPr>
        <w:t>Critical infrastructure projects</w:t>
      </w:r>
      <w:r w:rsidRPr="002E7B6E">
        <w:rPr>
          <w:rFonts w:eastAsia="Times New Roman" w:cs="Times New Roman"/>
          <w:color w:val="000000"/>
          <w:sz w:val="22"/>
          <w:szCs w:val="22"/>
        </w:rPr>
        <w:t> for water, energy, and public safety—many of which now face </w:t>
      </w:r>
      <w:r w:rsidRPr="002E7B6E">
        <w:rPr>
          <w:rFonts w:eastAsia="Times New Roman" w:cs="Times New Roman"/>
          <w:b/>
          <w:bCs/>
          <w:color w:val="000000"/>
          <w:sz w:val="22"/>
          <w:szCs w:val="22"/>
        </w:rPr>
        <w:t>extremely high mitigation fees</w:t>
      </w:r>
      <w:r w:rsidRPr="002E7B6E">
        <w:rPr>
          <w:rFonts w:eastAsia="Times New Roman" w:cs="Times New Roman"/>
          <w:color w:val="000000"/>
          <w:sz w:val="22"/>
          <w:szCs w:val="22"/>
        </w:rPr>
        <w:t> and delays.</w:t>
      </w:r>
    </w:p>
    <w:p w14:paraId="19EDAF1D" w14:textId="77777777" w:rsidR="002E7B6E" w:rsidRPr="002E7B6E" w:rsidRDefault="002E7B6E" w:rsidP="002E7B6E">
      <w:pPr>
        <w:numPr>
          <w:ilvl w:val="0"/>
          <w:numId w:val="2"/>
        </w:numPr>
        <w:spacing w:before="100" w:beforeAutospacing="1" w:after="100" w:afterAutospacing="1"/>
        <w:ind w:left="945"/>
        <w:rPr>
          <w:rFonts w:eastAsia="Times New Roman" w:cs="Times New Roman"/>
          <w:color w:val="000000"/>
          <w:sz w:val="22"/>
          <w:szCs w:val="22"/>
        </w:rPr>
      </w:pPr>
      <w:r w:rsidRPr="002E7B6E">
        <w:rPr>
          <w:rFonts w:eastAsia="Times New Roman" w:cs="Times New Roman"/>
          <w:b/>
          <w:bCs/>
          <w:color w:val="000000"/>
          <w:sz w:val="22"/>
          <w:szCs w:val="22"/>
        </w:rPr>
        <w:t>Wildfire safety projects</w:t>
      </w:r>
      <w:r w:rsidRPr="002E7B6E">
        <w:rPr>
          <w:rFonts w:eastAsia="Times New Roman" w:cs="Times New Roman"/>
          <w:color w:val="000000"/>
          <w:sz w:val="22"/>
          <w:szCs w:val="22"/>
        </w:rPr>
        <w:t>, where necessary fire hardening and vegetation management efforts are mired in permitting confusion.</w:t>
      </w:r>
    </w:p>
    <w:p w14:paraId="4E63AB39" w14:textId="77777777" w:rsidR="002E7B6E" w:rsidRPr="002E7B6E" w:rsidRDefault="002E7B6E" w:rsidP="002E7B6E">
      <w:pPr>
        <w:spacing w:before="100" w:beforeAutospacing="1" w:after="100" w:afterAutospacing="1"/>
        <w:rPr>
          <w:rFonts w:cs="Times New Roman"/>
          <w:color w:val="000000"/>
          <w:sz w:val="22"/>
          <w:szCs w:val="22"/>
        </w:rPr>
      </w:pPr>
    </w:p>
    <w:p w14:paraId="60AC92AE" w14:textId="77777777" w:rsidR="002E7B6E" w:rsidRPr="002E7B6E" w:rsidRDefault="002E7B6E" w:rsidP="002E7B6E">
      <w:pPr>
        <w:spacing w:before="100" w:beforeAutospacing="1" w:after="100" w:afterAutospacing="1"/>
        <w:rPr>
          <w:rFonts w:cs="Times New Roman"/>
          <w:color w:val="000000"/>
          <w:sz w:val="22"/>
          <w:szCs w:val="22"/>
        </w:rPr>
      </w:pPr>
      <w:r w:rsidRPr="002E7B6E">
        <w:rPr>
          <w:rFonts w:cs="Times New Roman"/>
          <w:color w:val="000000"/>
          <w:sz w:val="22"/>
          <w:szCs w:val="22"/>
        </w:rPr>
        <w:t>The Plan also creates a </w:t>
      </w:r>
      <w:r w:rsidRPr="002E7B6E">
        <w:rPr>
          <w:rFonts w:cs="Times New Roman"/>
          <w:b/>
          <w:bCs/>
          <w:color w:val="000000"/>
          <w:sz w:val="22"/>
          <w:szCs w:val="22"/>
        </w:rPr>
        <w:t>double penalty</w:t>
      </w:r>
      <w:r w:rsidRPr="002E7B6E">
        <w:rPr>
          <w:rFonts w:cs="Times New Roman"/>
          <w:color w:val="000000"/>
          <w:sz w:val="22"/>
          <w:szCs w:val="22"/>
        </w:rPr>
        <w:t> for projects by requiring both:</w:t>
      </w:r>
    </w:p>
    <w:p w14:paraId="57840968" w14:textId="77777777" w:rsidR="002E7B6E" w:rsidRPr="002E7B6E" w:rsidRDefault="002E7B6E" w:rsidP="002E7B6E">
      <w:pPr>
        <w:numPr>
          <w:ilvl w:val="0"/>
          <w:numId w:val="3"/>
        </w:numPr>
        <w:spacing w:before="100" w:beforeAutospacing="1" w:after="100" w:afterAutospacing="1"/>
        <w:ind w:left="945"/>
        <w:rPr>
          <w:rFonts w:eastAsia="Times New Roman" w:cs="Times New Roman"/>
          <w:color w:val="000000"/>
          <w:sz w:val="22"/>
          <w:szCs w:val="22"/>
        </w:rPr>
      </w:pPr>
      <w:r w:rsidRPr="002E7B6E">
        <w:rPr>
          <w:rFonts w:eastAsia="Times New Roman" w:cs="Times New Roman"/>
          <w:color w:val="000000"/>
          <w:sz w:val="22"/>
          <w:szCs w:val="22"/>
        </w:rPr>
        <w:t>Costly </w:t>
      </w:r>
      <w:r w:rsidRPr="002E7B6E">
        <w:rPr>
          <w:rFonts w:eastAsia="Times New Roman" w:cs="Times New Roman"/>
          <w:b/>
          <w:bCs/>
          <w:color w:val="000000"/>
          <w:sz w:val="22"/>
          <w:szCs w:val="22"/>
        </w:rPr>
        <w:t>on-site mitigation or minimization measures</w:t>
      </w:r>
      <w:r w:rsidRPr="002E7B6E">
        <w:rPr>
          <w:rFonts w:eastAsia="Times New Roman" w:cs="Times New Roman"/>
          <w:color w:val="000000"/>
          <w:sz w:val="22"/>
          <w:szCs w:val="22"/>
        </w:rPr>
        <w:t>, and</w:t>
      </w:r>
    </w:p>
    <w:p w14:paraId="7F69BFB5" w14:textId="77777777" w:rsidR="002E7B6E" w:rsidRPr="002E7B6E" w:rsidRDefault="002E7B6E" w:rsidP="002E7B6E">
      <w:pPr>
        <w:numPr>
          <w:ilvl w:val="0"/>
          <w:numId w:val="3"/>
        </w:numPr>
        <w:spacing w:before="100" w:beforeAutospacing="1" w:after="100" w:afterAutospacing="1"/>
        <w:ind w:left="945"/>
        <w:rPr>
          <w:rFonts w:eastAsia="Times New Roman" w:cs="Times New Roman"/>
          <w:color w:val="000000"/>
          <w:sz w:val="22"/>
          <w:szCs w:val="22"/>
        </w:rPr>
      </w:pPr>
      <w:r w:rsidRPr="002E7B6E">
        <w:rPr>
          <w:rFonts w:eastAsia="Times New Roman" w:cs="Times New Roman"/>
          <w:color w:val="000000"/>
          <w:sz w:val="22"/>
          <w:szCs w:val="22"/>
        </w:rPr>
        <w:t>Payment of an </w:t>
      </w:r>
      <w:r w:rsidRPr="002E7B6E">
        <w:rPr>
          <w:rFonts w:eastAsia="Times New Roman" w:cs="Times New Roman"/>
          <w:b/>
          <w:bCs/>
          <w:color w:val="000000"/>
          <w:sz w:val="22"/>
          <w:szCs w:val="22"/>
        </w:rPr>
        <w:t>in-lieu fee</w:t>
      </w:r>
      <w:r w:rsidRPr="002E7B6E">
        <w:rPr>
          <w:rFonts w:eastAsia="Times New Roman" w:cs="Times New Roman"/>
          <w:color w:val="000000"/>
          <w:sz w:val="22"/>
          <w:szCs w:val="22"/>
        </w:rPr>
        <w:t> under the Act.</w:t>
      </w:r>
    </w:p>
    <w:p w14:paraId="16EC764C" w14:textId="77777777" w:rsidR="002E7B6E" w:rsidRPr="002E7B6E" w:rsidRDefault="002E7B6E" w:rsidP="002E7B6E">
      <w:pPr>
        <w:numPr>
          <w:ilvl w:val="0"/>
          <w:numId w:val="3"/>
        </w:numPr>
        <w:spacing w:before="100" w:beforeAutospacing="1" w:after="100" w:afterAutospacing="1"/>
        <w:ind w:left="945"/>
        <w:rPr>
          <w:rFonts w:eastAsia="Times New Roman" w:cs="Times New Roman"/>
          <w:color w:val="000000"/>
          <w:sz w:val="22"/>
          <w:szCs w:val="22"/>
        </w:rPr>
      </w:pPr>
      <w:r w:rsidRPr="002E7B6E">
        <w:rPr>
          <w:rFonts w:eastAsia="Times New Roman" w:cs="Times New Roman"/>
          <w:color w:val="000000"/>
          <w:sz w:val="22"/>
          <w:szCs w:val="22"/>
        </w:rPr>
        <w:t>It must be </w:t>
      </w:r>
      <w:r w:rsidRPr="002E7B6E">
        <w:rPr>
          <w:rFonts w:eastAsia="Times New Roman" w:cs="Times New Roman"/>
          <w:b/>
          <w:bCs/>
          <w:color w:val="000000"/>
          <w:sz w:val="22"/>
          <w:szCs w:val="22"/>
        </w:rPr>
        <w:t>one or the other</w:t>
      </w:r>
      <w:r w:rsidRPr="002E7B6E">
        <w:rPr>
          <w:rFonts w:eastAsia="Times New Roman" w:cs="Times New Roman"/>
          <w:color w:val="000000"/>
          <w:sz w:val="22"/>
          <w:szCs w:val="22"/>
        </w:rPr>
        <w:t>, not both. The Act itself allows for in-lieu fees as an alternative, and projects that effectively minimize impacts should not also be subjected to additional fees.</w:t>
      </w:r>
    </w:p>
    <w:p w14:paraId="0882F8AF" w14:textId="77777777" w:rsidR="002E7B6E" w:rsidRPr="002E7B6E" w:rsidRDefault="002E7B6E" w:rsidP="002E7B6E">
      <w:pPr>
        <w:rPr>
          <w:rFonts w:eastAsia="Times New Roman" w:cs="Times New Roman"/>
          <w:color w:val="000000"/>
          <w:sz w:val="22"/>
          <w:szCs w:val="22"/>
        </w:rPr>
      </w:pPr>
    </w:p>
    <w:p w14:paraId="238B1875" w14:textId="77777777" w:rsidR="002E7B6E" w:rsidRPr="002E7B6E" w:rsidRDefault="002E7B6E" w:rsidP="002E7B6E">
      <w:pPr>
        <w:spacing w:before="100" w:beforeAutospacing="1" w:after="100" w:afterAutospacing="1"/>
        <w:rPr>
          <w:rFonts w:cs="Times New Roman"/>
          <w:color w:val="000000"/>
          <w:sz w:val="22"/>
          <w:szCs w:val="22"/>
        </w:rPr>
      </w:pPr>
      <w:r w:rsidRPr="002E7B6E">
        <w:rPr>
          <w:rFonts w:cs="Times New Roman"/>
          <w:b/>
          <w:bCs/>
          <w:color w:val="000000"/>
          <w:sz w:val="22"/>
          <w:szCs w:val="22"/>
        </w:rPr>
        <w:t>Definition of “Take” Must Reflect Plant Status — Not Animal Standards</w:t>
      </w:r>
    </w:p>
    <w:p w14:paraId="2A3613E7" w14:textId="77777777" w:rsidR="002E7B6E" w:rsidRPr="002E7B6E" w:rsidRDefault="002E7B6E" w:rsidP="002E7B6E">
      <w:pPr>
        <w:spacing w:before="100" w:beforeAutospacing="1" w:after="100" w:afterAutospacing="1"/>
        <w:rPr>
          <w:rFonts w:cs="Times New Roman"/>
          <w:color w:val="000000"/>
          <w:sz w:val="22"/>
          <w:szCs w:val="22"/>
        </w:rPr>
      </w:pPr>
      <w:r w:rsidRPr="002E7B6E">
        <w:rPr>
          <w:rFonts w:cs="Times New Roman"/>
          <w:color w:val="000000"/>
          <w:sz w:val="22"/>
          <w:szCs w:val="22"/>
        </w:rPr>
        <w:t>The term "take" has always been defined in California law based on animals - wildlife species that </w:t>
      </w:r>
      <w:r w:rsidRPr="002E7B6E">
        <w:rPr>
          <w:rFonts w:cs="Times New Roman"/>
          <w:b/>
          <w:bCs/>
          <w:color w:val="000000"/>
          <w:sz w:val="22"/>
          <w:szCs w:val="22"/>
        </w:rPr>
        <w:t>move</w:t>
      </w:r>
      <w:r w:rsidRPr="002E7B6E">
        <w:rPr>
          <w:rFonts w:cs="Times New Roman"/>
          <w:color w:val="000000"/>
          <w:sz w:val="22"/>
          <w:szCs w:val="22"/>
        </w:rPr>
        <w:t>. The original </w:t>
      </w:r>
      <w:r w:rsidRPr="002E7B6E">
        <w:rPr>
          <w:rFonts w:cs="Times New Roman"/>
          <w:b/>
          <w:bCs/>
          <w:color w:val="000000"/>
          <w:sz w:val="22"/>
          <w:szCs w:val="22"/>
        </w:rPr>
        <w:t>California Fish and Game Code Section 86</w:t>
      </w:r>
      <w:r w:rsidRPr="002E7B6E">
        <w:rPr>
          <w:rFonts w:cs="Times New Roman"/>
          <w:color w:val="000000"/>
          <w:sz w:val="22"/>
          <w:szCs w:val="22"/>
        </w:rPr>
        <w:t> defines “take” as “hunt, pursue, catch, capture, or kill, or attempt to do so.”</w:t>
      </w:r>
    </w:p>
    <w:p w14:paraId="77A63EC2" w14:textId="77777777" w:rsidR="002E7B6E" w:rsidRPr="002E7B6E" w:rsidRDefault="002E7B6E" w:rsidP="002E7B6E">
      <w:pPr>
        <w:spacing w:before="100" w:beforeAutospacing="1" w:after="100" w:afterAutospacing="1"/>
        <w:rPr>
          <w:rFonts w:cs="Times New Roman"/>
          <w:color w:val="000000"/>
          <w:sz w:val="22"/>
          <w:szCs w:val="22"/>
        </w:rPr>
      </w:pPr>
      <w:r w:rsidRPr="002E7B6E">
        <w:rPr>
          <w:rFonts w:cs="Times New Roman"/>
          <w:color w:val="000000"/>
          <w:sz w:val="22"/>
          <w:szCs w:val="22"/>
        </w:rPr>
        <w:t>Applying this same framework to a </w:t>
      </w:r>
      <w:r w:rsidRPr="002E7B6E">
        <w:rPr>
          <w:rFonts w:cs="Times New Roman"/>
          <w:b/>
          <w:bCs/>
          <w:color w:val="000000"/>
          <w:sz w:val="22"/>
          <w:szCs w:val="22"/>
        </w:rPr>
        <w:t>stationary plant species</w:t>
      </w:r>
      <w:r w:rsidRPr="002E7B6E">
        <w:rPr>
          <w:rFonts w:cs="Times New Roman"/>
          <w:color w:val="000000"/>
          <w:sz w:val="22"/>
          <w:szCs w:val="22"/>
        </w:rPr>
        <w:t> like the Western Joshua tree makes no sense, particularly when its physical relocation or minor impacts do not threaten its viability. </w:t>
      </w:r>
    </w:p>
    <w:p w14:paraId="3FC2A15F" w14:textId="77777777" w:rsidR="002E7B6E" w:rsidRPr="002E7B6E" w:rsidRDefault="002E7B6E" w:rsidP="002E7B6E">
      <w:pPr>
        <w:spacing w:before="100" w:beforeAutospacing="1" w:after="100" w:afterAutospacing="1"/>
        <w:rPr>
          <w:rFonts w:cs="Times New Roman"/>
          <w:color w:val="000000"/>
          <w:sz w:val="22"/>
          <w:szCs w:val="22"/>
        </w:rPr>
      </w:pPr>
    </w:p>
    <w:p w14:paraId="28B58DF5" w14:textId="77777777" w:rsidR="002E7B6E" w:rsidRPr="002E7B6E" w:rsidRDefault="002E7B6E" w:rsidP="002E7B6E">
      <w:pPr>
        <w:spacing w:before="100" w:beforeAutospacing="1" w:after="100" w:afterAutospacing="1"/>
        <w:rPr>
          <w:rFonts w:cs="Times New Roman"/>
          <w:color w:val="000000"/>
          <w:sz w:val="22"/>
          <w:szCs w:val="22"/>
        </w:rPr>
      </w:pPr>
      <w:r w:rsidRPr="002E7B6E">
        <w:rPr>
          <w:rFonts w:cs="Times New Roman"/>
          <w:color w:val="000000"/>
          <w:sz w:val="22"/>
          <w:szCs w:val="22"/>
        </w:rPr>
        <w:t>The Act itself acknowledges that </w:t>
      </w:r>
      <w:r w:rsidRPr="002E7B6E">
        <w:rPr>
          <w:rFonts w:cs="Times New Roman"/>
          <w:b/>
          <w:bCs/>
          <w:color w:val="000000"/>
          <w:sz w:val="22"/>
          <w:szCs w:val="22"/>
        </w:rPr>
        <w:t>impacts are allowed</w:t>
      </w:r>
      <w:r w:rsidRPr="002E7B6E">
        <w:rPr>
          <w:rFonts w:cs="Times New Roman"/>
          <w:color w:val="000000"/>
          <w:sz w:val="22"/>
          <w:szCs w:val="22"/>
        </w:rPr>
        <w:t> and that not every project must pay a fee—demonstrating that a rigid, zero-impact approach was never the legislative intent.</w:t>
      </w:r>
    </w:p>
    <w:p w14:paraId="5813BEAD" w14:textId="77777777" w:rsidR="002E7B6E" w:rsidRPr="002E7B6E" w:rsidRDefault="002E7B6E" w:rsidP="002E7B6E">
      <w:pPr>
        <w:spacing w:before="100" w:beforeAutospacing="1" w:after="100" w:afterAutospacing="1"/>
        <w:rPr>
          <w:rFonts w:cs="Times New Roman"/>
          <w:color w:val="000000"/>
          <w:sz w:val="22"/>
          <w:szCs w:val="22"/>
        </w:rPr>
      </w:pPr>
    </w:p>
    <w:p w14:paraId="0886E86A" w14:textId="77777777" w:rsidR="002E7B6E" w:rsidRPr="002E7B6E" w:rsidRDefault="002E7B6E" w:rsidP="002E7B6E">
      <w:pPr>
        <w:spacing w:before="100" w:beforeAutospacing="1" w:after="100" w:afterAutospacing="1"/>
        <w:rPr>
          <w:rFonts w:cs="Times New Roman"/>
          <w:color w:val="000000"/>
          <w:sz w:val="22"/>
          <w:szCs w:val="22"/>
        </w:rPr>
      </w:pPr>
      <w:r w:rsidRPr="002E7B6E">
        <w:rPr>
          <w:rFonts w:cs="Times New Roman"/>
          <w:color w:val="000000"/>
          <w:sz w:val="22"/>
          <w:szCs w:val="22"/>
        </w:rPr>
        <w:t>The Plan must:</w:t>
      </w:r>
    </w:p>
    <w:p w14:paraId="3A8EDDC2" w14:textId="77777777" w:rsidR="002E7B6E" w:rsidRPr="002E7B6E" w:rsidRDefault="002E7B6E" w:rsidP="002E7B6E">
      <w:pPr>
        <w:numPr>
          <w:ilvl w:val="0"/>
          <w:numId w:val="4"/>
        </w:numPr>
        <w:spacing w:before="100" w:beforeAutospacing="1" w:after="100" w:afterAutospacing="1"/>
        <w:ind w:left="945"/>
        <w:rPr>
          <w:rFonts w:eastAsia="Times New Roman" w:cs="Times New Roman"/>
          <w:color w:val="000000"/>
          <w:sz w:val="22"/>
          <w:szCs w:val="22"/>
        </w:rPr>
      </w:pPr>
      <w:r w:rsidRPr="002E7B6E">
        <w:rPr>
          <w:rFonts w:eastAsia="Times New Roman" w:cs="Times New Roman"/>
          <w:color w:val="000000"/>
          <w:sz w:val="22"/>
          <w:szCs w:val="22"/>
        </w:rPr>
        <w:t>Provide a </w:t>
      </w:r>
      <w:r w:rsidRPr="002E7B6E">
        <w:rPr>
          <w:rFonts w:eastAsia="Times New Roman" w:cs="Times New Roman"/>
          <w:b/>
          <w:bCs/>
          <w:color w:val="000000"/>
          <w:sz w:val="22"/>
          <w:szCs w:val="22"/>
        </w:rPr>
        <w:t>reasonable definition of “take”</w:t>
      </w:r>
      <w:r w:rsidRPr="002E7B6E">
        <w:rPr>
          <w:rFonts w:eastAsia="Times New Roman" w:cs="Times New Roman"/>
          <w:color w:val="000000"/>
          <w:sz w:val="22"/>
          <w:szCs w:val="22"/>
        </w:rPr>
        <w:t> that accounts for the ecological realities of Joshua trees.</w:t>
      </w:r>
    </w:p>
    <w:p w14:paraId="15DE3E9C" w14:textId="77777777" w:rsidR="002E7B6E" w:rsidRPr="002E7B6E" w:rsidRDefault="002E7B6E" w:rsidP="002E7B6E">
      <w:pPr>
        <w:numPr>
          <w:ilvl w:val="0"/>
          <w:numId w:val="4"/>
        </w:numPr>
        <w:spacing w:before="100" w:beforeAutospacing="1" w:after="100" w:afterAutospacing="1"/>
        <w:ind w:left="945"/>
        <w:rPr>
          <w:rFonts w:eastAsia="Times New Roman" w:cs="Times New Roman"/>
          <w:color w:val="000000"/>
          <w:sz w:val="22"/>
          <w:szCs w:val="22"/>
        </w:rPr>
      </w:pPr>
      <w:r w:rsidRPr="002E7B6E">
        <w:rPr>
          <w:rFonts w:eastAsia="Times New Roman" w:cs="Times New Roman"/>
          <w:color w:val="000000"/>
          <w:sz w:val="22"/>
          <w:szCs w:val="22"/>
        </w:rPr>
        <w:t>Clearly define what activities constitute a "take."</w:t>
      </w:r>
    </w:p>
    <w:p w14:paraId="0A14A611" w14:textId="77777777" w:rsidR="002E7B6E" w:rsidRPr="002E7B6E" w:rsidRDefault="002E7B6E" w:rsidP="002E7B6E">
      <w:pPr>
        <w:numPr>
          <w:ilvl w:val="0"/>
          <w:numId w:val="4"/>
        </w:numPr>
        <w:spacing w:before="100" w:beforeAutospacing="1" w:after="240"/>
        <w:ind w:left="945"/>
        <w:rPr>
          <w:rFonts w:eastAsia="Times New Roman" w:cs="Times New Roman"/>
          <w:color w:val="000000"/>
          <w:sz w:val="22"/>
          <w:szCs w:val="22"/>
        </w:rPr>
      </w:pPr>
      <w:r w:rsidRPr="002E7B6E">
        <w:rPr>
          <w:rFonts w:eastAsia="Times New Roman" w:cs="Times New Roman"/>
          <w:color w:val="000000"/>
          <w:sz w:val="22"/>
          <w:szCs w:val="22"/>
        </w:rPr>
        <w:t>Respect the fact that </w:t>
      </w:r>
      <w:r w:rsidRPr="002E7B6E">
        <w:rPr>
          <w:rFonts w:eastAsia="Times New Roman" w:cs="Times New Roman"/>
          <w:b/>
          <w:bCs/>
          <w:color w:val="000000"/>
          <w:sz w:val="22"/>
          <w:szCs w:val="22"/>
        </w:rPr>
        <w:t>minimization and detrimental impacts are allowed</w:t>
      </w:r>
      <w:r w:rsidRPr="002E7B6E">
        <w:rPr>
          <w:rFonts w:eastAsia="Times New Roman" w:cs="Times New Roman"/>
          <w:color w:val="000000"/>
          <w:sz w:val="22"/>
          <w:szCs w:val="22"/>
        </w:rPr>
        <w:t> under the Act, and projects that minimize impacts should be supported with reduced permitting burdens and fees.</w:t>
      </w:r>
    </w:p>
    <w:p w14:paraId="553380EA" w14:textId="77777777" w:rsidR="002E7B6E" w:rsidRPr="002E7B6E" w:rsidRDefault="002E7B6E" w:rsidP="002E7B6E">
      <w:pPr>
        <w:spacing w:before="100" w:beforeAutospacing="1" w:after="100" w:afterAutospacing="1"/>
        <w:rPr>
          <w:rFonts w:cs="Times New Roman"/>
          <w:color w:val="000000"/>
          <w:sz w:val="22"/>
          <w:szCs w:val="22"/>
        </w:rPr>
      </w:pPr>
      <w:r w:rsidRPr="002E7B6E">
        <w:rPr>
          <w:rFonts w:cs="Times New Roman"/>
          <w:b/>
          <w:bCs/>
          <w:color w:val="000000"/>
          <w:sz w:val="22"/>
          <w:szCs w:val="22"/>
        </w:rPr>
        <w:t>Commission Should NOT List the Species — Focus on Reforming the Act Instead</w:t>
      </w:r>
    </w:p>
    <w:p w14:paraId="33E56754" w14:textId="77777777" w:rsidR="002E7B6E" w:rsidRPr="002E7B6E" w:rsidRDefault="002E7B6E" w:rsidP="002E7B6E">
      <w:pPr>
        <w:spacing w:before="100" w:beforeAutospacing="1" w:after="100" w:afterAutospacing="1"/>
        <w:rPr>
          <w:rFonts w:cs="Times New Roman"/>
          <w:color w:val="000000"/>
          <w:sz w:val="22"/>
          <w:szCs w:val="22"/>
        </w:rPr>
      </w:pPr>
      <w:r w:rsidRPr="002E7B6E">
        <w:rPr>
          <w:rFonts w:cs="Times New Roman"/>
          <w:color w:val="000000"/>
          <w:sz w:val="22"/>
          <w:szCs w:val="22"/>
        </w:rPr>
        <w:t>Given the </w:t>
      </w:r>
      <w:r w:rsidRPr="002E7B6E">
        <w:rPr>
          <w:rFonts w:cs="Times New Roman"/>
          <w:b/>
          <w:bCs/>
          <w:color w:val="000000"/>
          <w:sz w:val="22"/>
          <w:szCs w:val="22"/>
        </w:rPr>
        <w:t>chaotic and opaque process</w:t>
      </w:r>
      <w:r w:rsidRPr="002E7B6E">
        <w:rPr>
          <w:rFonts w:cs="Times New Roman"/>
          <w:color w:val="000000"/>
          <w:sz w:val="22"/>
          <w:szCs w:val="22"/>
        </w:rPr>
        <w:t> that produced the current Act and Plan, the Commission must:</w:t>
      </w:r>
    </w:p>
    <w:p w14:paraId="02B9BE96" w14:textId="77777777" w:rsidR="002E7B6E" w:rsidRPr="002E7B6E" w:rsidRDefault="002E7B6E" w:rsidP="002E7B6E">
      <w:pPr>
        <w:numPr>
          <w:ilvl w:val="0"/>
          <w:numId w:val="5"/>
        </w:numPr>
        <w:spacing w:before="100" w:beforeAutospacing="1" w:after="100" w:afterAutospacing="1"/>
        <w:ind w:left="945"/>
        <w:rPr>
          <w:rFonts w:eastAsia="Times New Roman" w:cs="Times New Roman"/>
          <w:color w:val="000000"/>
          <w:sz w:val="22"/>
          <w:szCs w:val="22"/>
        </w:rPr>
      </w:pPr>
      <w:r w:rsidRPr="002E7B6E">
        <w:rPr>
          <w:rFonts w:eastAsia="Times New Roman" w:cs="Times New Roman"/>
          <w:b/>
          <w:bCs/>
          <w:color w:val="000000"/>
          <w:sz w:val="22"/>
          <w:szCs w:val="22"/>
        </w:rPr>
        <w:t>Decline to list the Western Joshua tree as a threatened or endangered species</w:t>
      </w:r>
      <w:r w:rsidRPr="002E7B6E">
        <w:rPr>
          <w:rFonts w:eastAsia="Times New Roman" w:cs="Times New Roman"/>
          <w:color w:val="000000"/>
          <w:sz w:val="22"/>
          <w:szCs w:val="22"/>
        </w:rPr>
        <w:t> under the California Endangered Species Act.</w:t>
      </w:r>
    </w:p>
    <w:p w14:paraId="2AD13565" w14:textId="77777777" w:rsidR="002E7B6E" w:rsidRPr="002E7B6E" w:rsidRDefault="002E7B6E" w:rsidP="002E7B6E">
      <w:pPr>
        <w:numPr>
          <w:ilvl w:val="0"/>
          <w:numId w:val="5"/>
        </w:numPr>
        <w:spacing w:before="100" w:beforeAutospacing="1" w:after="100" w:afterAutospacing="1"/>
        <w:ind w:left="945"/>
        <w:rPr>
          <w:rFonts w:eastAsia="Times New Roman" w:cs="Times New Roman"/>
          <w:color w:val="000000"/>
          <w:sz w:val="22"/>
          <w:szCs w:val="22"/>
        </w:rPr>
      </w:pPr>
      <w:r w:rsidRPr="002E7B6E">
        <w:rPr>
          <w:rFonts w:eastAsia="Times New Roman" w:cs="Times New Roman"/>
          <w:color w:val="000000"/>
          <w:sz w:val="22"/>
          <w:szCs w:val="22"/>
        </w:rPr>
        <w:t>Instead, focus on advancing </w:t>
      </w:r>
      <w:r w:rsidRPr="002E7B6E">
        <w:rPr>
          <w:rFonts w:eastAsia="Times New Roman" w:cs="Times New Roman"/>
          <w:b/>
          <w:bCs/>
          <w:color w:val="000000"/>
          <w:sz w:val="22"/>
          <w:szCs w:val="22"/>
        </w:rPr>
        <w:t>meaningful, publicly vetted legislation</w:t>
      </w:r>
      <w:r w:rsidRPr="002E7B6E">
        <w:rPr>
          <w:rFonts w:eastAsia="Times New Roman" w:cs="Times New Roman"/>
          <w:color w:val="000000"/>
          <w:sz w:val="22"/>
          <w:szCs w:val="22"/>
        </w:rPr>
        <w:t> that protects the species while ensuring housing, infrastructure, and community needs are met.</w:t>
      </w:r>
    </w:p>
    <w:p w14:paraId="36FA2050" w14:textId="77777777" w:rsidR="002E7B6E" w:rsidRPr="002E7B6E" w:rsidRDefault="002E7B6E" w:rsidP="002E7B6E">
      <w:pPr>
        <w:spacing w:before="100" w:beforeAutospacing="1" w:after="100" w:afterAutospacing="1"/>
        <w:rPr>
          <w:rFonts w:cs="Times New Roman"/>
          <w:color w:val="000000"/>
          <w:sz w:val="22"/>
          <w:szCs w:val="22"/>
        </w:rPr>
      </w:pPr>
    </w:p>
    <w:p w14:paraId="34B66585" w14:textId="77777777" w:rsidR="002E7B6E" w:rsidRPr="002E7B6E" w:rsidRDefault="002E7B6E" w:rsidP="002E7B6E">
      <w:pPr>
        <w:spacing w:before="100" w:beforeAutospacing="1" w:after="100" w:afterAutospacing="1"/>
        <w:rPr>
          <w:rFonts w:cs="Times New Roman"/>
          <w:color w:val="000000"/>
          <w:sz w:val="22"/>
          <w:szCs w:val="22"/>
        </w:rPr>
      </w:pPr>
      <w:r w:rsidRPr="002E7B6E">
        <w:rPr>
          <w:rFonts w:cs="Times New Roman"/>
          <w:color w:val="000000"/>
          <w:sz w:val="22"/>
          <w:szCs w:val="22"/>
        </w:rPr>
        <w:t>The Commission must recognize that this is not simply about protecting a species—it is about setting a precedent for how California will balance </w:t>
      </w:r>
      <w:r w:rsidRPr="002E7B6E">
        <w:rPr>
          <w:rFonts w:cs="Times New Roman"/>
          <w:b/>
          <w:bCs/>
          <w:color w:val="000000"/>
          <w:sz w:val="22"/>
          <w:szCs w:val="22"/>
        </w:rPr>
        <w:t>conservation, housing, infrastructure, wildfire safety, and community needs</w:t>
      </w:r>
      <w:r w:rsidRPr="002E7B6E">
        <w:rPr>
          <w:rFonts w:cs="Times New Roman"/>
          <w:color w:val="000000"/>
          <w:sz w:val="22"/>
          <w:szCs w:val="22"/>
        </w:rPr>
        <w:t> in the future.</w:t>
      </w:r>
    </w:p>
    <w:p w14:paraId="54616B98" w14:textId="77777777" w:rsidR="002E7B6E" w:rsidRPr="002E7B6E" w:rsidRDefault="002E7B6E" w:rsidP="002E7B6E">
      <w:pPr>
        <w:spacing w:before="100" w:beforeAutospacing="1" w:after="100" w:afterAutospacing="1"/>
        <w:rPr>
          <w:rFonts w:cs="Times New Roman"/>
          <w:color w:val="000000"/>
          <w:sz w:val="22"/>
          <w:szCs w:val="22"/>
        </w:rPr>
      </w:pPr>
    </w:p>
    <w:p w14:paraId="38697C9D" w14:textId="77777777" w:rsidR="002E7B6E" w:rsidRPr="002E7B6E" w:rsidRDefault="002E7B6E" w:rsidP="002E7B6E">
      <w:pPr>
        <w:spacing w:before="100" w:beforeAutospacing="1" w:after="100" w:afterAutospacing="1"/>
        <w:rPr>
          <w:rFonts w:cs="Times New Roman"/>
          <w:color w:val="000000"/>
          <w:sz w:val="22"/>
          <w:szCs w:val="22"/>
        </w:rPr>
      </w:pPr>
      <w:r w:rsidRPr="002E7B6E">
        <w:rPr>
          <w:rFonts w:cs="Times New Roman"/>
          <w:color w:val="000000"/>
          <w:sz w:val="22"/>
          <w:szCs w:val="22"/>
        </w:rPr>
        <w:t>The current plan creates more harm than good. It threatens the very communities that live alongside the Western Joshua tree, and it was developed in a way that </w:t>
      </w:r>
      <w:r w:rsidRPr="002E7B6E">
        <w:rPr>
          <w:rFonts w:cs="Times New Roman"/>
          <w:b/>
          <w:bCs/>
          <w:color w:val="000000"/>
          <w:sz w:val="22"/>
          <w:szCs w:val="22"/>
        </w:rPr>
        <w:t>excluded</w:t>
      </w:r>
      <w:r w:rsidRPr="002E7B6E">
        <w:rPr>
          <w:rFonts w:cs="Times New Roman"/>
          <w:color w:val="000000"/>
          <w:sz w:val="22"/>
          <w:szCs w:val="22"/>
        </w:rPr>
        <w:t> those most affected.</w:t>
      </w:r>
    </w:p>
    <w:p w14:paraId="41DE5712" w14:textId="77777777" w:rsidR="002E7B6E" w:rsidRPr="002E7B6E" w:rsidRDefault="002E7B6E" w:rsidP="002E7B6E">
      <w:pPr>
        <w:spacing w:before="100" w:beforeAutospacing="1" w:after="100" w:afterAutospacing="1"/>
        <w:rPr>
          <w:rFonts w:cs="Times New Roman"/>
          <w:color w:val="000000"/>
          <w:sz w:val="22"/>
          <w:szCs w:val="22"/>
        </w:rPr>
      </w:pPr>
    </w:p>
    <w:p w14:paraId="09BF24AF" w14:textId="77777777" w:rsidR="002E7B6E" w:rsidRPr="002E7B6E" w:rsidRDefault="002E7B6E" w:rsidP="002E7B6E">
      <w:pPr>
        <w:spacing w:before="100" w:beforeAutospacing="1" w:after="100" w:afterAutospacing="1"/>
        <w:rPr>
          <w:rFonts w:cs="Times New Roman"/>
          <w:color w:val="000000"/>
          <w:sz w:val="22"/>
          <w:szCs w:val="22"/>
        </w:rPr>
      </w:pPr>
      <w:r w:rsidRPr="002E7B6E">
        <w:rPr>
          <w:rFonts w:cs="Times New Roman"/>
          <w:color w:val="000000"/>
          <w:sz w:val="22"/>
          <w:szCs w:val="22"/>
        </w:rPr>
        <w:t>I urge the Commission and the Department to engage in an open, transparent public process to develop workable solutions.</w:t>
      </w:r>
    </w:p>
    <w:p w14:paraId="04EF0A92" w14:textId="77777777" w:rsidR="002E7B6E" w:rsidRPr="002E7B6E" w:rsidRDefault="002E7B6E" w:rsidP="002E7B6E">
      <w:pPr>
        <w:spacing w:before="100" w:beforeAutospacing="1" w:after="100" w:afterAutospacing="1"/>
        <w:rPr>
          <w:rFonts w:cs="Times New Roman"/>
          <w:color w:val="000000"/>
          <w:sz w:val="22"/>
          <w:szCs w:val="22"/>
        </w:rPr>
      </w:pPr>
    </w:p>
    <w:p w14:paraId="617530F8" w14:textId="77777777" w:rsidR="002E7B6E" w:rsidRPr="002E7B6E" w:rsidRDefault="002E7B6E" w:rsidP="002E7B6E">
      <w:pPr>
        <w:spacing w:before="100" w:beforeAutospacing="1" w:after="100" w:afterAutospacing="1"/>
        <w:rPr>
          <w:rFonts w:cs="Times New Roman"/>
          <w:color w:val="000000"/>
          <w:sz w:val="22"/>
          <w:szCs w:val="22"/>
        </w:rPr>
      </w:pPr>
      <w:r w:rsidRPr="002E7B6E">
        <w:rPr>
          <w:rFonts w:cs="Times New Roman"/>
          <w:color w:val="000000"/>
          <w:sz w:val="22"/>
          <w:szCs w:val="22"/>
        </w:rPr>
        <w:t>Thank you for your consideration of these serious concerns.</w:t>
      </w:r>
    </w:p>
    <w:p w14:paraId="67E48131" w14:textId="77777777" w:rsidR="002E7B6E" w:rsidRPr="002E7B6E" w:rsidRDefault="002E7B6E" w:rsidP="002E7B6E">
      <w:pPr>
        <w:spacing w:before="100" w:beforeAutospacing="1" w:after="100" w:afterAutospacing="1"/>
        <w:rPr>
          <w:rFonts w:cs="Times New Roman"/>
          <w:color w:val="000000"/>
          <w:sz w:val="22"/>
          <w:szCs w:val="22"/>
        </w:rPr>
      </w:pPr>
      <w:r w:rsidRPr="002E7B6E">
        <w:rPr>
          <w:rFonts w:cs="Times New Roman"/>
          <w:color w:val="000000"/>
          <w:sz w:val="22"/>
          <w:szCs w:val="22"/>
        </w:rPr>
        <w:t>Sincerely,</w:t>
      </w:r>
    </w:p>
    <w:p w14:paraId="443D329B" w14:textId="77777777" w:rsidR="002E7B6E" w:rsidRPr="002E7B6E" w:rsidRDefault="002E7B6E" w:rsidP="002E7B6E">
      <w:pPr>
        <w:spacing w:before="100" w:beforeAutospacing="1" w:after="100" w:afterAutospacing="1"/>
        <w:rPr>
          <w:rFonts w:cs="Times New Roman"/>
          <w:color w:val="000000"/>
          <w:sz w:val="22"/>
          <w:szCs w:val="22"/>
        </w:rPr>
      </w:pPr>
      <w:r w:rsidRPr="002E7B6E">
        <w:rPr>
          <w:rFonts w:cs="Times New Roman"/>
          <w:color w:val="000000"/>
          <w:sz w:val="22"/>
          <w:szCs w:val="22"/>
        </w:rPr>
        <w:br/>
      </w:r>
      <w:r w:rsidRPr="002E7B6E">
        <w:rPr>
          <w:rFonts w:cs="Times New Roman"/>
          <w:b/>
          <w:bCs/>
          <w:color w:val="000000"/>
          <w:sz w:val="22"/>
          <w:szCs w:val="22"/>
        </w:rPr>
        <w:t>[Your Name]</w:t>
      </w:r>
      <w:r w:rsidRPr="002E7B6E">
        <w:rPr>
          <w:rFonts w:cs="Times New Roman"/>
          <w:color w:val="000000"/>
          <w:sz w:val="22"/>
          <w:szCs w:val="22"/>
        </w:rPr>
        <w:br/>
        <w:t>Morongo Basin Resident</w:t>
      </w:r>
    </w:p>
    <w:p w14:paraId="7ACB3D2C" w14:textId="77777777" w:rsidR="0047439C" w:rsidRPr="002E7B6E" w:rsidRDefault="002E7B6E">
      <w:pPr>
        <w:rPr>
          <w:sz w:val="22"/>
          <w:szCs w:val="22"/>
        </w:rPr>
      </w:pPr>
    </w:p>
    <w:sectPr w:rsidR="0047439C" w:rsidRPr="002E7B6E" w:rsidSect="002A1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2017D"/>
    <w:multiLevelType w:val="multilevel"/>
    <w:tmpl w:val="AA0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C60FEF"/>
    <w:multiLevelType w:val="multilevel"/>
    <w:tmpl w:val="F9EA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B2F0BFA"/>
    <w:multiLevelType w:val="multilevel"/>
    <w:tmpl w:val="3716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7B12AC"/>
    <w:multiLevelType w:val="multilevel"/>
    <w:tmpl w:val="08C4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B605C66"/>
    <w:multiLevelType w:val="multilevel"/>
    <w:tmpl w:val="1E12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B6E"/>
    <w:rsid w:val="00192E01"/>
    <w:rsid w:val="00211A3E"/>
    <w:rsid w:val="002A1B14"/>
    <w:rsid w:val="002E7B6E"/>
    <w:rsid w:val="00A00D54"/>
    <w:rsid w:val="00D16BD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7F9F9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1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7B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74358">
      <w:bodyDiv w:val="1"/>
      <w:marLeft w:val="0"/>
      <w:marRight w:val="0"/>
      <w:marTop w:val="0"/>
      <w:marBottom w:val="0"/>
      <w:divBdr>
        <w:top w:val="none" w:sz="0" w:space="0" w:color="auto"/>
        <w:left w:val="none" w:sz="0" w:space="0" w:color="auto"/>
        <w:bottom w:val="none" w:sz="0" w:space="0" w:color="auto"/>
        <w:right w:val="none" w:sz="0" w:space="0" w:color="auto"/>
      </w:divBdr>
      <w:divsChild>
        <w:div w:id="1470174273">
          <w:marLeft w:val="0"/>
          <w:marRight w:val="0"/>
          <w:marTop w:val="0"/>
          <w:marBottom w:val="0"/>
          <w:divBdr>
            <w:top w:val="none" w:sz="0" w:space="0" w:color="auto"/>
            <w:left w:val="none" w:sz="0" w:space="0" w:color="auto"/>
            <w:bottom w:val="none" w:sz="0" w:space="0" w:color="auto"/>
            <w:right w:val="none" w:sz="0" w:space="0" w:color="auto"/>
          </w:divBdr>
        </w:div>
        <w:div w:id="242372647">
          <w:marLeft w:val="0"/>
          <w:marRight w:val="0"/>
          <w:marTop w:val="0"/>
          <w:marBottom w:val="0"/>
          <w:divBdr>
            <w:top w:val="none" w:sz="0" w:space="0" w:color="auto"/>
            <w:left w:val="none" w:sz="0" w:space="0" w:color="auto"/>
            <w:bottom w:val="none" w:sz="0" w:space="0" w:color="auto"/>
            <w:right w:val="none" w:sz="0" w:space="0" w:color="auto"/>
          </w:divBdr>
        </w:div>
        <w:div w:id="327513740">
          <w:marLeft w:val="0"/>
          <w:marRight w:val="0"/>
          <w:marTop w:val="0"/>
          <w:marBottom w:val="0"/>
          <w:divBdr>
            <w:top w:val="none" w:sz="0" w:space="0" w:color="auto"/>
            <w:left w:val="none" w:sz="0" w:space="0" w:color="auto"/>
            <w:bottom w:val="none" w:sz="0" w:space="0" w:color="auto"/>
            <w:right w:val="none" w:sz="0" w:space="0" w:color="auto"/>
          </w:divBdr>
        </w:div>
        <w:div w:id="2029136691">
          <w:marLeft w:val="0"/>
          <w:marRight w:val="0"/>
          <w:marTop w:val="0"/>
          <w:marBottom w:val="0"/>
          <w:divBdr>
            <w:top w:val="none" w:sz="0" w:space="0" w:color="auto"/>
            <w:left w:val="none" w:sz="0" w:space="0" w:color="auto"/>
            <w:bottom w:val="none" w:sz="0" w:space="0" w:color="auto"/>
            <w:right w:val="none" w:sz="0" w:space="0" w:color="auto"/>
          </w:divBdr>
        </w:div>
        <w:div w:id="94059438">
          <w:marLeft w:val="0"/>
          <w:marRight w:val="0"/>
          <w:marTop w:val="0"/>
          <w:marBottom w:val="0"/>
          <w:divBdr>
            <w:top w:val="none" w:sz="0" w:space="0" w:color="auto"/>
            <w:left w:val="none" w:sz="0" w:space="0" w:color="auto"/>
            <w:bottom w:val="none" w:sz="0" w:space="0" w:color="auto"/>
            <w:right w:val="none" w:sz="0" w:space="0" w:color="auto"/>
          </w:divBdr>
          <w:divsChild>
            <w:div w:id="1964194939">
              <w:marLeft w:val="0"/>
              <w:marRight w:val="0"/>
              <w:marTop w:val="0"/>
              <w:marBottom w:val="0"/>
              <w:divBdr>
                <w:top w:val="none" w:sz="0" w:space="0" w:color="auto"/>
                <w:left w:val="none" w:sz="0" w:space="0" w:color="auto"/>
                <w:bottom w:val="none" w:sz="0" w:space="0" w:color="auto"/>
                <w:right w:val="none" w:sz="0" w:space="0" w:color="auto"/>
              </w:divBdr>
            </w:div>
            <w:div w:id="1695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fgc@fgc.ca.gov" TargetMode="External"/><Relationship Id="rId6" Type="http://schemas.openxmlformats.org/officeDocument/2006/relationships/hyperlink" Target="mailto:fgc@fgc.ca.gov"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4174</Characters>
  <Application>Microsoft Macintosh Word</Application>
  <DocSecurity>0</DocSecurity>
  <Lines>34</Lines>
  <Paragraphs>9</Paragraphs>
  <ScaleCrop>false</ScaleCrop>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2025-07-11T00:54:00Z</dcterms:created>
  <dcterms:modified xsi:type="dcterms:W3CDTF">2025-07-11T00:55:00Z</dcterms:modified>
</cp:coreProperties>
</file>